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643" w:lineRule="exact"/>
        <w:ind w:left="41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45337" cy="4084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5337" cy="408431"/>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2384" w:right="3401" w:firstLine="0"/>
        <w:jc w:val="center"/>
        <w:rPr>
          <w:rFonts w:ascii="宋体" w:hAnsi="宋体" w:cs="宋体" w:eastAsia="宋体" w:hint="default"/>
          <w:sz w:val="36"/>
          <w:szCs w:val="36"/>
        </w:rPr>
      </w:pPr>
      <w:r>
        <w:rPr>
          <w:rFonts w:ascii="宋体" w:hAnsi="宋体" w:cs="宋体" w:eastAsia="宋体" w:hint="default"/>
          <w:b/>
          <w:bCs/>
          <w:sz w:val="36"/>
          <w:szCs w:val="36"/>
        </w:rPr>
        <w:t>北京先进数通信息技术股份公司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38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384" w:right="3400" w:firstLine="0"/>
        <w:jc w:val="center"/>
        <w:rPr>
          <w:rFonts w:ascii="Times New Roman" w:hAnsi="Times New Roman" w:cs="Times New Roman" w:eastAsia="Times New Roman" w:hint="default"/>
          <w:sz w:val="22"/>
          <w:szCs w:val="22"/>
        </w:rPr>
      </w:pPr>
      <w:r>
        <w:rPr>
          <w:rFonts w:ascii="Times New Roman"/>
          <w:b/>
          <w:sz w:val="22"/>
        </w:rPr>
        <w:t>2019-010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38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公司负责人林鸿、主管会计工作负责人吴文胜及会计机构负责人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刘芹芹声明：保证年度报告中财务报告的真实、准确、完整。</w:t>
      </w:r>
      <w:r>
        <w:rPr>
          <w:rFonts w:ascii="宋体" w:hAnsi="宋体" w:cs="宋体" w:eastAsia="宋体" w:hint="default"/>
          <w:sz w:val="28"/>
          <w:szCs w:val="28"/>
        </w:rPr>
      </w:r>
    </w:p>
    <w:p>
      <w:pPr>
        <w:spacing w:line="472" w:lineRule="auto" w:before="147"/>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本报告中涉及的未来的计划、业绩预测等前瞻性陈述，均不构成本公司对</w:t>
      </w:r>
      <w:r>
        <w:rPr>
          <w:rFonts w:ascii="宋体" w:hAnsi="宋体" w:cs="宋体" w:eastAsia="宋体" w:hint="default"/>
          <w:spacing w:val="3"/>
          <w:sz w:val="28"/>
          <w:szCs w:val="28"/>
        </w:rPr>
      </w:r>
    </w:p>
    <w:p>
      <w:pPr>
        <w:spacing w:line="410" w:lineRule="auto" w:before="0"/>
        <w:ind w:left="11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任何投资者及相关人士的实质性承诺，投资者及相关人士应对此保持足够的风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险认识，并且应当理解计划、预测与承诺之间的差异。</w:t>
      </w:r>
      <w:r>
        <w:rPr>
          <w:rFonts w:ascii="宋体" w:hAnsi="宋体" w:cs="宋体" w:eastAsia="宋体" w:hint="default"/>
          <w:sz w:val="28"/>
          <w:szCs w:val="28"/>
        </w:rPr>
      </w:r>
    </w:p>
    <w:p>
      <w:pPr>
        <w:spacing w:line="408" w:lineRule="auto" w:before="158"/>
        <w:ind w:left="114" w:right="1133" w:firstLine="562"/>
        <w:jc w:val="both"/>
        <w:rPr>
          <w:rFonts w:ascii="宋体" w:hAnsi="宋体" w:cs="宋体" w:eastAsia="宋体" w:hint="default"/>
          <w:sz w:val="28"/>
          <w:szCs w:val="28"/>
        </w:rPr>
      </w:pPr>
      <w:r>
        <w:rPr>
          <w:rFonts w:ascii="宋体" w:hAnsi="宋体" w:cs="宋体" w:eastAsia="宋体" w:hint="default"/>
          <w:b/>
          <w:bCs/>
          <w:sz w:val="28"/>
          <w:szCs w:val="28"/>
        </w:rPr>
        <w:t>本公司提请投资者认真阅读本年度报告全文，并特别关注“第四节</w:t>
      </w:r>
      <w:r>
        <w:rPr>
          <w:rFonts w:ascii="宋体" w:hAnsi="宋体" w:cs="宋体" w:eastAsia="宋体" w:hint="default"/>
          <w:b/>
          <w:bCs/>
          <w:spacing w:val="-69"/>
          <w:sz w:val="28"/>
          <w:szCs w:val="28"/>
        </w:rPr>
        <w:t> </w:t>
      </w:r>
      <w:r>
        <w:rPr>
          <w:rFonts w:ascii="宋体" w:hAnsi="宋体" w:cs="宋体" w:eastAsia="宋体" w:hint="default"/>
          <w:b/>
          <w:bCs/>
          <w:sz w:val="28"/>
          <w:szCs w:val="28"/>
        </w:rPr>
        <w:t>经营情</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况讨论与分析”之“九、公司未来发展的展望”中列示的公司未来发展面临的</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风险因素。</w:t>
      </w:r>
      <w:r>
        <w:rPr>
          <w:rFonts w:ascii="宋体" w:hAnsi="宋体" w:cs="宋体" w:eastAsia="宋体" w:hint="default"/>
          <w:sz w:val="28"/>
          <w:szCs w:val="28"/>
        </w:rPr>
      </w:r>
    </w:p>
    <w:p>
      <w:pPr>
        <w:spacing w:before="160"/>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181,166,996</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0.66</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238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5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5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5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54"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54"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5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54"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149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6" w:footer="1019" w:top="1100" w:bottom="1200" w:left="1020" w:right="0"/>
        </w:sectPr>
      </w:pPr>
    </w:p>
    <w:p>
      <w:pPr>
        <w:spacing w:before="446"/>
        <w:ind w:left="238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3"/>
        <w:rPr>
          <w:rFonts w:ascii="宋体" w:hAnsi="宋体" w:cs="宋体" w:eastAsia="宋体"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877"/>
        <w:gridCol w:w="620"/>
        <w:gridCol w:w="6081"/>
      </w:tblGrid>
      <w:tr>
        <w:trPr>
          <w:trHeight w:val="401" w:hRule="exact"/>
        </w:trPr>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公司、本公司、先进数通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广州先进数通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 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714"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
              <w:jc w:val="left"/>
              <w:rPr>
                <w:rFonts w:ascii="宋体" w:hAnsi="宋体" w:cs="宋体" w:eastAsia="宋体" w:hint="default"/>
                <w:sz w:val="18"/>
                <w:szCs w:val="18"/>
              </w:rPr>
            </w:pPr>
            <w:r>
              <w:rPr>
                <w:rFonts w:ascii="宋体" w:hAnsi="宋体" w:cs="宋体" w:eastAsia="宋体" w:hint="default"/>
                <w:sz w:val="18"/>
                <w:szCs w:val="18"/>
              </w:rPr>
              <w:t>构建信息系统应用的基础，包括机房环境、服务器、存储设备、网络设备、 安全设备和相关的基础软件</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操作系统、数据库、计算机语言处理系统和中间件的统称</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针对用户的特定应用目标所编写的软件</w:t>
            </w:r>
          </w:p>
        </w:tc>
      </w:tr>
      <w:tr>
        <w:trPr>
          <w:trHeight w:val="714"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平台软件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6"/>
              <w:jc w:val="left"/>
              <w:rPr>
                <w:rFonts w:ascii="宋体" w:hAnsi="宋体" w:cs="宋体" w:eastAsia="宋体" w:hint="default"/>
                <w:sz w:val="18"/>
                <w:szCs w:val="18"/>
              </w:rPr>
            </w:pPr>
            <w:r>
              <w:rPr>
                <w:rFonts w:ascii="宋体" w:hAnsi="宋体" w:cs="宋体" w:eastAsia="宋体" w:hint="default"/>
                <w:sz w:val="18"/>
                <w:szCs w:val="18"/>
              </w:rPr>
              <w:t>介于基础软件和应用软件之间的一类工具软件，用于构建特定类别应用功 能，按其功能划分为开发平台、运行平台、管理平台、监控平台</w:t>
            </w:r>
          </w:p>
        </w:tc>
      </w:tr>
      <w:tr>
        <w:trPr>
          <w:trHeight w:val="1026"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3"/>
              <w:jc w:val="both"/>
              <w:rPr>
                <w:rFonts w:ascii="宋体" w:hAnsi="宋体" w:cs="宋体" w:eastAsia="宋体" w:hint="default"/>
                <w:sz w:val="18"/>
                <w:szCs w:val="18"/>
              </w:rPr>
            </w:pPr>
            <w:r>
              <w:rPr>
                <w:rFonts w:ascii="宋体" w:hAnsi="宋体" w:cs="宋体" w:eastAsia="宋体" w:hint="default"/>
                <w:spacing w:val="-3"/>
                <w:sz w:val="18"/>
                <w:szCs w:val="18"/>
              </w:rPr>
              <w:t>为解决企业信息化建设中某一方面的具体问题而提供的一整套咨询、开发和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服务方案，包括整体路线、功能架构、技术架构、产品组合、应用设计、定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制开发、方案部署等</w:t>
            </w:r>
          </w:p>
        </w:tc>
      </w:tr>
      <w:tr>
        <w:trPr>
          <w:trHeight w:val="714"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
              <w:jc w:val="left"/>
              <w:rPr>
                <w:rFonts w:ascii="宋体" w:hAnsi="宋体" w:cs="宋体" w:eastAsia="宋体" w:hint="default"/>
                <w:sz w:val="18"/>
                <w:szCs w:val="18"/>
              </w:rPr>
            </w:pPr>
            <w:r>
              <w:rPr>
                <w:rFonts w:ascii="宋体" w:hAnsi="宋体" w:cs="宋体" w:eastAsia="宋体" w:hint="default"/>
                <w:sz w:val="18"/>
                <w:szCs w:val="18"/>
              </w:rPr>
              <w:t>用来存放数据和运行中央计算机系统、网络、存储等相关设备的专用场所， 由机房环境、</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基础设施和应用软件等部分组成</w:t>
            </w:r>
          </w:p>
        </w:tc>
      </w:tr>
      <w:tr>
        <w:trPr>
          <w:trHeight w:val="1026"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3"/>
              <w:jc w:val="both"/>
              <w:rPr>
                <w:rFonts w:ascii="宋体" w:hAnsi="宋体" w:cs="宋体" w:eastAsia="宋体" w:hint="default"/>
                <w:sz w:val="18"/>
                <w:szCs w:val="18"/>
              </w:rPr>
            </w:pPr>
            <w:r>
              <w:rPr>
                <w:rFonts w:ascii="宋体" w:hAnsi="宋体" w:cs="宋体" w:eastAsia="宋体" w:hint="default"/>
                <w:spacing w:val="-3"/>
                <w:sz w:val="18"/>
                <w:szCs w:val="18"/>
              </w:rPr>
              <w:t>分布式计算技术的一种，通过网络将庞大的计算任务分拆成无数个较小的子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程序，再交由多部服务器组成的庞大系统处理之后，将结果回传给用户，通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过计算力的虚拟整合实现强大效能的计算技术</w:t>
            </w:r>
          </w:p>
        </w:tc>
      </w:tr>
      <w:tr>
        <w:trPr>
          <w:trHeight w:val="714"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pacing w:val="-3"/>
                <w:sz w:val="18"/>
                <w:szCs w:val="18"/>
              </w:rPr>
              <w:t>规模巨大、类型复杂的数据集，这些数据集的规模已超出普通数据库管理工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具在可容忍的运行时间内进行数据捕获、存储和处理的能力</w:t>
            </w:r>
          </w:p>
        </w:tc>
      </w:tr>
      <w:tr>
        <w:trPr>
          <w:trHeight w:val="1026"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，软件定义网络。是网络虚拟化的一种实现方</w:t>
            </w:r>
            <w:r>
              <w:rPr>
                <w:rFonts w:ascii="宋体" w:hAnsi="宋体" w:cs="宋体" w:eastAsia="宋体" w:hint="default"/>
                <w:w w:val="99"/>
                <w:sz w:val="18"/>
                <w:szCs w:val="18"/>
              </w:rPr>
              <w:t> </w:t>
            </w:r>
            <w:r>
              <w:rPr>
                <w:rFonts w:ascii="宋体" w:hAnsi="宋体" w:cs="宋体" w:eastAsia="宋体" w:hint="default"/>
                <w:spacing w:val="-5"/>
                <w:w w:val="99"/>
                <w:sz w:val="18"/>
                <w:szCs w:val="18"/>
              </w:rPr>
              <w:t>式，通过将网络设备的控制面与数据面分离开来，实现网络流量的灵活控制，</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使网络作为管道变得更加智能，为核心网络及应用创新提供良好平台</w:t>
            </w:r>
          </w:p>
        </w:tc>
      </w:tr>
      <w:tr>
        <w:trPr>
          <w:trHeight w:val="1026"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ESB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Service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Bus</w:t>
            </w:r>
            <w:r>
              <w:rPr>
                <w:rFonts w:ascii="宋体" w:hAnsi="宋体" w:cs="宋体" w:eastAsia="宋体" w:hint="default"/>
                <w:sz w:val="18"/>
                <w:szCs w:val="18"/>
              </w:rPr>
              <w:t>，企业服务总线。在面向服务体系架构中，支持应用 </w:t>
            </w:r>
            <w:r>
              <w:rPr>
                <w:rFonts w:ascii="宋体" w:hAnsi="宋体" w:cs="宋体" w:eastAsia="宋体" w:hint="default"/>
                <w:spacing w:val="-3"/>
                <w:sz w:val="18"/>
                <w:szCs w:val="18"/>
              </w:rPr>
              <w:t>之间在消息、事件和服务级别上动态互连互通的中间件类软件，是一种在松</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散耦合的服务和应用之间标准的集成方式</w:t>
            </w:r>
          </w:p>
        </w:tc>
      </w:tr>
      <w:tr>
        <w:trPr>
          <w:trHeight w:val="714"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ITIL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Infrastructure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Library</w:t>
            </w:r>
            <w:r>
              <w:rPr>
                <w:rFonts w:ascii="宋体" w:hAnsi="宋体" w:cs="宋体" w:eastAsia="宋体" w:hint="default"/>
                <w:sz w:val="18"/>
                <w:szCs w:val="18"/>
              </w:rPr>
              <w:t>，信息技术基础架构库。是适用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服务管理的一套标准体系</w:t>
            </w:r>
          </w:p>
        </w:tc>
      </w:tr>
      <w:tr>
        <w:trPr>
          <w:trHeight w:val="1027"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 Service</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Standards</w:t>
            </w:r>
            <w:r>
              <w:rPr>
                <w:rFonts w:ascii="宋体" w:hAnsi="宋体" w:cs="宋体" w:eastAsia="宋体" w:hint="default"/>
                <w:sz w:val="18"/>
                <w:szCs w:val="18"/>
              </w:rPr>
              <w:t>，信息技术服务标准。是在工业和 </w:t>
            </w:r>
            <w:r>
              <w:rPr>
                <w:rFonts w:ascii="宋体" w:hAnsi="宋体" w:cs="宋体" w:eastAsia="宋体" w:hint="default"/>
                <w:spacing w:val="-4"/>
                <w:sz w:val="18"/>
                <w:szCs w:val="18"/>
              </w:rPr>
              <w:t>信息化部、国家标准化委的领导和支持下，由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工作组研制的一套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 务领域的标准库和一套提供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服务的方法论</w:t>
            </w:r>
          </w:p>
        </w:tc>
      </w:tr>
    </w:tbl>
    <w:p>
      <w:pPr>
        <w:spacing w:after="0" w:line="300" w:lineRule="auto"/>
        <w:jc w:val="left"/>
        <w:rPr>
          <w:rFonts w:ascii="宋体" w:hAnsi="宋体" w:cs="宋体" w:eastAsia="宋体" w:hint="default"/>
          <w:sz w:val="18"/>
          <w:szCs w:val="18"/>
        </w:rPr>
        <w:sectPr>
          <w:headerReference w:type="default" r:id="rId9"/>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83"/>
        <w:gridCol w:w="2954"/>
        <w:gridCol w:w="2157"/>
        <w:gridCol w:w="1970"/>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先进数通</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300541</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先进数通</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Beijing</w:t>
            </w:r>
            <w:r>
              <w:rPr>
                <w:rFonts w:ascii="Times New Roman"/>
                <w:spacing w:val="-15"/>
                <w:sz w:val="18"/>
              </w:rPr>
              <w:t> </w:t>
            </w:r>
            <w:r>
              <w:rPr>
                <w:rFonts w:ascii="Times New Roman"/>
                <w:sz w:val="18"/>
              </w:rPr>
              <w:t>Advanced</w:t>
            </w:r>
            <w:r>
              <w:rPr>
                <w:rFonts w:ascii="Times New Roman"/>
                <w:spacing w:val="-5"/>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4"/>
                <w:sz w:val="18"/>
              </w:rPr>
              <w:t> </w:t>
            </w:r>
            <w:r>
              <w:rPr>
                <w:rFonts w:ascii="Times New Roman"/>
                <w:sz w:val="18"/>
              </w:rPr>
              <w:t>Co.,</w:t>
            </w:r>
            <w:r>
              <w:rPr>
                <w:rFonts w:ascii="Times New Roman"/>
                <w:spacing w:val="-6"/>
                <w:sz w:val="18"/>
              </w:rPr>
              <w:t> </w:t>
            </w:r>
            <w:r>
              <w:rPr>
                <w:rFonts w:ascii="Times New Roman"/>
                <w:sz w:val="18"/>
              </w:rPr>
              <w:t>Ltd.</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pacing w:val="-3"/>
                <w:sz w:val="18"/>
              </w:rPr>
              <w:t>ADTec</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座六层</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座六层</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www.adtec.com.cn</w:t>
              </w:r>
            </w:hyperlink>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60"/>
        <w:gridCol w:w="3807"/>
        <w:gridCol w:w="3814"/>
      </w:tblGrid>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王朗</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座六层</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座六层</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010-68700009</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010-68700009</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010-68700510</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010-68700510</w:t>
            </w:r>
          </w:p>
        </w:tc>
      </w:tr>
      <w:tr>
        <w:trPr>
          <w:trHeight w:val="402"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r>
              <w:rPr>
                <w:rFonts w:ascii="宋体" w:hAnsi="宋体" w:cs="宋体" w:eastAsia="宋体" w:hint="default"/>
                <w:spacing w:val="89"/>
                <w:sz w:val="18"/>
                <w:szCs w:val="18"/>
              </w:rPr>
              <w:t> </w:t>
            </w: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北京市海淀区知春路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 </w:t>
            </w:r>
            <w:r>
              <w:rPr>
                <w:rFonts w:ascii="Times New Roman" w:hAnsi="Times New Roman" w:cs="Times New Roman" w:eastAsia="Times New Roman" w:hint="default"/>
                <w:sz w:val="18"/>
                <w:szCs w:val="18"/>
              </w:rPr>
              <w:t>15  </w:t>
            </w:r>
            <w:r>
              <w:rPr>
                <w:rFonts w:ascii="宋体" w:hAnsi="宋体" w:cs="宋体" w:eastAsia="宋体" w:hint="default"/>
                <w:sz w:val="18"/>
                <w:szCs w:val="18"/>
              </w:rPr>
              <w:t>层 </w:t>
            </w:r>
            <w:r>
              <w:rPr>
                <w:rFonts w:ascii="Times New Roman" w:hAnsi="Times New Roman" w:cs="Times New Roman" w:eastAsia="Times New Roman" w:hint="default"/>
                <w:sz w:val="18"/>
                <w:szCs w:val="18"/>
              </w:rPr>
              <w:t>1504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于曙光、王卓</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8"/>
              <w:jc w:val="left"/>
              <w:rPr>
                <w:rFonts w:ascii="宋体" w:hAnsi="宋体" w:cs="宋体" w:eastAsia="宋体" w:hint="default"/>
                <w:sz w:val="18"/>
                <w:szCs w:val="18"/>
              </w:rPr>
            </w:pPr>
            <w:r>
              <w:rPr>
                <w:rFonts w:ascii="宋体" w:hAnsi="宋体" w:cs="宋体" w:eastAsia="宋体" w:hint="default"/>
                <w:sz w:val="18"/>
                <w:szCs w:val="18"/>
              </w:rPr>
              <w:t>中国（上海）自由贸易试验 区商城路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韩志达、徐可任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 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7"/>
        <w:ind w:right="0"/>
        <w:jc w:val="left"/>
      </w:pPr>
      <w:r>
        <w:rPr/>
        <w:t>□ 是 √ 否</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88"/>
        <w:gridCol w:w="1595"/>
        <w:gridCol w:w="1553"/>
        <w:gridCol w:w="1884"/>
        <w:gridCol w:w="1535"/>
      </w:tblGrid>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1,011,762,811.34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980,588,378.49</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归属于上市公司股东的净利润（元）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714"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51,195,598.94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42,731,166.49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56,490,626.32</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经营活动产生的现金流量净额（元）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87,476,464.26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-138,529,061.78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-163.15%</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-76,818,714.01</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-22.22%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-22.22%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13.19%</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1,318,704,222.54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1,074,680,540.01</w:t>
            </w:r>
          </w:p>
        </w:tc>
      </w:tr>
      <w:tr>
        <w:trPr>
          <w:trHeight w:val="40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归属于上市公司股东的净资产（元）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709,760,382.06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98,136,087.80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448,630,896.62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288,353,823.03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555,227,667.45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-4,446,245.30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22,589,727.91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4,610,370.22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28,434,263.51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-4,446,428.11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22,052,559.35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4,346,754.41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29,242,713.29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-157,730,979.05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163,689,769.15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-213,869,554.75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295,387,228.91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1393"/>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1433"/>
        <w:gridCol w:w="1344"/>
        <w:gridCol w:w="1356"/>
        <w:gridCol w:w="204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-358,962.54</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-44,686.94</w:t>
            </w:r>
            <w:r>
              <w:rPr>
                <w:rFonts w:ascii="Times New Roman"/>
                <w:sz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326,300.00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2,873,984.76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32"/>
              <w:jc w:val="left"/>
              <w:rPr>
                <w:rFonts w:ascii="宋体" w:hAnsi="宋体" w:cs="宋体" w:eastAsia="宋体" w:hint="default"/>
                <w:sz w:val="18"/>
                <w:szCs w:val="18"/>
              </w:rPr>
            </w:pPr>
            <w:r>
              <w:rPr>
                <w:rFonts w:ascii="宋体" w:hAnsi="宋体" w:cs="宋体" w:eastAsia="宋体" w:hint="default"/>
                <w:sz w:val="18"/>
                <w:szCs w:val="18"/>
              </w:rPr>
              <w:t>中关村管委会上市支持 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326300 </w:t>
            </w:r>
            <w:r>
              <w:rPr>
                <w:rFonts w:ascii="宋体" w:hAnsi="宋体" w:cs="宋体" w:eastAsia="宋体" w:hint="default"/>
                <w:sz w:val="18"/>
                <w:szCs w:val="18"/>
              </w:rPr>
              <w:t>元。</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23,859.48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278,696.19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675,476.18</w:t>
            </w: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-1,320.46</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35,101.39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532,419.14</w:t>
            </w: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-7,482.60</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198,907.86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3,017,041.80</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6" w:lineRule="auto" w:before="0"/>
        <w:ind w:right="1131" w:firstLine="360"/>
        <w:jc w:val="both"/>
      </w:pPr>
      <w:r>
        <w:rPr>
          <w:spacing w:val="-2"/>
        </w:rPr>
        <w:t>公司主要面向以商业银行为主的客户提供</w:t>
      </w:r>
      <w:r>
        <w:rPr>
          <w:rFonts w:ascii="宋体" w:hAnsi="宋体" w:cs="宋体" w:eastAsia="宋体" w:hint="default"/>
          <w:spacing w:val="-2"/>
        </w:rPr>
        <w:t>IT</w:t>
      </w:r>
      <w:r>
        <w:rPr>
          <w:spacing w:val="-2"/>
        </w:rPr>
        <w:t>解决方案及服务，包括</w:t>
      </w:r>
      <w:r>
        <w:rPr>
          <w:rFonts w:ascii="宋体" w:hAnsi="宋体" w:cs="宋体" w:eastAsia="宋体" w:hint="default"/>
          <w:spacing w:val="-2"/>
        </w:rPr>
        <w:t>IT</w:t>
      </w:r>
      <w:r>
        <w:rPr>
          <w:spacing w:val="-2"/>
        </w:rPr>
        <w:t>基础设施建设、软件解决方案及</w:t>
      </w:r>
      <w:r>
        <w:rPr>
          <w:rFonts w:ascii="宋体" w:hAnsi="宋体" w:cs="宋体" w:eastAsia="宋体" w:hint="default"/>
          <w:spacing w:val="-2"/>
        </w:rPr>
        <w:t>IT</w:t>
      </w:r>
      <w:r>
        <w:rPr>
          <w:spacing w:val="-2"/>
        </w:rPr>
        <w:t>运维服务，自设</w:t>
      </w:r>
      <w:r>
        <w:rPr/>
        <w:t> 立以来，公司的主营业务未发生重大变化。</w:t>
      </w:r>
    </w:p>
    <w:p>
      <w:pPr>
        <w:pStyle w:val="BodyText"/>
        <w:spacing w:line="316" w:lineRule="auto"/>
        <w:ind w:left="474" w:right="0"/>
        <w:jc w:val="left"/>
      </w:pPr>
      <w:r>
        <w:rPr/>
        <w:t>（一）行业发展态势及公司应对措施 </w:t>
      </w:r>
      <w:r>
        <w:rPr>
          <w:spacing w:val="-2"/>
        </w:rPr>
        <w:t>公司主要客户为国内商业银行，报告期内，公司来自银行业客户的收入占营业总收入的比例为</w:t>
      </w:r>
      <w:r>
        <w:rPr>
          <w:rFonts w:ascii="宋体" w:hAnsi="宋体" w:cs="宋体" w:eastAsia="宋体" w:hint="default"/>
          <w:spacing w:val="-2"/>
        </w:rPr>
        <w:t>55.31%</w:t>
      </w:r>
      <w:r>
        <w:rPr>
          <w:spacing w:val="-2"/>
        </w:rPr>
        <w:t>，国内银行业信息</w:t>
      </w:r>
    </w:p>
    <w:p>
      <w:pPr>
        <w:pStyle w:val="BodyText"/>
        <w:spacing w:line="316" w:lineRule="auto"/>
        <w:ind w:left="474" w:right="0" w:hanging="360"/>
        <w:jc w:val="left"/>
      </w:pPr>
      <w:r>
        <w:rPr/>
        <w:t>化整体状况，构成对公司业务具有重大影响的外部环境。 </w:t>
      </w:r>
      <w:r>
        <w:rPr>
          <w:spacing w:val="-2"/>
        </w:rPr>
        <w:t>银行业是国内信息化程度最高的行业之一，经过多年持续大规模信息化投入，国内银行已建立了完善的信息化业务处理</w:t>
      </w:r>
    </w:p>
    <w:p>
      <w:pPr>
        <w:pStyle w:val="BodyText"/>
        <w:spacing w:line="316" w:lineRule="auto"/>
        <w:ind w:right="1130"/>
        <w:jc w:val="both"/>
      </w:pPr>
      <w:r>
        <w:rPr>
          <w:spacing w:val="-2"/>
        </w:rPr>
        <w:t>与经营管理体系，近期整体投资规模呈平稳增长态势。市场竞争层面，银行信息系统十分复杂，对安全性、可靠性要求非常</w:t>
      </w:r>
      <w:r>
        <w:rPr>
          <w:spacing w:val="-66"/>
        </w:rPr>
        <w:t> </w:t>
      </w:r>
      <w:r>
        <w:rPr>
          <w:spacing w:val="-66"/>
        </w:rPr>
      </w:r>
      <w:r>
        <w:rPr>
          <w:spacing w:val="-2"/>
        </w:rPr>
        <w:t>高，对供应商资质、能力要求也相应提高，国内银行业信息化的主要服务商，大部分规模较大，竞争十分激烈。银行信息化</w:t>
      </w:r>
      <w:r>
        <w:rPr>
          <w:spacing w:val="-68"/>
        </w:rPr>
        <w:t> </w:t>
      </w:r>
      <w:r>
        <w:rPr>
          <w:spacing w:val="-68"/>
        </w:rPr>
      </w:r>
      <w:r>
        <w:rPr/>
        <w:t>服务商在客户资源、优势细分应用领域、技术与服务能力等方面，各有其独特的优势，市场格局相对稳定。</w:t>
      </w:r>
    </w:p>
    <w:p>
      <w:pPr>
        <w:pStyle w:val="BodyText"/>
        <w:spacing w:line="319" w:lineRule="auto"/>
        <w:ind w:right="1032" w:firstLine="360"/>
        <w:jc w:val="left"/>
      </w:pPr>
      <w:r>
        <w:rPr>
          <w:spacing w:val="-2"/>
        </w:rPr>
        <w:t>面对银行信息化市场总体平稳、竞争激烈的态势，公司积极调整策略，利用自身技术、服务与厂商合作优势，积极拓展</w:t>
      </w:r>
      <w:r>
        <w:rPr/>
        <w:t> 非银行企业市场。报告期内，公司在大型互联网企业</w:t>
      </w:r>
      <w:r>
        <w:rPr>
          <w:rFonts w:ascii="宋体" w:hAnsi="宋体" w:cs="宋体" w:eastAsia="宋体" w:hint="default"/>
        </w:rPr>
        <w:t>IT</w:t>
      </w:r>
      <w:r>
        <w:rPr/>
        <w:t>服务市场，取得了积极的进展，成为推动公司营收增长的主要动力。 大型互联网企业信息化投入巨大，是公司未来布局的重点行业市场。</w:t>
      </w:r>
    </w:p>
    <w:p>
      <w:pPr>
        <w:pStyle w:val="BodyText"/>
        <w:spacing w:line="316" w:lineRule="auto" w:before="17"/>
        <w:ind w:right="1131" w:firstLine="360"/>
        <w:jc w:val="both"/>
      </w:pPr>
      <w:r>
        <w:rPr>
          <w:spacing w:val="-2"/>
        </w:rPr>
        <w:t>近期，银行信息化行业格局发生了一些重要的变化，对未来将产生深远的影响。首先，大中型银行纷纷成立独立的金融</w:t>
      </w:r>
      <w:r>
        <w:rPr/>
        <w:t> </w:t>
      </w:r>
      <w:r>
        <w:rPr>
          <w:spacing w:val="-2"/>
        </w:rPr>
        <w:t>科技公司，成为这一市场的重要参与者。银行系金融科技公司在服务母体银行的同时，凭借其技术、品牌和资金优势大规模</w:t>
      </w:r>
      <w:r>
        <w:rPr>
          <w:spacing w:val="-66"/>
        </w:rPr>
        <w:t> </w:t>
      </w:r>
      <w:r>
        <w:rPr>
          <w:spacing w:val="-66"/>
        </w:rPr>
      </w:r>
      <w:r>
        <w:rPr>
          <w:spacing w:val="-2"/>
        </w:rPr>
        <w:t>输出其整体</w:t>
      </w:r>
      <w:r>
        <w:rPr>
          <w:rFonts w:ascii="宋体" w:hAnsi="宋体" w:cs="宋体" w:eastAsia="宋体" w:hint="default"/>
          <w:spacing w:val="-2"/>
        </w:rPr>
        <w:t>IT</w:t>
      </w:r>
      <w:r>
        <w:rPr>
          <w:spacing w:val="-2"/>
        </w:rPr>
        <w:t>能力，同时以场景应用为基础，跨行业建立金融服务生态。其次，大型互联网企业，强势介入企业级</w:t>
      </w:r>
      <w:r>
        <w:rPr>
          <w:rFonts w:ascii="宋体" w:hAnsi="宋体" w:cs="宋体" w:eastAsia="宋体" w:hint="default"/>
          <w:spacing w:val="-2"/>
        </w:rPr>
        <w:t>IT</w:t>
      </w:r>
      <w:r>
        <w:rPr>
          <w:spacing w:val="-2"/>
        </w:rPr>
        <w:t>解决方</w:t>
      </w:r>
      <w:r>
        <w:rPr>
          <w:spacing w:val="-62"/>
        </w:rPr>
        <w:t> </w:t>
      </w:r>
      <w:r>
        <w:rPr/>
        <w:t>案市场，其平台级产品与解决方案、基于互联网金融生态的应用，在银行业已获得较大程度的认可。</w:t>
      </w:r>
    </w:p>
    <w:p>
      <w:pPr>
        <w:pStyle w:val="BodyText"/>
        <w:spacing w:line="316" w:lineRule="auto"/>
        <w:ind w:right="1130" w:firstLine="360"/>
        <w:jc w:val="both"/>
      </w:pPr>
      <w:r>
        <w:rPr>
          <w:spacing w:val="-2"/>
        </w:rPr>
        <w:t>面对新的市场格局，公司采取了合作共赢的应对策略，在突出自身应用、服务优势的同时，与银行系金融科技公司、大</w:t>
      </w:r>
      <w:r>
        <w:rPr/>
        <w:t> </w:t>
      </w:r>
      <w:r>
        <w:rPr>
          <w:spacing w:val="-2"/>
        </w:rPr>
        <w:t>型互联网企业深入合作，共同发展。银行系金融科技公司源自其母体银行科技体系，公司与之有着长期的合作关系，有坚实</w:t>
      </w:r>
      <w:r>
        <w:rPr>
          <w:spacing w:val="-66"/>
        </w:rPr>
        <w:t> </w:t>
      </w:r>
      <w:r>
        <w:rPr>
          <w:spacing w:val="-66"/>
        </w:rPr>
      </w:r>
      <w:r>
        <w:rPr>
          <w:spacing w:val="-2"/>
        </w:rPr>
        <w:t>的合作基础，双方发挥各自优势，能够获得更加广阔的市场空间。报告期内，公司与银行系科技公司已开始合作推广应用项</w:t>
      </w:r>
      <w:r>
        <w:rPr>
          <w:spacing w:val="-66"/>
        </w:rPr>
        <w:t> </w:t>
      </w:r>
      <w:r>
        <w:rPr>
          <w:spacing w:val="-66"/>
        </w:rPr>
      </w:r>
      <w:r>
        <w:rPr>
          <w:spacing w:val="-2"/>
        </w:rPr>
        <w:t>目，获得了良好应用效果。大型互联网企业基础技术研发投入巨大，在平台、互联网金融生态应用领域有着巨大的优势，公</w:t>
      </w:r>
      <w:r>
        <w:rPr>
          <w:spacing w:val="-66"/>
        </w:rPr>
        <w:t> </w:t>
      </w:r>
      <w:r>
        <w:rPr>
          <w:spacing w:val="-66"/>
        </w:rPr>
      </w:r>
      <w:r>
        <w:rPr>
          <w:spacing w:val="-2"/>
        </w:rPr>
        <w:t>司在最终用户应用、长期服务、成本控制等方面也有着独特的优势，双方合作空间巨大。报告期内，公司与华为、阿里系互</w:t>
      </w:r>
      <w:r>
        <w:rPr>
          <w:spacing w:val="-68"/>
        </w:rPr>
        <w:t> </w:t>
      </w:r>
      <w:r>
        <w:rPr>
          <w:spacing w:val="-68"/>
        </w:rPr>
      </w:r>
      <w:r>
        <w:rPr/>
        <w:t>联网科技企业建立了深入、多层次的合作关系，在共同推广云计算、大数据平台及应用领域，取得了可喜的进展。</w:t>
      </w:r>
    </w:p>
    <w:p>
      <w:pPr>
        <w:pStyle w:val="BodyText"/>
        <w:spacing w:line="316" w:lineRule="auto"/>
        <w:ind w:right="1133" w:firstLine="360"/>
        <w:jc w:val="both"/>
      </w:pPr>
      <w:r>
        <w:rPr>
          <w:spacing w:val="-2"/>
        </w:rPr>
        <w:t>另一方面，信息技术应用是未来发展以及提升竞争力的关键，已成为银行业共识，银行业对信息技术依然保持较高强度</w:t>
      </w:r>
      <w:r>
        <w:rPr/>
        <w:t> </w:t>
      </w:r>
      <w:r>
        <w:rPr>
          <w:spacing w:val="-2"/>
        </w:rPr>
        <w:t>的投入，新技术应用依然呈活跃态势。在总体平稳的态势下，局部热点不断涌现。银行信息化服务商，有很多机会跟随新的</w:t>
      </w:r>
      <w:r>
        <w:rPr>
          <w:spacing w:val="-66"/>
        </w:rPr>
        <w:t> </w:t>
      </w:r>
      <w:r>
        <w:rPr>
          <w:spacing w:val="-66"/>
        </w:rPr>
      </w:r>
      <w:r>
        <w:rPr/>
        <w:t>银行信息化技术、应用的大规模推广，获得快速发展的机会。</w:t>
      </w:r>
    </w:p>
    <w:p>
      <w:pPr>
        <w:pStyle w:val="BodyText"/>
        <w:spacing w:line="316" w:lineRule="auto" w:before="17"/>
        <w:ind w:right="1130" w:firstLine="360"/>
        <w:jc w:val="both"/>
      </w:pPr>
      <w:r>
        <w:rPr>
          <w:spacing w:val="-2"/>
        </w:rPr>
        <w:t>近期，金融行业云计算、大数据、安全与风控应用呈现活跃态势，公司在云计算数据中心建设与运维管理、金融交易云</w:t>
      </w:r>
      <w:r>
        <w:rPr/>
        <w:t> </w:t>
      </w:r>
      <w:r>
        <w:rPr>
          <w:spacing w:val="-2"/>
        </w:rPr>
        <w:t>业务处理、金融大数据应用领域，已有多年积累。报告期内，相关产品与服务、解决方案获得了规模化推广，同时公司正在</w:t>
      </w:r>
      <w:r>
        <w:rPr>
          <w:spacing w:val="-68"/>
        </w:rPr>
        <w:t> </w:t>
      </w:r>
      <w:r>
        <w:rPr>
          <w:spacing w:val="-68"/>
        </w:rPr>
      </w:r>
      <w:r>
        <w:rPr/>
        <w:t>积极推进大数据在风控领域的应用，持续聚焦金融信息化领域，稳固并扩大公司市场地位。</w:t>
      </w:r>
    </w:p>
    <w:p>
      <w:pPr>
        <w:spacing w:line="240" w:lineRule="auto" w:before="4"/>
        <w:rPr>
          <w:rFonts w:ascii="宋体" w:hAnsi="宋体" w:cs="宋体" w:eastAsia="宋体" w:hint="default"/>
          <w:sz w:val="25"/>
          <w:szCs w:val="25"/>
        </w:rPr>
      </w:pPr>
    </w:p>
    <w:p>
      <w:pPr>
        <w:pStyle w:val="BodyText"/>
        <w:spacing w:line="316" w:lineRule="auto" w:before="0"/>
        <w:ind w:left="474" w:right="8052"/>
        <w:jc w:val="left"/>
      </w:pPr>
      <w:r>
        <w:rPr/>
        <w:t>（二）主要业务、产品和服务 </w:t>
      </w:r>
      <w:r>
        <w:rPr>
          <w:rFonts w:ascii="宋体" w:hAnsi="宋体" w:cs="宋体" w:eastAsia="宋体" w:hint="default"/>
        </w:rPr>
        <w:t>1</w:t>
      </w:r>
      <w:r>
        <w:rPr/>
        <w:t>、</w:t>
      </w:r>
      <w:r>
        <w:rPr>
          <w:rFonts w:ascii="宋体" w:hAnsi="宋体" w:cs="宋体" w:eastAsia="宋体" w:hint="default"/>
        </w:rPr>
        <w:t>IT</w:t>
      </w:r>
      <w:r>
        <w:rPr/>
        <w:t>基础设施建设业务</w:t>
      </w:r>
    </w:p>
    <w:p>
      <w:pPr>
        <w:pStyle w:val="BodyText"/>
        <w:spacing w:line="240" w:lineRule="auto"/>
        <w:ind w:left="474" w:right="0"/>
        <w:jc w:val="left"/>
      </w:pPr>
      <w:r>
        <w:rPr>
          <w:rFonts w:ascii="宋体" w:hAnsi="宋体" w:cs="宋体" w:eastAsia="宋体" w:hint="default"/>
        </w:rPr>
        <w:t>IT</w:t>
      </w:r>
      <w:r>
        <w:rPr/>
        <w:t>基础设施领域，公司为客户提供规划设计咨询、软硬件选型与部署实施等覆盖</w:t>
      </w:r>
      <w:r>
        <w:rPr>
          <w:rFonts w:ascii="宋体" w:hAnsi="宋体" w:cs="宋体" w:eastAsia="宋体" w:hint="default"/>
        </w:rPr>
        <w:t>IT</w:t>
      </w:r>
      <w:r>
        <w:rPr/>
        <w:t>基础设施建设全生命周期的解决方案</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hanging="360"/>
        <w:jc w:val="left"/>
        <w:rPr>
          <w:rFonts w:ascii="宋体" w:hAnsi="宋体" w:cs="宋体" w:eastAsia="宋体" w:hint="default"/>
        </w:rPr>
      </w:pPr>
      <w:r>
        <w:rPr/>
        <w:t>和服务，同时结合自有的软件产品，为客户提供</w:t>
      </w:r>
      <w:r>
        <w:rPr>
          <w:rFonts w:ascii="宋体" w:hAnsi="宋体" w:cs="宋体" w:eastAsia="宋体" w:hint="default"/>
        </w:rPr>
        <w:t>IT</w:t>
      </w:r>
      <w:r>
        <w:rPr/>
        <w:t>基础设施增值服务。 </w:t>
      </w:r>
      <w:r>
        <w:rPr>
          <w:spacing w:val="-4"/>
        </w:rPr>
        <w:t>公司目前在</w:t>
      </w:r>
      <w:r>
        <w:rPr>
          <w:rFonts w:ascii="宋体" w:hAnsi="宋体" w:cs="宋体" w:eastAsia="宋体" w:hint="default"/>
          <w:spacing w:val="-4"/>
        </w:rPr>
        <w:t>IT</w:t>
      </w:r>
      <w:r>
        <w:rPr>
          <w:spacing w:val="-4"/>
        </w:rPr>
        <w:t>基础设施建设领域的主要解决方案及服务包括：云数据中心整体解决方案、企业私有云网络解决方案、</w:t>
      </w:r>
      <w:r>
        <w:rPr>
          <w:rFonts w:ascii="宋体" w:hAnsi="宋体" w:cs="宋体" w:eastAsia="宋体" w:hint="default"/>
          <w:spacing w:val="-4"/>
        </w:rPr>
        <w:t>SDN</w:t>
      </w:r>
    </w:p>
    <w:p>
      <w:pPr>
        <w:pStyle w:val="BodyText"/>
        <w:spacing w:line="316" w:lineRule="auto"/>
        <w:ind w:left="474" w:right="0" w:hanging="360"/>
        <w:jc w:val="left"/>
      </w:pPr>
      <w:r>
        <w:rPr/>
        <w:t>解决方案、云数据中心网络服务、智能化运维平台、云数据中心安全管理与可视化运维平台等。 </w:t>
      </w:r>
      <w:r>
        <w:rPr>
          <w:spacing w:val="-2"/>
        </w:rPr>
        <w:t>云数据中心整体解决方案为客户提供基于云计算架构的数据中心的网络、计算、存储、灾备等</w:t>
      </w:r>
      <w:r>
        <w:rPr>
          <w:rFonts w:ascii="宋体" w:hAnsi="宋体" w:cs="宋体" w:eastAsia="宋体" w:hint="default"/>
          <w:spacing w:val="-2"/>
        </w:rPr>
        <w:t>IT</w:t>
      </w:r>
      <w:r>
        <w:rPr>
          <w:spacing w:val="-2"/>
        </w:rPr>
        <w:t>基础设施的建设、整合</w:t>
      </w:r>
    </w:p>
    <w:p>
      <w:pPr>
        <w:pStyle w:val="BodyText"/>
        <w:spacing w:line="316" w:lineRule="auto"/>
        <w:ind w:left="474" w:right="1122" w:hanging="360"/>
        <w:jc w:val="left"/>
      </w:pPr>
      <w:r>
        <w:rPr/>
        <w:t>与优化，为企业客户搭建适应信息化需求的高性能、高可用性云数据中心基础环境。 企业私有云网络解决方案为大型企业客户提供基于客户业务特征的私有云网络规划、设计、部署服务。 </w:t>
      </w:r>
      <w:r>
        <w:rPr>
          <w:rFonts w:ascii="宋体" w:hAnsi="宋体" w:cs="宋体" w:eastAsia="宋体" w:hint="default"/>
        </w:rPr>
        <w:t>SDN</w:t>
      </w:r>
      <w:r>
        <w:rPr/>
        <w:t>解决方案通过网络控制与数据分离，实现了网络流量的灵活控制，使网络作为管道变得更加智能，为核心网络及应</w:t>
      </w:r>
    </w:p>
    <w:p>
      <w:pPr>
        <w:pStyle w:val="BodyText"/>
        <w:spacing w:line="240" w:lineRule="auto"/>
        <w:ind w:right="0"/>
        <w:jc w:val="left"/>
      </w:pPr>
      <w:r>
        <w:rPr/>
        <w:t>用的创新提供了良好的平台。</w:t>
      </w:r>
    </w:p>
    <w:p>
      <w:pPr>
        <w:pStyle w:val="BodyText"/>
        <w:spacing w:line="316" w:lineRule="auto" w:before="76"/>
        <w:ind w:right="1127" w:firstLine="360"/>
        <w:jc w:val="left"/>
      </w:pPr>
      <w:r>
        <w:rPr/>
        <w:t>云数据中心网络服务提供云数据中心重大项目的规划服务及服务交付</w:t>
      </w:r>
      <w:r>
        <w:rPr>
          <w:rFonts w:ascii="宋体" w:hAnsi="宋体" w:cs="宋体" w:eastAsia="宋体" w:hint="default"/>
        </w:rPr>
        <w:t>, </w:t>
      </w:r>
      <w:r>
        <w:rPr/>
        <w:t>提供专有产品的服务交付</w:t>
      </w:r>
      <w:r>
        <w:rPr>
          <w:rFonts w:ascii="宋体" w:hAnsi="宋体" w:cs="宋体" w:eastAsia="宋体" w:hint="default"/>
        </w:rPr>
        <w:t>,</w:t>
      </w:r>
      <w:r>
        <w:rPr>
          <w:rFonts w:ascii="宋体" w:hAnsi="宋体" w:cs="宋体" w:eastAsia="宋体" w:hint="default"/>
          <w:spacing w:val="85"/>
        </w:rPr>
        <w:t> </w:t>
      </w:r>
      <w:r>
        <w:rPr/>
        <w:t>为客户提供技术指 导与知识赋能。</w:t>
      </w:r>
    </w:p>
    <w:p>
      <w:pPr>
        <w:pStyle w:val="BodyText"/>
        <w:spacing w:line="316" w:lineRule="auto"/>
        <w:ind w:left="474" w:right="0"/>
        <w:jc w:val="left"/>
      </w:pPr>
      <w:r>
        <w:rPr/>
        <w:t>智能化运维平台实现场景化的运维服务交付，以及云数据中心运维的业务编排方法与本地化运维能力的整合。 </w:t>
      </w:r>
      <w:r>
        <w:rPr>
          <w:spacing w:val="-2"/>
        </w:rPr>
        <w:t>云数据中心安全管理与可视化运维平台建立合规的云数据中心整体安全架构，实现安全与策略管理及安全运维可视化解</w:t>
      </w:r>
    </w:p>
    <w:p>
      <w:pPr>
        <w:pStyle w:val="BodyText"/>
        <w:spacing w:line="240" w:lineRule="auto"/>
        <w:ind w:right="0"/>
        <w:jc w:val="left"/>
      </w:pPr>
      <w:r>
        <w:rPr/>
        <w:t>决方案。</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rFonts w:ascii="宋体" w:hAnsi="宋体" w:cs="宋体" w:eastAsia="宋体" w:hint="default"/>
        </w:rPr>
        <w:t>2</w:t>
      </w:r>
      <w:r>
        <w:rPr/>
        <w:t>、软件解决方案 </w:t>
      </w:r>
      <w:r>
        <w:rPr>
          <w:spacing w:val="-2"/>
        </w:rPr>
        <w:t>公司软件解决方案围绕银行业应用需求，形成了金融业务处理、数据管理与商业智能应用两大业务方向，并根据客户自</w:t>
      </w:r>
    </w:p>
    <w:p>
      <w:pPr>
        <w:pStyle w:val="BodyText"/>
        <w:spacing w:line="316" w:lineRule="auto"/>
        <w:ind w:right="0"/>
        <w:jc w:val="left"/>
      </w:pPr>
      <w:r>
        <w:rPr>
          <w:spacing w:val="-2"/>
        </w:rPr>
        <w:t>身的业务特点，向客户提供以公司自主平台软件为基础的定制化软件解决方案。另外，公司还基于以银行类金融机构为代表</w:t>
      </w:r>
      <w:r>
        <w:rPr>
          <w:spacing w:val="-66"/>
        </w:rPr>
        <w:t> </w:t>
      </w:r>
      <w:r>
        <w:rPr>
          <w:spacing w:val="-66"/>
        </w:rPr>
      </w:r>
      <w:r>
        <w:rPr/>
        <w:t>的国内外大型企业运营中现实的需求，提供定量软件开发服务。</w:t>
      </w:r>
    </w:p>
    <w:p>
      <w:pPr>
        <w:pStyle w:val="BodyText"/>
        <w:spacing w:line="316" w:lineRule="auto"/>
        <w:ind w:right="0" w:firstLine="360"/>
        <w:jc w:val="left"/>
      </w:pPr>
      <w:r>
        <w:rPr>
          <w:spacing w:val="-2"/>
        </w:rPr>
        <w:t>金融业务处理领域，公司基于自有版权软件产品</w:t>
      </w:r>
      <w:r>
        <w:rPr>
          <w:rFonts w:ascii="宋体" w:hAnsi="宋体" w:cs="宋体" w:eastAsia="宋体" w:hint="default"/>
          <w:spacing w:val="-2"/>
        </w:rPr>
        <w:t>Starring</w:t>
      </w:r>
      <w:r>
        <w:rPr>
          <w:spacing w:val="-2"/>
        </w:rPr>
        <w:t>，提供金融交易云平台解决方案。该平台采用微服务架构，结</w:t>
      </w:r>
      <w:r>
        <w:rPr/>
        <w:t> </w:t>
      </w:r>
      <w:r>
        <w:rPr>
          <w:spacing w:val="-5"/>
        </w:rPr>
        <w:t>合云计算技术，帮助用户快速将传统</w:t>
      </w:r>
      <w:r>
        <w:rPr>
          <w:rFonts w:ascii="宋体" w:hAnsi="宋体" w:cs="宋体" w:eastAsia="宋体" w:hint="default"/>
          <w:spacing w:val="-5"/>
        </w:rPr>
        <w:t>IT</w:t>
      </w:r>
      <w:r>
        <w:rPr>
          <w:spacing w:val="-5"/>
        </w:rPr>
        <w:t>应用迁移到云计算架构，同时为客户提供基于云计算平台的应用解决方案，包括：</w:t>
      </w:r>
      <w:r>
        <w:rPr>
          <w:rFonts w:ascii="宋体" w:hAnsi="宋体" w:cs="宋体" w:eastAsia="宋体" w:hint="default"/>
          <w:spacing w:val="-5"/>
        </w:rPr>
        <w:t>ESB</w:t>
      </w:r>
      <w:r>
        <w:rPr>
          <w:spacing w:val="-5"/>
        </w:rPr>
        <w:t>、</w:t>
      </w:r>
      <w:r>
        <w:rPr>
          <w:spacing w:val="-66"/>
        </w:rPr>
        <w:t> </w:t>
      </w:r>
      <w:r>
        <w:rPr/>
        <w:t>银行交易渠道及前置、中间业务、各类金融支付、电子银行、银行业务产品装配工厂等。</w:t>
      </w:r>
    </w:p>
    <w:p>
      <w:pPr>
        <w:pStyle w:val="BodyText"/>
        <w:spacing w:line="319" w:lineRule="auto"/>
        <w:ind w:right="1026" w:firstLine="360"/>
        <w:jc w:val="left"/>
      </w:pPr>
      <w:r>
        <w:rPr>
          <w:spacing w:val="-3"/>
        </w:rPr>
        <w:t>数据管理与商业智能应用领域，公司以自主平台软件</w:t>
      </w:r>
      <w:r>
        <w:rPr>
          <w:rFonts w:ascii="宋体" w:hAnsi="宋体" w:cs="宋体" w:eastAsia="宋体" w:hint="default"/>
          <w:spacing w:val="-3"/>
        </w:rPr>
        <w:t>iMOIA</w:t>
      </w:r>
      <w:r>
        <w:rPr>
          <w:spacing w:val="-3"/>
        </w:rPr>
        <w:t>及</w:t>
      </w:r>
      <w:r>
        <w:rPr>
          <w:rFonts w:ascii="宋体" w:hAnsi="宋体" w:cs="宋体" w:eastAsia="宋体" w:hint="default"/>
          <w:spacing w:val="-3"/>
        </w:rPr>
        <w:t>BDPAS</w:t>
      </w:r>
      <w:r>
        <w:rPr>
          <w:spacing w:val="-3"/>
        </w:rPr>
        <w:t>为核心，搭建企业级大数据管理平台，提供核心调度、</w:t>
      </w:r>
      <w:r>
        <w:rPr/>
        <w:t> </w:t>
      </w:r>
      <w:r>
        <w:rPr>
          <w:spacing w:val="-2"/>
        </w:rPr>
        <w:t>大数据管理及配套的数据分析与展现平台、企业级客户信息管理平台、历史数据管理平台、基于大数据金融反欺诈等应用解</w:t>
      </w:r>
      <w:r>
        <w:rPr>
          <w:spacing w:val="-66"/>
        </w:rPr>
        <w:t> </w:t>
      </w:r>
      <w:r>
        <w:rPr>
          <w:spacing w:val="-66"/>
        </w:rPr>
      </w:r>
      <w:r>
        <w:rPr/>
        <w:t>决方案。</w:t>
      </w:r>
    </w:p>
    <w:p>
      <w:pPr>
        <w:spacing w:line="240" w:lineRule="auto" w:before="2"/>
        <w:rPr>
          <w:rFonts w:ascii="宋体" w:hAnsi="宋体" w:cs="宋体" w:eastAsia="宋体" w:hint="default"/>
          <w:sz w:val="25"/>
          <w:szCs w:val="25"/>
        </w:rPr>
      </w:pPr>
    </w:p>
    <w:p>
      <w:pPr>
        <w:pStyle w:val="BodyText"/>
        <w:spacing w:line="316" w:lineRule="auto" w:before="0"/>
        <w:ind w:left="474" w:right="1118"/>
        <w:jc w:val="left"/>
      </w:pPr>
      <w:r>
        <w:rPr>
          <w:rFonts w:ascii="宋体" w:hAnsi="宋体" w:cs="宋体" w:eastAsia="宋体" w:hint="default"/>
        </w:rPr>
        <w:t>3</w:t>
      </w:r>
      <w:r>
        <w:rPr/>
        <w:t>、</w:t>
      </w:r>
      <w:r>
        <w:rPr>
          <w:rFonts w:ascii="宋体" w:hAnsi="宋体" w:cs="宋体" w:eastAsia="宋体" w:hint="default"/>
        </w:rPr>
        <w:t>IT</w:t>
      </w:r>
      <w:r>
        <w:rPr/>
        <w:t>运维服务 </w:t>
      </w:r>
      <w:r>
        <w:rPr>
          <w:rFonts w:ascii="宋体" w:hAnsi="宋体" w:cs="宋体" w:eastAsia="宋体" w:hint="default"/>
          <w:spacing w:val="-2"/>
        </w:rPr>
        <w:t>IT</w:t>
      </w:r>
      <w:r>
        <w:rPr>
          <w:spacing w:val="-2"/>
        </w:rPr>
        <w:t>运维服务业务基于</w:t>
      </w:r>
      <w:r>
        <w:rPr>
          <w:rFonts w:ascii="宋体" w:hAnsi="宋体" w:cs="宋体" w:eastAsia="宋体" w:hint="default"/>
          <w:spacing w:val="-2"/>
        </w:rPr>
        <w:t>ITIL</w:t>
      </w:r>
      <w:r>
        <w:rPr>
          <w:spacing w:val="-2"/>
        </w:rPr>
        <w:t>服务管理体系与</w:t>
      </w:r>
      <w:r>
        <w:rPr>
          <w:rFonts w:ascii="宋体" w:hAnsi="宋体" w:cs="宋体" w:eastAsia="宋体" w:hint="default"/>
          <w:spacing w:val="-2"/>
        </w:rPr>
        <w:t>ITSS</w:t>
      </w:r>
      <w:r>
        <w:rPr>
          <w:spacing w:val="-2"/>
        </w:rPr>
        <w:t>运维技术框架，为客户提供标准化、规范化的运维支持服务，包括基础软</w:t>
      </w:r>
    </w:p>
    <w:p>
      <w:pPr>
        <w:pStyle w:val="BodyText"/>
        <w:spacing w:line="316" w:lineRule="auto"/>
        <w:ind w:left="474" w:right="0" w:hanging="360"/>
        <w:jc w:val="left"/>
      </w:pPr>
      <w:r>
        <w:rPr/>
        <w:t>硬件维保服务、系统运维服务、专项运维服务、系统及应用软件支持与维护服务。 基础软硬件维保服务包括：巡检服务、事件与问题支持、现场值守等。 系统运维服务包括：运维体系部署、系统监控管理、系统日常运维等。 专项运维服务，根据客户具体需求，结合自主研发的工具，提供专项服务。 </w:t>
      </w:r>
      <w:r>
        <w:rPr>
          <w:spacing w:val="-2"/>
        </w:rPr>
        <w:t>系统及应用软件支持与维护服务，根据客户要求，为已实施的软件解决方案提供定期巡检、故障排除、系统调优、系统</w:t>
      </w:r>
    </w:p>
    <w:p>
      <w:pPr>
        <w:pStyle w:val="BodyText"/>
        <w:spacing w:line="316" w:lineRule="auto"/>
        <w:ind w:right="1118"/>
        <w:jc w:val="left"/>
      </w:pPr>
      <w:r>
        <w:rPr>
          <w:spacing w:val="-2"/>
        </w:rPr>
        <w:t>变更支持等服务。另外，公司也为软件解决方案与</w:t>
      </w:r>
      <w:r>
        <w:rPr>
          <w:rFonts w:ascii="宋体" w:hAnsi="宋体" w:cs="宋体" w:eastAsia="宋体" w:hint="default"/>
          <w:spacing w:val="-2"/>
        </w:rPr>
        <w:t>IT</w:t>
      </w:r>
      <w:r>
        <w:rPr>
          <w:spacing w:val="-2"/>
        </w:rPr>
        <w:t>基础设施建设中使用的第三方应用软件产品提供全面的、端到端的专业</w:t>
      </w:r>
      <w:r>
        <w:rPr>
          <w:spacing w:val="-64"/>
        </w:rPr>
        <w:t> </w:t>
      </w:r>
      <w:r>
        <w:rPr>
          <w:spacing w:val="-64"/>
        </w:rPr>
      </w:r>
      <w:r>
        <w:rPr/>
        <w:t>支持服务。</w:t>
      </w:r>
    </w:p>
    <w:p>
      <w:pPr>
        <w:pStyle w:val="BodyText"/>
        <w:spacing w:line="240" w:lineRule="auto"/>
        <w:ind w:left="474" w:right="0"/>
        <w:jc w:val="left"/>
      </w:pPr>
      <w:r>
        <w:rPr/>
        <w:t>基于公司自有版权软件产品</w:t>
      </w:r>
      <w:r>
        <w:rPr>
          <w:rFonts w:ascii="宋体" w:hAnsi="宋体" w:cs="宋体" w:eastAsia="宋体" w:hint="default"/>
        </w:rPr>
        <w:t>ANOS</w:t>
      </w:r>
      <w:r>
        <w:rPr/>
        <w:t>，建立符合</w:t>
      </w:r>
      <w:r>
        <w:rPr>
          <w:rFonts w:ascii="宋体" w:hAnsi="宋体" w:cs="宋体" w:eastAsia="宋体" w:hint="default"/>
        </w:rPr>
        <w:t>ITSS</w:t>
      </w:r>
      <w:r>
        <w:rPr/>
        <w:t>运维技术框架的全网络智能化管理及运维体系。</w:t>
      </w:r>
    </w:p>
    <w:p>
      <w:pPr>
        <w:spacing w:line="240" w:lineRule="auto" w:before="0"/>
        <w:rPr>
          <w:rFonts w:ascii="宋体" w:hAnsi="宋体" w:cs="宋体" w:eastAsia="宋体" w:hint="default"/>
          <w:sz w:val="18"/>
          <w:szCs w:val="18"/>
        </w:rPr>
      </w:pPr>
    </w:p>
    <w:p>
      <w:pPr>
        <w:pStyle w:val="BodyText"/>
        <w:spacing w:line="316" w:lineRule="auto" w:before="153"/>
        <w:ind w:left="474" w:right="1032"/>
        <w:jc w:val="left"/>
      </w:pPr>
      <w:r>
        <w:rPr/>
        <w:t>（三）行业地位 公司是国内银行</w:t>
      </w:r>
      <w:r>
        <w:rPr>
          <w:rFonts w:ascii="宋体" w:hAnsi="宋体" w:cs="宋体" w:eastAsia="宋体" w:hint="default"/>
        </w:rPr>
        <w:t>IT</w:t>
      </w:r>
      <w:r>
        <w:rPr/>
        <w:t>服务的重要参与者，是国内少数几家同时为工商银行、建设银行、农业银行、中国银行、交通银行、</w:t>
      </w:r>
    </w:p>
    <w:p>
      <w:pPr>
        <w:pStyle w:val="BodyText"/>
        <w:spacing w:line="316" w:lineRule="auto"/>
        <w:ind w:right="0"/>
        <w:jc w:val="left"/>
      </w:pPr>
      <w:r>
        <w:rPr>
          <w:spacing w:val="-2"/>
        </w:rPr>
        <w:t>邮政储蓄银行提供</w:t>
      </w:r>
      <w:r>
        <w:rPr>
          <w:rFonts w:ascii="宋体" w:hAnsi="宋体" w:cs="宋体" w:eastAsia="宋体" w:hint="default"/>
          <w:spacing w:val="-2"/>
        </w:rPr>
        <w:t>IT</w:t>
      </w:r>
      <w:r>
        <w:rPr>
          <w:spacing w:val="-2"/>
        </w:rPr>
        <w:t>基础设施建设及运维服务的服务商之一；公司也是国内银行业务处理、大数据领域知名的软件解决方案</w:t>
      </w:r>
      <w:r>
        <w:rPr>
          <w:spacing w:val="-62"/>
        </w:rPr>
        <w:t> </w:t>
      </w:r>
      <w:r>
        <w:rPr>
          <w:spacing w:val="-62"/>
        </w:rPr>
      </w:r>
      <w:r>
        <w:rPr/>
        <w:t>供应商，公司自有版权软件产品</w:t>
      </w:r>
      <w:r>
        <w:rPr>
          <w:rFonts w:ascii="宋体" w:hAnsi="宋体" w:cs="宋体" w:eastAsia="宋体" w:hint="default"/>
        </w:rPr>
        <w:t>Starring</w:t>
      </w:r>
      <w:r>
        <w:rPr/>
        <w:t>、</w:t>
      </w:r>
      <w:r>
        <w:rPr>
          <w:rFonts w:ascii="宋体" w:hAnsi="宋体" w:cs="宋体" w:eastAsia="宋体" w:hint="default"/>
        </w:rPr>
        <w:t>MOIA</w:t>
      </w:r>
      <w:r>
        <w:rPr/>
        <w:t>、大数据平台在国内银行业拥有广泛的用户基础。</w:t>
      </w:r>
    </w:p>
    <w:p>
      <w:pPr>
        <w:pStyle w:val="BodyText"/>
        <w:spacing w:line="240" w:lineRule="auto"/>
        <w:ind w:left="474" w:right="0"/>
        <w:jc w:val="left"/>
      </w:pPr>
      <w:r>
        <w:rPr/>
        <w:t>公司主要资质包括：</w:t>
      </w:r>
    </w:p>
    <w:p>
      <w:pPr>
        <w:spacing w:after="0" w:line="240" w:lineRule="auto"/>
        <w:jc w:val="left"/>
        <w:sectPr>
          <w:pgSz w:w="11910" w:h="16840"/>
          <w:pgMar w:header="907" w:footer="1019" w:top="1100" w:bottom="1200" w:left="1020" w:right="0"/>
        </w:sectPr>
      </w:pPr>
    </w:p>
    <w:p>
      <w:pPr>
        <w:spacing w:line="240" w:lineRule="auto" w:before="9"/>
        <w:rPr>
          <w:rFonts w:ascii="宋体" w:hAnsi="宋体" w:cs="宋体" w:eastAsia="宋体" w:hint="default"/>
          <w:sz w:val="27"/>
          <w:szCs w:val="27"/>
        </w:rPr>
      </w:pPr>
    </w:p>
    <w:p>
      <w:pPr>
        <w:spacing w:line="9613" w:lineRule="exact"/>
        <w:ind w:left="948" w:right="0" w:firstLine="0"/>
        <w:rPr>
          <w:rFonts w:ascii="宋体" w:hAnsi="宋体" w:cs="宋体" w:eastAsia="宋体" w:hint="default"/>
          <w:sz w:val="20"/>
          <w:szCs w:val="20"/>
        </w:rPr>
      </w:pPr>
      <w:r>
        <w:rPr>
          <w:rFonts w:ascii="宋体" w:hAnsi="宋体" w:cs="宋体" w:eastAsia="宋体" w:hint="default"/>
          <w:position w:val="-191"/>
          <w:sz w:val="20"/>
          <w:szCs w:val="20"/>
        </w:rPr>
        <w:drawing>
          <wp:inline distT="0" distB="0" distL="0" distR="0">
            <wp:extent cx="5289355" cy="610476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289355" cy="6104763"/>
                    </a:xfrm>
                    <a:prstGeom prst="rect">
                      <a:avLst/>
                    </a:prstGeom>
                  </pic:spPr>
                </pic:pic>
              </a:graphicData>
            </a:graphic>
          </wp:inline>
        </w:drawing>
      </w:r>
      <w:r>
        <w:rPr>
          <w:rFonts w:ascii="宋体" w:hAnsi="宋体" w:cs="宋体" w:eastAsia="宋体" w:hint="default"/>
          <w:position w:val="-191"/>
          <w:sz w:val="20"/>
          <w:szCs w:val="20"/>
        </w:rPr>
      </w: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本报告期增加了对北京海同科技有限公司投资</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上期购买的办公场地本期取得产权，转入固定资产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自研资本化项目取得软件著作权并形成无形资产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both"/>
      </w:pPr>
      <w:r>
        <w:rPr/>
        <w:t>软件与信息技术服务业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6" w:lineRule="auto" w:before="0"/>
        <w:ind w:right="0" w:firstLine="360"/>
        <w:jc w:val="left"/>
      </w:pPr>
      <w:r>
        <w:rPr>
          <w:spacing w:val="-2"/>
        </w:rPr>
        <w:t>公司自成立以来，深耕银行业</w:t>
      </w:r>
      <w:r>
        <w:rPr>
          <w:rFonts w:ascii="宋体" w:hAnsi="宋体" w:cs="宋体" w:eastAsia="宋体" w:hint="default"/>
          <w:spacing w:val="-2"/>
        </w:rPr>
        <w:t>IT</w:t>
      </w:r>
      <w:r>
        <w:rPr>
          <w:spacing w:val="-2"/>
        </w:rPr>
        <w:t>服务，在客户资源与品牌、产品、人才与团队、技术与经验、供应商合作、营销服务网</w:t>
      </w:r>
      <w:r>
        <w:rPr/>
        <w:t> 络分布方面形成了独特的竞争优势，使公司在高度分散的银行业</w:t>
      </w:r>
      <w:r>
        <w:rPr>
          <w:rFonts w:ascii="宋体" w:hAnsi="宋体" w:cs="宋体" w:eastAsia="宋体" w:hint="default"/>
        </w:rPr>
        <w:t>IT</w:t>
      </w:r>
      <w:r>
        <w:rPr/>
        <w:t>服务市场中拥有良好的口碑。</w:t>
      </w:r>
    </w:p>
    <w:p>
      <w:pPr>
        <w:pStyle w:val="BodyText"/>
        <w:spacing w:line="316" w:lineRule="auto"/>
        <w:ind w:left="474" w:right="0"/>
        <w:jc w:val="left"/>
      </w:pPr>
      <w:r>
        <w:rPr>
          <w:rFonts w:ascii="宋体" w:hAnsi="宋体" w:cs="宋体" w:eastAsia="宋体" w:hint="default"/>
        </w:rPr>
        <w:t>1</w:t>
      </w:r>
      <w:r>
        <w:rPr/>
        <w:t>、客户资源与品牌优势 </w:t>
      </w:r>
      <w:r>
        <w:rPr>
          <w:spacing w:val="-2"/>
        </w:rPr>
        <w:t>经过十余年的发展，公司积累了国有大型商业银行、全国性股份制商业银行、区域性银行等众多的高端客户。信息技术</w:t>
      </w:r>
    </w:p>
    <w:p>
      <w:pPr>
        <w:pStyle w:val="BodyText"/>
        <w:spacing w:line="316" w:lineRule="auto"/>
        <w:ind w:right="1131"/>
        <w:jc w:val="both"/>
      </w:pPr>
      <w:r>
        <w:rPr>
          <w:spacing w:val="-2"/>
        </w:rPr>
        <w:t>是现代银行业稳定运行的关键，因此，银行业客户倾向于与有良好合作历史的服务商合作。在公司的业务拓展过程中，大部</w:t>
      </w:r>
      <w:r>
        <w:rPr>
          <w:spacing w:val="-66"/>
        </w:rPr>
        <w:t> </w:t>
      </w:r>
      <w:r>
        <w:rPr>
          <w:spacing w:val="-66"/>
        </w:rPr>
      </w:r>
      <w:r>
        <w:rPr>
          <w:spacing w:val="-2"/>
        </w:rPr>
        <w:t>分客户与公司建立了持续多年的业务合作关系。依靠稳固的客户基础，公司在客户提出新需求时具备了先发优势，也得以分</w:t>
      </w:r>
      <w:r>
        <w:rPr>
          <w:spacing w:val="-66"/>
        </w:rPr>
        <w:t> </w:t>
      </w:r>
      <w:r>
        <w:rPr>
          <w:spacing w:val="-66"/>
        </w:rPr>
      </w:r>
      <w:r>
        <w:rPr/>
        <w:t>享银行业持续建设需求带来的巨大市场空间。</w:t>
      </w:r>
    </w:p>
    <w:p>
      <w:pPr>
        <w:pStyle w:val="BodyText"/>
        <w:spacing w:line="316" w:lineRule="auto"/>
        <w:ind w:right="0" w:firstLine="360"/>
        <w:jc w:val="left"/>
      </w:pPr>
      <w:r>
        <w:rPr>
          <w:spacing w:val="-2"/>
        </w:rPr>
        <w:t>银行业的特殊性对</w:t>
      </w:r>
      <w:r>
        <w:rPr>
          <w:rFonts w:ascii="宋体" w:hAnsi="宋体" w:cs="宋体" w:eastAsia="宋体" w:hint="default"/>
          <w:spacing w:val="-2"/>
        </w:rPr>
        <w:t>IT</w:t>
      </w:r>
      <w:r>
        <w:rPr>
          <w:spacing w:val="-2"/>
        </w:rPr>
        <w:t>服务商的技术水平和服务能力提出了较高的要求。公司的平台软件产品均是承担银行</w:t>
      </w:r>
      <w:r>
        <w:rPr>
          <w:rFonts w:ascii="宋体" w:hAnsi="宋体" w:cs="宋体" w:eastAsia="宋体" w:hint="default"/>
          <w:spacing w:val="-2"/>
        </w:rPr>
        <w:t>IT</w:t>
      </w:r>
      <w:r>
        <w:rPr>
          <w:spacing w:val="-2"/>
        </w:rPr>
        <w:t>系统关键交</w:t>
      </w:r>
      <w:r>
        <w:rPr/>
        <w:t> </w:t>
      </w:r>
      <w:r>
        <w:rPr>
          <w:spacing w:val="-4"/>
        </w:rPr>
        <w:t>易信息与数据交换的基础平台，产品可靠性要求苛刻。公司与大中型银行客户稳固的业务关系在业内形成了良好的示范效应。</w:t>
      </w:r>
      <w:r>
        <w:rPr>
          <w:spacing w:val="-44"/>
        </w:rPr>
        <w:t> </w:t>
      </w:r>
      <w:r>
        <w:rPr>
          <w:spacing w:val="-44"/>
        </w:rPr>
      </w:r>
      <w:r>
        <w:rPr>
          <w:spacing w:val="-2"/>
        </w:rPr>
        <w:t>在对国内银行业客户的长期服务过程中，公司的技术水平与服务能力不断增强，而公司高质量的服务水平、高可靠性的软件</w:t>
      </w:r>
      <w:r>
        <w:rPr>
          <w:spacing w:val="-66"/>
        </w:rPr>
        <w:t> </w:t>
      </w:r>
      <w:r>
        <w:rPr>
          <w:spacing w:val="-66"/>
        </w:rPr>
      </w:r>
      <w:r>
        <w:rPr>
          <w:spacing w:val="-2"/>
        </w:rPr>
        <w:t>产品及稳健的经营风格也获得了良好口碑，进一步提高了公司的品牌知名度。近年来，公司良好的品牌形象有力地促进了公</w:t>
      </w:r>
      <w:r>
        <w:rPr>
          <w:spacing w:val="-66"/>
        </w:rPr>
        <w:t> </w:t>
      </w:r>
      <w:r>
        <w:rPr>
          <w:spacing w:val="-66"/>
        </w:rPr>
      </w:r>
      <w:r>
        <w:rPr>
          <w:spacing w:val="-2"/>
        </w:rPr>
        <w:t>司拓展和维护银行业及其他行业的优质客户，特别是</w:t>
      </w:r>
      <w:r>
        <w:rPr>
          <w:rFonts w:ascii="宋体" w:hAnsi="宋体" w:cs="宋体" w:eastAsia="宋体" w:hint="default"/>
          <w:spacing w:val="-2"/>
        </w:rPr>
        <w:t>IT</w:t>
      </w:r>
      <w:r>
        <w:rPr>
          <w:spacing w:val="-2"/>
        </w:rPr>
        <w:t>系统建设需求快速发展的中小银行客户，形成了全面的市场覆盖，使</w:t>
      </w:r>
      <w:r>
        <w:rPr>
          <w:spacing w:val="-64"/>
        </w:rPr>
        <w:t> </w:t>
      </w:r>
      <w:r>
        <w:rPr>
          <w:spacing w:val="-64"/>
        </w:rPr>
      </w:r>
      <w:r>
        <w:rPr/>
        <w:t>公司的客户资源与品牌优势持续提升。</w:t>
      </w:r>
    </w:p>
    <w:p>
      <w:pPr>
        <w:pStyle w:val="BodyText"/>
        <w:spacing w:line="240" w:lineRule="auto"/>
        <w:ind w:left="474" w:right="0"/>
        <w:jc w:val="left"/>
      </w:pPr>
      <w:r>
        <w:rPr>
          <w:rFonts w:ascii="宋体" w:hAnsi="宋体" w:cs="宋体" w:eastAsia="宋体" w:hint="default"/>
        </w:rPr>
        <w:t>2</w:t>
      </w:r>
      <w:r>
        <w:rPr/>
        <w:t>、产品优势</w:t>
      </w:r>
    </w:p>
    <w:p>
      <w:pPr>
        <w:pStyle w:val="BodyText"/>
        <w:spacing w:line="316" w:lineRule="auto" w:before="76"/>
        <w:ind w:left="474" w:right="0"/>
        <w:jc w:val="left"/>
      </w:pPr>
      <w:r>
        <w:rPr/>
        <w:t>（</w:t>
      </w:r>
      <w:r>
        <w:rPr>
          <w:rFonts w:ascii="宋体" w:hAnsi="宋体" w:cs="宋体" w:eastAsia="宋体" w:hint="default"/>
        </w:rPr>
        <w:t>1</w:t>
      </w:r>
      <w:r>
        <w:rPr/>
        <w:t>）软件产品具有高粘性优势 </w:t>
      </w:r>
      <w:r>
        <w:rPr>
          <w:spacing w:val="-2"/>
        </w:rPr>
        <w:t>公司绝大多数软件解决方案基于自主研发的开发运行管理平台，是封装于客户各</w:t>
      </w:r>
      <w:r>
        <w:rPr>
          <w:rFonts w:ascii="宋体" w:hAnsi="宋体" w:cs="宋体" w:eastAsia="宋体" w:hint="default"/>
          <w:spacing w:val="-2"/>
        </w:rPr>
        <w:t>IT</w:t>
      </w:r>
      <w:r>
        <w:rPr>
          <w:spacing w:val="-2"/>
        </w:rPr>
        <w:t>系统之上的平台软件产品，客户粘性</w:t>
      </w:r>
    </w:p>
    <w:p>
      <w:pPr>
        <w:pStyle w:val="BodyText"/>
        <w:spacing w:line="316" w:lineRule="auto"/>
        <w:ind w:right="0"/>
        <w:jc w:val="left"/>
      </w:pPr>
      <w:r>
        <w:rPr>
          <w:spacing w:val="-2"/>
        </w:rPr>
        <w:t>极强。另一方面，由于应用型系统的成功实施需要与平台软件有效结合，公司在承接后续应用型系统开发项目方面具有明显</w:t>
      </w:r>
      <w:r>
        <w:rPr>
          <w:spacing w:val="-66"/>
        </w:rPr>
        <w:t> </w:t>
      </w:r>
      <w:r>
        <w:rPr>
          <w:spacing w:val="-66"/>
        </w:rPr>
      </w:r>
      <w:r>
        <w:rPr/>
        <w:t>的优势。此外，公司在平台软件基础上构建的新应用型软件产品由于已有大量用户基础，也会有较好的推广前景。</w:t>
      </w:r>
    </w:p>
    <w:p>
      <w:pPr>
        <w:pStyle w:val="BodyText"/>
        <w:spacing w:line="316" w:lineRule="auto"/>
        <w:ind w:left="474" w:right="0"/>
        <w:jc w:val="left"/>
      </w:pPr>
      <w:r>
        <w:rPr/>
        <w:t>（</w:t>
      </w:r>
      <w:r>
        <w:rPr>
          <w:rFonts w:ascii="宋体" w:hAnsi="宋体" w:cs="宋体" w:eastAsia="宋体" w:hint="default"/>
        </w:rPr>
        <w:t>2</w:t>
      </w:r>
      <w:r>
        <w:rPr/>
        <w:t>）公司细分业务之间形成了协同效应 </w:t>
      </w:r>
      <w:r>
        <w:rPr>
          <w:spacing w:val="-2"/>
        </w:rPr>
        <w:t>公司的软件解决方案、</w:t>
      </w:r>
      <w:r>
        <w:rPr>
          <w:rFonts w:ascii="宋体" w:hAnsi="宋体" w:cs="宋体" w:eastAsia="宋体" w:hint="default"/>
          <w:spacing w:val="-2"/>
        </w:rPr>
        <w:t>IT</w:t>
      </w:r>
      <w:r>
        <w:rPr>
          <w:spacing w:val="-2"/>
        </w:rPr>
        <w:t>基础设施建设、</w:t>
      </w:r>
      <w:r>
        <w:rPr>
          <w:rFonts w:ascii="宋体" w:hAnsi="宋体" w:cs="宋体" w:eastAsia="宋体" w:hint="default"/>
          <w:spacing w:val="-2"/>
        </w:rPr>
        <w:t>IT</w:t>
      </w:r>
      <w:r>
        <w:rPr>
          <w:spacing w:val="-2"/>
        </w:rPr>
        <w:t>运维服务三类细分业务相辅相成，面向同类客户，每条业务线都能够在销售</w:t>
      </w:r>
    </w:p>
    <w:p>
      <w:pPr>
        <w:pStyle w:val="BodyText"/>
        <w:spacing w:line="316" w:lineRule="auto"/>
        <w:ind w:left="474" w:right="0" w:hanging="360"/>
        <w:jc w:val="left"/>
      </w:pPr>
      <w:r>
        <w:rPr/>
        <w:t>和实施中为其他业务线创造机会，实现交叉销售，也积累了较多的成功经验。 </w:t>
      </w:r>
      <w:r>
        <w:rPr>
          <w:spacing w:val="-2"/>
        </w:rPr>
        <w:t>公司业务范围全面涵盖了</w:t>
      </w:r>
      <w:r>
        <w:rPr>
          <w:rFonts w:ascii="宋体" w:hAnsi="宋体" w:cs="宋体" w:eastAsia="宋体" w:hint="default"/>
          <w:spacing w:val="-2"/>
        </w:rPr>
        <w:t>IT</w:t>
      </w:r>
      <w:r>
        <w:rPr>
          <w:spacing w:val="-2"/>
        </w:rPr>
        <w:t>服务三大领域，这使得公司具备对客户全方位的综合服务能力，同时在三项业务开展过程中</w:t>
      </w:r>
    </w:p>
    <w:p>
      <w:pPr>
        <w:pStyle w:val="BodyText"/>
        <w:spacing w:line="316" w:lineRule="auto"/>
        <w:ind w:right="1118"/>
        <w:jc w:val="left"/>
      </w:pPr>
      <w:r>
        <w:rPr>
          <w:spacing w:val="-2"/>
        </w:rPr>
        <w:t>也使得公司对银行类客户的需求具备更加全面、深入的理解，进而令公司在产品研发、市场开拓、后续服务方面拥有明显的</w:t>
      </w:r>
      <w:r>
        <w:rPr>
          <w:spacing w:val="-66"/>
        </w:rPr>
        <w:t> </w:t>
      </w:r>
      <w:r>
        <w:rPr>
          <w:spacing w:val="-66"/>
        </w:rPr>
      </w:r>
      <w:r>
        <w:rPr/>
        <w:t>竞争优势。</w:t>
      </w:r>
    </w:p>
    <w:p>
      <w:pPr>
        <w:pStyle w:val="BodyText"/>
        <w:spacing w:line="316" w:lineRule="auto"/>
        <w:ind w:left="474" w:right="0"/>
        <w:jc w:val="left"/>
      </w:pPr>
      <w:r>
        <w:rPr>
          <w:rFonts w:ascii="宋体" w:hAnsi="宋体" w:cs="宋体" w:eastAsia="宋体" w:hint="default"/>
        </w:rPr>
        <w:t>3</w:t>
      </w:r>
      <w:r>
        <w:rPr/>
        <w:t>、人才与团队优势 </w:t>
      </w:r>
      <w:r>
        <w:rPr>
          <w:spacing w:val="-2"/>
        </w:rPr>
        <w:t>公司在十多年的项目实施过程中，培养了一批银行业</w:t>
      </w:r>
      <w:r>
        <w:rPr>
          <w:rFonts w:ascii="宋体" w:hAnsi="宋体" w:cs="宋体" w:eastAsia="宋体" w:hint="default"/>
          <w:spacing w:val="-2"/>
        </w:rPr>
        <w:t>IT</w:t>
      </w:r>
      <w:r>
        <w:rPr>
          <w:spacing w:val="-2"/>
        </w:rPr>
        <w:t>领域的专家级人才，形成了一支基于公司多年积累的、熟悉国内</w:t>
      </w:r>
    </w:p>
    <w:p>
      <w:pPr>
        <w:pStyle w:val="BodyText"/>
        <w:spacing w:line="316" w:lineRule="auto"/>
        <w:ind w:right="1122"/>
        <w:jc w:val="left"/>
      </w:pPr>
      <w:r>
        <w:rPr/>
        <w:t>银行管理模式和业务特点的技术队伍。截至报告期末，公司技术人员及研发人员总数达</w:t>
      </w:r>
      <w:r>
        <w:rPr>
          <w:rFonts w:ascii="宋体" w:hAnsi="宋体" w:cs="宋体" w:eastAsia="宋体" w:hint="default"/>
        </w:rPr>
        <w:t>1,443</w:t>
      </w:r>
      <w:r>
        <w:rPr/>
        <w:t>人，占公司员工总数的比例达</w:t>
      </w:r>
      <w:r>
        <w:rPr>
          <w:spacing w:val="-82"/>
        </w:rPr>
        <w:t> </w:t>
      </w:r>
      <w:r>
        <w:rPr>
          <w:spacing w:val="-82"/>
        </w:rPr>
      </w:r>
      <w:r>
        <w:rPr>
          <w:rFonts w:ascii="宋体" w:hAnsi="宋体" w:cs="宋体" w:eastAsia="宋体" w:hint="default"/>
        </w:rPr>
        <w:t>89.29%</w:t>
      </w:r>
      <w:r>
        <w:rPr/>
        <w:t>。公司的服务团队成员均经过严格的培训，拥有符合银行业</w:t>
      </w:r>
      <w:r>
        <w:rPr>
          <w:rFonts w:ascii="宋体" w:hAnsi="宋体" w:cs="宋体" w:eastAsia="宋体" w:hint="default"/>
        </w:rPr>
        <w:t>IT</w:t>
      </w:r>
      <w:r>
        <w:rPr/>
        <w:t>服务需求的专业技能储备。</w:t>
      </w:r>
    </w:p>
    <w:p>
      <w:pPr>
        <w:pStyle w:val="BodyText"/>
        <w:spacing w:line="319" w:lineRule="auto"/>
        <w:ind w:right="1130" w:firstLine="360"/>
        <w:jc w:val="both"/>
      </w:pPr>
      <w:r>
        <w:rPr>
          <w:spacing w:val="-2"/>
        </w:rPr>
        <w:t>公司管理层与核心团队长期专注于银行业</w:t>
      </w:r>
      <w:r>
        <w:rPr>
          <w:rFonts w:ascii="宋体" w:hAnsi="宋体" w:cs="宋体" w:eastAsia="宋体" w:hint="default"/>
          <w:spacing w:val="-2"/>
        </w:rPr>
        <w:t>IT</w:t>
      </w:r>
      <w:r>
        <w:rPr>
          <w:spacing w:val="-2"/>
        </w:rPr>
        <w:t>服务行业，管理层与核心技术人员的平均从业年限超过</w:t>
      </w:r>
      <w:r>
        <w:rPr>
          <w:rFonts w:ascii="宋体" w:hAnsi="宋体" w:cs="宋体" w:eastAsia="宋体" w:hint="default"/>
          <w:spacing w:val="-2"/>
        </w:rPr>
        <w:t>20</w:t>
      </w:r>
      <w:r>
        <w:rPr>
          <w:spacing w:val="-2"/>
        </w:rPr>
        <w:t>年，均是公司的创</w:t>
      </w:r>
      <w:r>
        <w:rPr/>
        <w:t> </w:t>
      </w:r>
      <w:r>
        <w:rPr>
          <w:spacing w:val="-2"/>
        </w:rPr>
        <w:t>业团队成员。公司建立了人性化的管理办法和具有市场竞争力的考核激励机制，形成了务实稳健的公司文化。公司的管理层</w:t>
      </w:r>
      <w:r>
        <w:rPr>
          <w:spacing w:val="-66"/>
        </w:rPr>
        <w:t> </w:t>
      </w:r>
      <w:r>
        <w:rPr>
          <w:spacing w:val="-66"/>
        </w:rPr>
      </w:r>
      <w:r>
        <w:rPr/>
        <w:t>与核心团队深刻认同公司的经营理念，使公司核心团队保持长期稳定。</w:t>
      </w:r>
    </w:p>
    <w:p>
      <w:pPr>
        <w:pStyle w:val="BodyText"/>
        <w:spacing w:line="316" w:lineRule="auto" w:before="17"/>
        <w:ind w:left="474" w:right="4812"/>
        <w:jc w:val="left"/>
      </w:pPr>
      <w:r>
        <w:rPr>
          <w:rFonts w:ascii="宋体" w:hAnsi="宋体" w:cs="宋体" w:eastAsia="宋体" w:hint="default"/>
        </w:rPr>
        <w:t>4</w:t>
      </w:r>
      <w:r>
        <w:rPr/>
        <w:t>、技术创新与项目经验优势 公司拥有雄厚的技术创新实力，以及领先的技术研发和项目实施经验。</w:t>
      </w:r>
    </w:p>
    <w:p>
      <w:pPr>
        <w:pStyle w:val="BodyText"/>
        <w:spacing w:line="240" w:lineRule="auto"/>
        <w:ind w:left="474" w:right="0"/>
        <w:jc w:val="left"/>
      </w:pPr>
      <w:r>
        <w:rPr>
          <w:rFonts w:ascii="宋体" w:hAnsi="宋体" w:cs="宋体" w:eastAsia="宋体" w:hint="default"/>
        </w:rPr>
        <w:t>IT</w:t>
      </w:r>
      <w:r>
        <w:rPr/>
        <w:t>基础设施建设及</w:t>
      </w:r>
      <w:r>
        <w:rPr>
          <w:rFonts w:ascii="宋体" w:hAnsi="宋体" w:cs="宋体" w:eastAsia="宋体" w:hint="default"/>
        </w:rPr>
        <w:t>IT</w:t>
      </w:r>
      <w:r>
        <w:rPr/>
        <w:t>运维服务方面，公司拥有信息系统集成及服务一级资质，并通过了</w:t>
      </w:r>
      <w:r>
        <w:rPr>
          <w:rFonts w:ascii="宋体" w:hAnsi="宋体" w:cs="宋体" w:eastAsia="宋体" w:hint="default"/>
        </w:rPr>
        <w:t>CMMI L3</w:t>
      </w:r>
      <w:r>
        <w:rPr/>
        <w:t>、</w:t>
      </w:r>
      <w:r>
        <w:rPr>
          <w:rFonts w:ascii="宋体" w:hAnsi="宋体" w:cs="宋体" w:eastAsia="宋体" w:hint="default"/>
        </w:rPr>
        <w:t>ISO9001</w:t>
      </w:r>
      <w:r>
        <w:rPr/>
        <w:t>、</w:t>
      </w:r>
      <w:r>
        <w:rPr>
          <w:rFonts w:ascii="宋体" w:hAnsi="宋体" w:cs="宋体" w:eastAsia="宋体" w:hint="default"/>
        </w:rPr>
        <w:t>ISO20000</w:t>
      </w:r>
      <w:r>
        <w:rPr/>
        <w:t>、</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hanging="360"/>
        <w:jc w:val="left"/>
      </w:pPr>
      <w:r>
        <w:rPr>
          <w:rFonts w:ascii="宋体" w:hAnsi="宋体" w:cs="宋体" w:eastAsia="宋体" w:hint="default"/>
        </w:rPr>
        <w:t>ISO27001</w:t>
      </w:r>
      <w:r>
        <w:rPr/>
        <w:t>、</w:t>
      </w:r>
      <w:r>
        <w:rPr>
          <w:rFonts w:ascii="宋体" w:hAnsi="宋体" w:cs="宋体" w:eastAsia="宋体" w:hint="default"/>
        </w:rPr>
        <w:t>ITSS</w:t>
      </w:r>
      <w:r>
        <w:rPr/>
        <w:t>等核心资质认证，具备了行业领先的</w:t>
      </w:r>
      <w:r>
        <w:rPr>
          <w:rFonts w:ascii="宋体" w:hAnsi="宋体" w:cs="宋体" w:eastAsia="宋体" w:hint="default"/>
        </w:rPr>
        <w:t>IT</w:t>
      </w:r>
      <w:r>
        <w:rPr/>
        <w:t>基础设施服务认证保障。 </w:t>
      </w:r>
      <w:r>
        <w:rPr>
          <w:spacing w:val="-2"/>
        </w:rPr>
        <w:t>公司基于长期的专业服务经验，建立了服务运营管理平台，结合公司广泛的服务网点分布，实现了对服务产品运营、交</w:t>
      </w:r>
    </w:p>
    <w:p>
      <w:pPr>
        <w:pStyle w:val="BodyText"/>
        <w:spacing w:line="316" w:lineRule="auto"/>
        <w:ind w:right="1131"/>
        <w:jc w:val="both"/>
      </w:pPr>
      <w:r>
        <w:rPr>
          <w:spacing w:val="-2"/>
        </w:rPr>
        <w:t>付及审计的全流程信息化管理，有效降低了单纯依靠人工手段维护可能引发的系统性风险，保证了对客户的服务品质，形成</w:t>
      </w:r>
      <w:r>
        <w:rPr>
          <w:spacing w:val="-66"/>
        </w:rPr>
        <w:t> </w:t>
      </w:r>
      <w:r>
        <w:rPr>
          <w:spacing w:val="-66"/>
        </w:rPr>
      </w:r>
      <w:r>
        <w:rPr>
          <w:spacing w:val="-2"/>
        </w:rPr>
        <w:t>了从架构设计、选型、安装调试到日常运营维护的全流程</w:t>
      </w:r>
      <w:r>
        <w:rPr>
          <w:rFonts w:ascii="宋体" w:hAnsi="宋体" w:cs="宋体" w:eastAsia="宋体" w:hint="default"/>
          <w:spacing w:val="-2"/>
        </w:rPr>
        <w:t>IT</w:t>
      </w:r>
      <w:r>
        <w:rPr>
          <w:spacing w:val="-2"/>
        </w:rPr>
        <w:t>基础设施服务模式。经过大量、广泛的项目经验积累，公司对主</w:t>
      </w:r>
      <w:r>
        <w:rPr>
          <w:spacing w:val="-64"/>
        </w:rPr>
        <w:t> </w:t>
      </w:r>
      <w:r>
        <w:rPr>
          <w:spacing w:val="-64"/>
        </w:rPr>
      </w:r>
      <w:r>
        <w:rPr>
          <w:spacing w:val="-2"/>
        </w:rPr>
        <w:t>要客户的</w:t>
      </w:r>
      <w:r>
        <w:rPr>
          <w:rFonts w:ascii="宋体" w:hAnsi="宋体" w:cs="宋体" w:eastAsia="宋体" w:hint="default"/>
          <w:spacing w:val="-2"/>
        </w:rPr>
        <w:t>IT</w:t>
      </w:r>
      <w:r>
        <w:rPr>
          <w:spacing w:val="-2"/>
        </w:rPr>
        <w:t>环境已经非常熟悉，能够快速完成现有客户的系统服务工作，同时也可以通过已积累的经验知识对新客户的系统</w:t>
      </w:r>
      <w:r>
        <w:rPr>
          <w:spacing w:val="-62"/>
        </w:rPr>
        <w:t> </w:t>
      </w:r>
      <w:r>
        <w:rPr>
          <w:spacing w:val="-62"/>
        </w:rPr>
      </w:r>
      <w:r>
        <w:rPr>
          <w:spacing w:val="-2"/>
        </w:rPr>
        <w:t>问题作出有效预判。公司借助运维服务管理平台，在传统</w:t>
      </w:r>
      <w:r>
        <w:rPr>
          <w:rFonts w:ascii="宋体" w:hAnsi="宋体" w:cs="宋体" w:eastAsia="宋体" w:hint="default"/>
          <w:spacing w:val="-2"/>
        </w:rPr>
        <w:t>IT</w:t>
      </w:r>
      <w:r>
        <w:rPr>
          <w:spacing w:val="-2"/>
        </w:rPr>
        <w:t>运维服务的基础上推出系统运维服务等创新服务模式，通过电子</w:t>
      </w:r>
      <w:r>
        <w:rPr>
          <w:spacing w:val="-64"/>
        </w:rPr>
        <w:t> </w:t>
      </w:r>
      <w:r>
        <w:rPr>
          <w:spacing w:val="-64"/>
        </w:rPr>
      </w:r>
      <w:r>
        <w:rPr>
          <w:spacing w:val="-2"/>
        </w:rPr>
        <w:t>化、自动化的流程管理打包负责客户</w:t>
      </w:r>
      <w:r>
        <w:rPr>
          <w:rFonts w:ascii="宋体" w:hAnsi="宋体" w:cs="宋体" w:eastAsia="宋体" w:hint="default"/>
          <w:spacing w:val="-2"/>
        </w:rPr>
        <w:t>IT</w:t>
      </w:r>
      <w:r>
        <w:rPr>
          <w:spacing w:val="-2"/>
        </w:rPr>
        <w:t>系统的全流程运营维护，提升</w:t>
      </w:r>
      <w:r>
        <w:rPr>
          <w:rFonts w:ascii="宋体" w:hAnsi="宋体" w:cs="宋体" w:eastAsia="宋体" w:hint="default"/>
          <w:spacing w:val="-2"/>
        </w:rPr>
        <w:t>IT</w:t>
      </w:r>
      <w:r>
        <w:rPr>
          <w:spacing w:val="-2"/>
        </w:rPr>
        <w:t>运维服务对客户的价值，该类高附加值业务亦有望成</w:t>
      </w:r>
      <w:r>
        <w:rPr>
          <w:spacing w:val="-62"/>
        </w:rPr>
        <w:t> </w:t>
      </w:r>
      <w:r>
        <w:rPr>
          <w:spacing w:val="-62"/>
        </w:rPr>
      </w:r>
      <w:r>
        <w:rPr/>
        <w:t>为公司未来新的利润增长点。</w:t>
      </w:r>
    </w:p>
    <w:p>
      <w:pPr>
        <w:pStyle w:val="BodyText"/>
        <w:spacing w:line="316" w:lineRule="auto"/>
        <w:ind w:right="0" w:firstLine="360"/>
        <w:jc w:val="left"/>
      </w:pPr>
      <w:r>
        <w:rPr>
          <w:spacing w:val="-2"/>
        </w:rPr>
        <w:t>软件解决方案方面，由于银行业</w:t>
      </w:r>
      <w:r>
        <w:rPr>
          <w:rFonts w:ascii="宋体" w:hAnsi="宋体" w:cs="宋体" w:eastAsia="宋体" w:hint="default"/>
          <w:spacing w:val="-2"/>
        </w:rPr>
        <w:t>IT</w:t>
      </w:r>
      <w:r>
        <w:rPr>
          <w:spacing w:val="-2"/>
        </w:rPr>
        <w:t>系统的复杂性，套装软件产品难以满足客户个性化的业务需求。公司专注银行业软件</w:t>
      </w:r>
      <w:r>
        <w:rPr/>
        <w:t> </w:t>
      </w:r>
      <w:r>
        <w:rPr>
          <w:spacing w:val="-2"/>
        </w:rPr>
        <w:t>解决方案的开发，将在定制化软件开发项目中具有普适性需求的功能汇总形成基础平台软件，并在持续开发过程中不断补充</w:t>
      </w:r>
      <w:r>
        <w:rPr>
          <w:spacing w:val="-64"/>
        </w:rPr>
        <w:t> </w:t>
      </w:r>
      <w:r>
        <w:rPr>
          <w:spacing w:val="-64"/>
        </w:rPr>
      </w:r>
      <w:r>
        <w:rPr>
          <w:spacing w:val="-4"/>
        </w:rPr>
        <w:t>完善，在银行业务处理、数据管理与商业智能应用领域形成了一系列成熟的平台软件产品，大大提高了项目开发效率。目前，</w:t>
      </w:r>
      <w:r>
        <w:rPr>
          <w:spacing w:val="-46"/>
        </w:rPr>
        <w:t> </w:t>
      </w:r>
      <w:r>
        <w:rPr>
          <w:spacing w:val="-46"/>
        </w:rPr>
      </w:r>
      <w:r>
        <w:rPr/>
        <w:t>公司最具代表性的核心平台软件产品</w:t>
      </w:r>
      <w:r>
        <w:rPr>
          <w:rFonts w:ascii="宋体" w:hAnsi="宋体" w:cs="宋体" w:eastAsia="宋体" w:hint="default"/>
        </w:rPr>
        <w:t>Starring</w:t>
      </w:r>
      <w:r>
        <w:rPr/>
        <w:t>、</w:t>
      </w:r>
      <w:r>
        <w:rPr>
          <w:rFonts w:ascii="宋体" w:hAnsi="宋体" w:cs="宋体" w:eastAsia="宋体" w:hint="default"/>
        </w:rPr>
        <w:t>iMOIA</w:t>
      </w:r>
      <w:r>
        <w:rPr/>
        <w:t>、</w:t>
      </w:r>
      <w:r>
        <w:rPr>
          <w:rFonts w:ascii="宋体" w:hAnsi="宋体" w:cs="宋体" w:eastAsia="宋体" w:hint="default"/>
        </w:rPr>
        <w:t>BDPAS</w:t>
      </w:r>
      <w:r>
        <w:rPr/>
        <w:t>已成为业内知名产品。</w:t>
      </w:r>
    </w:p>
    <w:p>
      <w:pPr>
        <w:pStyle w:val="BodyText"/>
        <w:spacing w:line="316" w:lineRule="auto"/>
        <w:ind w:right="1032" w:firstLine="360"/>
        <w:jc w:val="left"/>
      </w:pPr>
      <w:r>
        <w:rPr>
          <w:spacing w:val="-2"/>
        </w:rPr>
        <w:t>公司软件核心技术团队在技术支持、客户化开发方面积累了丰富的经验，核心技术人员均拥有较高的技术能力和创新能</w:t>
      </w:r>
      <w:r>
        <w:rPr/>
        <w:t> </w:t>
      </w:r>
      <w:r>
        <w:rPr>
          <w:spacing w:val="-2"/>
        </w:rPr>
        <w:t>力。基于银行业</w:t>
      </w:r>
      <w:r>
        <w:rPr>
          <w:rFonts w:ascii="宋体" w:hAnsi="宋体" w:cs="宋体" w:eastAsia="宋体" w:hint="default"/>
          <w:spacing w:val="-2"/>
        </w:rPr>
        <w:t>IT</w:t>
      </w:r>
      <w:r>
        <w:rPr>
          <w:spacing w:val="-2"/>
        </w:rPr>
        <w:t>系统的异构性及定制化需求等特点，公司的平台软件产品秉承“产品包”式的模块化开发与销售模式，采</w:t>
      </w:r>
      <w:r>
        <w:rPr>
          <w:spacing w:val="-64"/>
        </w:rPr>
        <w:t> </w:t>
      </w:r>
      <w:r>
        <w:rPr>
          <w:spacing w:val="-64"/>
        </w:rPr>
      </w:r>
      <w:r>
        <w:rPr/>
        <w:t>取开放性的技术原则，使平台软件可以很容易地集成第三方软件产品，产品包中各模块既可以拼装销售，也可以独立部署，</w:t>
      </w:r>
      <w:r>
        <w:rPr/>
        <w:t> 在避免资源浪费的同时提高了产品销售的灵活性。</w:t>
      </w:r>
    </w:p>
    <w:p>
      <w:pPr>
        <w:pStyle w:val="BodyText"/>
        <w:spacing w:line="316" w:lineRule="auto"/>
        <w:ind w:left="474" w:right="0"/>
        <w:jc w:val="left"/>
      </w:pPr>
      <w:r>
        <w:rPr>
          <w:rFonts w:ascii="宋体" w:hAnsi="宋体" w:cs="宋体" w:eastAsia="宋体" w:hint="default"/>
        </w:rPr>
        <w:t>5</w:t>
      </w:r>
      <w:r>
        <w:rPr/>
        <w:t>、供应商合作优势 </w:t>
      </w:r>
      <w:r>
        <w:rPr>
          <w:spacing w:val="-2"/>
        </w:rPr>
        <w:t>公司与</w:t>
      </w:r>
      <w:r>
        <w:rPr>
          <w:rFonts w:ascii="宋体" w:hAnsi="宋体" w:cs="宋体" w:eastAsia="宋体" w:hint="default"/>
          <w:spacing w:val="-2"/>
        </w:rPr>
        <w:t>IT</w:t>
      </w:r>
      <w:r>
        <w:rPr>
          <w:spacing w:val="-2"/>
        </w:rPr>
        <w:t>服务行业上下游厂商建立了良好的合作关系，能够获得较多的优惠支持，包括快速订货渠道、优先配送权、更</w:t>
      </w:r>
    </w:p>
    <w:p>
      <w:pPr>
        <w:pStyle w:val="BodyText"/>
        <w:spacing w:line="316" w:lineRule="auto"/>
        <w:ind w:right="1130"/>
        <w:jc w:val="both"/>
      </w:pPr>
      <w:r>
        <w:rPr>
          <w:spacing w:val="-2"/>
        </w:rPr>
        <w:t>长账期等，可有效缩短项目工期，提高服务响应速度，减少资金占用，进而形成公司的市场竞争优势。同时，公司与厂商共</w:t>
      </w:r>
      <w:r>
        <w:rPr>
          <w:spacing w:val="-67"/>
        </w:rPr>
        <w:t> </w:t>
      </w:r>
      <w:r>
        <w:rPr>
          <w:spacing w:val="-67"/>
        </w:rPr>
      </w:r>
      <w:r>
        <w:rPr/>
        <w:t>享双方的销售渠道，将双方的销售优势形成合力，大大提高了获取订单的能力。</w:t>
      </w:r>
    </w:p>
    <w:p>
      <w:pPr>
        <w:pStyle w:val="BodyText"/>
        <w:spacing w:line="316" w:lineRule="auto"/>
        <w:ind w:left="474" w:right="0"/>
        <w:jc w:val="left"/>
      </w:pPr>
      <w:r>
        <w:rPr>
          <w:rFonts w:ascii="宋体" w:hAnsi="宋体" w:cs="宋体" w:eastAsia="宋体" w:hint="default"/>
        </w:rPr>
        <w:t>6</w:t>
      </w:r>
      <w:r>
        <w:rPr/>
        <w:t>、营销服务网络优势 </w:t>
      </w:r>
      <w:r>
        <w:rPr>
          <w:spacing w:val="-2"/>
        </w:rPr>
        <w:t>银行普遍拥有大量的、地理分布广泛的分支机构和业务网点，</w:t>
      </w:r>
      <w:r>
        <w:rPr>
          <w:rFonts w:ascii="宋体" w:hAnsi="宋体" w:cs="宋体" w:eastAsia="宋体" w:hint="default"/>
          <w:spacing w:val="-2"/>
        </w:rPr>
        <w:t>IT</w:t>
      </w:r>
      <w:r>
        <w:rPr>
          <w:spacing w:val="-2"/>
        </w:rPr>
        <w:t>服务商必须拥有相应规模的网点分布和技术资源，才能</w:t>
      </w:r>
    </w:p>
    <w:p>
      <w:pPr>
        <w:pStyle w:val="BodyText"/>
        <w:spacing w:line="316" w:lineRule="auto"/>
        <w:ind w:right="1131"/>
        <w:jc w:val="both"/>
      </w:pPr>
      <w:r>
        <w:rPr>
          <w:spacing w:val="-2"/>
        </w:rPr>
        <w:t>满足银行跨区域的服务需求。公司经过多年积累，已经在全国主要的省会或中心城市建立了</w:t>
      </w:r>
      <w:r>
        <w:rPr>
          <w:rFonts w:ascii="宋体" w:hAnsi="宋体" w:cs="宋体" w:eastAsia="宋体" w:hint="default"/>
          <w:spacing w:val="-2"/>
        </w:rPr>
        <w:t>31</w:t>
      </w:r>
      <w:r>
        <w:rPr>
          <w:spacing w:val="-2"/>
        </w:rPr>
        <w:t>个技术服务网点，同时依托北</w:t>
      </w:r>
      <w:r>
        <w:rPr>
          <w:spacing w:val="-64"/>
        </w:rPr>
        <w:t> </w:t>
      </w:r>
      <w:r>
        <w:rPr>
          <w:spacing w:val="-64"/>
        </w:rPr>
      </w:r>
      <w:r>
        <w:rPr>
          <w:spacing w:val="-2"/>
        </w:rPr>
        <w:t>京总部成立了服务支持中心和备件库，形成了行业领先的网络覆盖。广泛分布的营销服务网络使公司有能力向全国性的大中</w:t>
      </w:r>
      <w:r>
        <w:rPr>
          <w:spacing w:val="-64"/>
        </w:rPr>
        <w:t> </w:t>
      </w:r>
      <w:r>
        <w:rPr>
          <w:spacing w:val="-64"/>
        </w:rPr>
      </w:r>
      <w:r>
        <w:rPr>
          <w:spacing w:val="-2"/>
        </w:rPr>
        <w:t>型商业银行及各地区的本地金融机构提供及时的</w:t>
      </w:r>
      <w:r>
        <w:rPr>
          <w:rFonts w:ascii="宋体" w:hAnsi="宋体" w:cs="宋体" w:eastAsia="宋体" w:hint="default"/>
          <w:spacing w:val="-2"/>
        </w:rPr>
        <w:t>IT</w:t>
      </w:r>
      <w:r>
        <w:rPr>
          <w:spacing w:val="-2"/>
        </w:rPr>
        <w:t>服务，同时也使公司具备了对大范围、多网点、多层次服务网络的管理经</w:t>
      </w:r>
      <w:r>
        <w:rPr>
          <w:spacing w:val="-64"/>
        </w:rPr>
        <w:t> </w:t>
      </w:r>
      <w:r>
        <w:rPr>
          <w:spacing w:val="-64"/>
        </w:rPr>
      </w:r>
      <w:r>
        <w:rPr/>
        <w:t>验。</w:t>
      </w:r>
    </w:p>
    <w:p>
      <w:pPr>
        <w:spacing w:after="0" w:line="316"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报告期内，公司实现主营业务收入人民币</w:t>
      </w:r>
      <w:r>
        <w:rPr>
          <w:rFonts w:ascii="宋体" w:hAnsi="宋体" w:cs="宋体" w:eastAsia="宋体" w:hint="default"/>
          <w:spacing w:val="2"/>
        </w:rPr>
        <w:t>139,035</w:t>
      </w:r>
      <w:r>
        <w:rPr>
          <w:spacing w:val="2"/>
        </w:rPr>
        <w:t>万元，较上年同期增长</w:t>
      </w:r>
      <w:r>
        <w:rPr>
          <w:rFonts w:ascii="宋体" w:hAnsi="宋体" w:cs="宋体" w:eastAsia="宋体" w:hint="default"/>
          <w:spacing w:val="2"/>
        </w:rPr>
        <w:t>37.42%</w:t>
      </w:r>
      <w:r>
        <w:rPr>
          <w:spacing w:val="2"/>
        </w:rPr>
        <w:t>。其中</w:t>
      </w:r>
      <w:r>
        <w:rPr>
          <w:rFonts w:ascii="宋体" w:hAnsi="宋体" w:cs="宋体" w:eastAsia="宋体" w:hint="default"/>
          <w:spacing w:val="2"/>
        </w:rPr>
        <w:t>IT</w:t>
      </w:r>
      <w:r>
        <w:rPr>
          <w:spacing w:val="2"/>
        </w:rPr>
        <w:t>基础设施建设业务收入增长</w:t>
      </w:r>
      <w:r>
        <w:rPr/>
        <w:t> </w:t>
      </w:r>
      <w:r>
        <w:rPr>
          <w:rFonts w:ascii="宋体" w:hAnsi="宋体" w:cs="宋体" w:eastAsia="宋体" w:hint="default"/>
        </w:rPr>
        <w:t>55.94%</w:t>
      </w:r>
      <w:r>
        <w:rPr/>
        <w:t>；软件解决方案业务收入与上年同期基本持平；</w:t>
      </w:r>
      <w:r>
        <w:rPr>
          <w:rFonts w:ascii="宋体" w:hAnsi="宋体" w:cs="宋体" w:eastAsia="宋体" w:hint="default"/>
        </w:rPr>
        <w:t>IT</w:t>
      </w:r>
      <w:r>
        <w:rPr/>
        <w:t>运维服务业务收入增长</w:t>
      </w:r>
      <w:r>
        <w:rPr>
          <w:rFonts w:ascii="宋体" w:hAnsi="宋体" w:cs="宋体" w:eastAsia="宋体" w:hint="default"/>
        </w:rPr>
        <w:t>11.69%</w:t>
      </w:r>
      <w:r>
        <w:rPr/>
        <w:t>。</w:t>
      </w:r>
    </w:p>
    <w:p>
      <w:pPr>
        <w:pStyle w:val="BodyText"/>
        <w:spacing w:line="316" w:lineRule="auto"/>
        <w:ind w:right="1032" w:firstLine="360"/>
        <w:jc w:val="left"/>
      </w:pPr>
      <w:r>
        <w:rPr>
          <w:spacing w:val="-2"/>
        </w:rPr>
        <w:t>报告期公司营业收入增长主要动力来自对大型互联网企业的</w:t>
      </w:r>
      <w:r>
        <w:rPr>
          <w:rFonts w:ascii="宋体" w:hAnsi="宋体" w:cs="宋体" w:eastAsia="宋体" w:hint="default"/>
          <w:spacing w:val="-2"/>
        </w:rPr>
        <w:t>IT</w:t>
      </w:r>
      <w:r>
        <w:rPr>
          <w:spacing w:val="-2"/>
        </w:rPr>
        <w:t>基础设施建设业务，大型互联网企业</w:t>
      </w:r>
      <w:r>
        <w:rPr>
          <w:rFonts w:ascii="宋体" w:hAnsi="宋体" w:cs="宋体" w:eastAsia="宋体" w:hint="default"/>
          <w:spacing w:val="-2"/>
        </w:rPr>
        <w:t>IT</w:t>
      </w:r>
      <w:r>
        <w:rPr>
          <w:spacing w:val="-2"/>
        </w:rPr>
        <w:t>基础设施投资规模</w:t>
      </w:r>
      <w:r>
        <w:rPr/>
        <w:t> </w:t>
      </w:r>
      <w:r>
        <w:rPr>
          <w:spacing w:val="-4"/>
        </w:rPr>
        <w:t>巨大，公司利用自身在</w:t>
      </w:r>
      <w:r>
        <w:rPr>
          <w:rFonts w:ascii="宋体" w:hAnsi="宋体" w:cs="宋体" w:eastAsia="宋体" w:hint="default"/>
          <w:spacing w:val="-4"/>
        </w:rPr>
        <w:t>IT</w:t>
      </w:r>
      <w:r>
        <w:rPr>
          <w:spacing w:val="-4"/>
        </w:rPr>
        <w:t>基础设施建设领域的技术、服务能力与供应商合作优势，全面布局，重点突破，取得了良好的效果。</w:t>
      </w:r>
      <w:r>
        <w:rPr>
          <w:spacing w:val="-40"/>
        </w:rPr>
        <w:t> </w:t>
      </w:r>
      <w:r>
        <w:rPr>
          <w:spacing w:val="-40"/>
        </w:rPr>
      </w:r>
      <w:r>
        <w:rPr/>
        <w:t>另外，来自国有大型商业银行的</w:t>
      </w:r>
      <w:r>
        <w:rPr>
          <w:rFonts w:ascii="宋体" w:hAnsi="宋体" w:cs="宋体" w:eastAsia="宋体" w:hint="default"/>
        </w:rPr>
        <w:t>IT</w:t>
      </w:r>
      <w:r>
        <w:rPr/>
        <w:t>基础设施建设业务及</w:t>
      </w:r>
      <w:r>
        <w:rPr>
          <w:rFonts w:ascii="宋体" w:hAnsi="宋体" w:cs="宋体" w:eastAsia="宋体" w:hint="default"/>
        </w:rPr>
        <w:t>IT</w:t>
      </w:r>
      <w:r>
        <w:rPr/>
        <w:t>运维服务业务在经历一段时间的稳定后，也呈现恢复性增长趋势。</w:t>
      </w:r>
    </w:p>
    <w:p>
      <w:pPr>
        <w:pStyle w:val="BodyText"/>
        <w:spacing w:line="316" w:lineRule="auto"/>
        <w:ind w:right="0" w:firstLine="360"/>
        <w:jc w:val="left"/>
      </w:pPr>
      <w:r>
        <w:rPr>
          <w:spacing w:val="-2"/>
        </w:rPr>
        <w:t>从公司营业成本结构上看，</w:t>
      </w:r>
      <w:r>
        <w:rPr>
          <w:rFonts w:ascii="宋体" w:hAnsi="宋体" w:cs="宋体" w:eastAsia="宋体" w:hint="default"/>
          <w:spacing w:val="-2"/>
        </w:rPr>
        <w:t>IT</w:t>
      </w:r>
      <w:r>
        <w:rPr>
          <w:spacing w:val="-2"/>
        </w:rPr>
        <w:t>基础设施业务营业收入占比最高，其毛利率下降影响最为显著。</w:t>
      </w:r>
      <w:r>
        <w:rPr>
          <w:rFonts w:ascii="宋体" w:hAnsi="宋体" w:cs="宋体" w:eastAsia="宋体" w:hint="default"/>
          <w:spacing w:val="-2"/>
        </w:rPr>
        <w:t>IT</w:t>
      </w:r>
      <w:r>
        <w:rPr>
          <w:spacing w:val="-2"/>
        </w:rPr>
        <w:t>基础设施业务毛利率下</w:t>
      </w:r>
      <w:r>
        <w:rPr/>
        <w:t> 降主要体现在非银行客户，这也显示非银行企业客户</w:t>
      </w:r>
      <w:r>
        <w:rPr>
          <w:rFonts w:ascii="宋体" w:hAnsi="宋体" w:cs="宋体" w:eastAsia="宋体" w:hint="default"/>
        </w:rPr>
        <w:t>IT</w:t>
      </w:r>
      <w:r>
        <w:rPr/>
        <w:t>基础设施建设业务竞争更加激烈。</w:t>
      </w:r>
    </w:p>
    <w:p>
      <w:pPr>
        <w:pStyle w:val="BodyText"/>
        <w:spacing w:line="316" w:lineRule="auto"/>
        <w:ind w:right="0" w:firstLine="360"/>
        <w:jc w:val="left"/>
      </w:pPr>
      <w:r>
        <w:rPr>
          <w:spacing w:val="-2"/>
        </w:rPr>
        <w:t>报告期内公司经营管理费用增加较为明显。其中财务费用增加幅度最大，随着公司销售规模显著提高，经营性资金需求</w:t>
      </w:r>
      <w:r>
        <w:rPr/>
        <w:t> 也相应提高，自</w:t>
      </w:r>
      <w:r>
        <w:rPr>
          <w:rFonts w:ascii="宋体" w:hAnsi="宋体" w:cs="宋体" w:eastAsia="宋体" w:hint="default"/>
        </w:rPr>
        <w:t>2017</w:t>
      </w:r>
      <w:r>
        <w:rPr/>
        <w:t>年下半年起，公司银行贷款规模大幅提高。</w:t>
      </w:r>
    </w:p>
    <w:p>
      <w:pPr>
        <w:pStyle w:val="BodyText"/>
        <w:spacing w:line="316" w:lineRule="auto"/>
        <w:ind w:right="1122" w:firstLine="360"/>
        <w:jc w:val="left"/>
      </w:pPr>
      <w:r>
        <w:rPr/>
        <w:t>报告期内，公司归属于上市公司股东的净利润</w:t>
      </w:r>
      <w:r>
        <w:rPr>
          <w:rFonts w:ascii="宋体" w:hAnsi="宋体" w:cs="宋体" w:eastAsia="宋体" w:hint="default"/>
        </w:rPr>
        <w:t>5,119</w:t>
      </w:r>
      <w:r>
        <w:rPr/>
        <w:t>万元，较上年同期增长</w:t>
      </w:r>
      <w:r>
        <w:rPr>
          <w:rFonts w:ascii="宋体" w:hAnsi="宋体" w:cs="宋体" w:eastAsia="宋体" w:hint="default"/>
        </w:rPr>
        <w:t>19.24%</w:t>
      </w:r>
      <w:r>
        <w:rPr/>
        <w:t>。</w:t>
      </w:r>
      <w:r>
        <w:rPr>
          <w:rFonts w:ascii="宋体" w:hAnsi="宋体" w:cs="宋体" w:eastAsia="宋体" w:hint="default"/>
        </w:rPr>
        <w:t>IT</w:t>
      </w:r>
      <w:r>
        <w:rPr/>
        <w:t>基础设施建设业务竞争激烈，毛 利率较上年同期有所下降，但由于收入增长较快，使得公司净利润较上年同期有所提高。</w:t>
      </w:r>
    </w:p>
    <w:p>
      <w:pPr>
        <w:pStyle w:val="BodyText"/>
        <w:spacing w:line="316" w:lineRule="auto"/>
        <w:ind w:right="0" w:firstLine="360"/>
        <w:jc w:val="left"/>
      </w:pPr>
      <w:r>
        <w:rPr>
          <w:spacing w:val="-2"/>
        </w:rPr>
        <w:t>得益于公司强化资金管理，加强应收账款回收，报告期内公司经营活动产生的现金流量净额为</w:t>
      </w:r>
      <w:r>
        <w:rPr>
          <w:rFonts w:ascii="宋体" w:hAnsi="宋体" w:cs="宋体" w:eastAsia="宋体" w:hint="default"/>
          <w:spacing w:val="-2"/>
        </w:rPr>
        <w:t>8,748</w:t>
      </w:r>
      <w:r>
        <w:rPr>
          <w:spacing w:val="-2"/>
        </w:rPr>
        <w:t>万元</w:t>
      </w:r>
      <w:r>
        <w:rPr>
          <w:rFonts w:ascii="宋体" w:hAnsi="宋体" w:cs="宋体" w:eastAsia="宋体" w:hint="default"/>
          <w:spacing w:val="-2"/>
        </w:rPr>
        <w:t>,</w:t>
      </w:r>
      <w:r>
        <w:rPr>
          <w:spacing w:val="-2"/>
        </w:rPr>
        <w:t>较上年同期有</w:t>
      </w:r>
      <w:r>
        <w:rPr/>
        <w:t> 较明显的改善。</w:t>
      </w:r>
    </w:p>
    <w:p>
      <w:pPr>
        <w:pStyle w:val="BodyText"/>
        <w:spacing w:line="316" w:lineRule="auto"/>
        <w:ind w:right="0" w:firstLine="360"/>
        <w:jc w:val="left"/>
      </w:pPr>
      <w:r>
        <w:rPr>
          <w:spacing w:val="-4"/>
        </w:rPr>
        <w:t>报告期内，公司加大募投项目实施力度，带动研发费用投入明显提高。截止报告期末，公司募投项目均已进入收尾阶段，</w:t>
      </w:r>
      <w:r>
        <w:rPr/>
        <w:t> 并已实现规模化销售，募投项目产生的经济效益，已开始逐步显现。</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972"/>
        <w:jc w:val="left"/>
      </w:pPr>
      <w:r>
        <w:rPr/>
        <w:t>公司是否需要遵守光伏产业链相关业的披露要求 否</w:t>
      </w:r>
    </w:p>
    <w:p>
      <w:pPr>
        <w:pStyle w:val="BodyText"/>
        <w:spacing w:line="338" w:lineRule="auto" w:before="29"/>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42"/>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否</w:t>
      </w:r>
    </w:p>
    <w:p>
      <w:pPr>
        <w:pStyle w:val="BodyText"/>
        <w:spacing w:line="240" w:lineRule="auto" w:before="42"/>
        <w:ind w:right="0"/>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号——上市公司从软件与信息技术服务业务》的披露要求</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是</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
              <w:jc w:val="righ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6"/>
              <w:jc w:val="righ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98,136,087.80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448,630,896.62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288,353,823.03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555,227,667.45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90,678,424.41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276,074,463.01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154,800,520.98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99" w:right="0"/>
              <w:jc w:val="center"/>
              <w:rPr>
                <w:rFonts w:ascii="Times New Roman" w:hAnsi="Times New Roman" w:cs="Times New Roman" w:eastAsia="Times New Roman" w:hint="default"/>
                <w:sz w:val="11"/>
                <w:szCs w:val="11"/>
              </w:rPr>
            </w:pPr>
            <w:r>
              <w:rPr>
                <w:rFonts w:ascii="Times New Roman"/>
                <w:sz w:val="11"/>
              </w:rPr>
              <w:t>490,209,402.94</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1"/>
                <w:szCs w:val="11"/>
              </w:rPr>
            </w:pPr>
            <w:r>
              <w:rPr>
                <w:rFonts w:ascii="Times New Roman"/>
                <w:spacing w:val="-1"/>
                <w:sz w:val="11"/>
              </w:rPr>
              <w:t>-4,446,245.30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22,589,727.91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1"/>
                <w:szCs w:val="11"/>
              </w:rPr>
            </w:pPr>
            <w:r>
              <w:rPr>
                <w:rFonts w:ascii="Times New Roman"/>
                <w:spacing w:val="-1"/>
                <w:sz w:val="11"/>
              </w:rPr>
              <w:t>4,610,370.22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28,434,263.51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1"/>
                <w:szCs w:val="11"/>
              </w:rPr>
            </w:pPr>
            <w:r>
              <w:rPr>
                <w:rFonts w:ascii="Times New Roman"/>
                <w:spacing w:val="-1"/>
                <w:sz w:val="11"/>
              </w:rPr>
              <w:t>-4,366,883.16</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22,519,415.74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1"/>
                <w:szCs w:val="11"/>
              </w:rPr>
            </w:pPr>
            <w:r>
              <w:rPr>
                <w:rFonts w:ascii="Times New Roman"/>
                <w:spacing w:val="-1"/>
                <w:sz w:val="11"/>
              </w:rPr>
              <w:t>934,338.32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54" w:right="0"/>
              <w:jc w:val="center"/>
              <w:rPr>
                <w:rFonts w:ascii="Times New Roman" w:hAnsi="Times New Roman" w:cs="Times New Roman" w:eastAsia="Times New Roman" w:hint="default"/>
                <w:sz w:val="11"/>
                <w:szCs w:val="11"/>
              </w:rPr>
            </w:pPr>
            <w:r>
              <w:rPr>
                <w:rFonts w:ascii="Times New Roman"/>
                <w:sz w:val="11"/>
              </w:rPr>
              <w:t>23,843,203.45</w:t>
            </w:r>
          </w:p>
        </w:tc>
      </w:tr>
    </w:tbl>
    <w:p>
      <w:pPr>
        <w:pStyle w:val="BodyText"/>
        <w:spacing w:line="357" w:lineRule="auto" w:before="51"/>
        <w:ind w:left="474" w:right="1032" w:hanging="360"/>
        <w:jc w:val="left"/>
      </w:pPr>
      <w:r>
        <w:rPr/>
        <w:t>说明经营季节性（或周期性）发生的原因及波动风险 公司的主要客户为银行类金融机构，银行业用户的采购计划主要在上年年底到第二年的一季度制定，需经过方案审查、</w:t>
      </w:r>
    </w:p>
    <w:p>
      <w:pPr>
        <w:pStyle w:val="BodyText"/>
        <w:spacing w:line="224" w:lineRule="exact" w:before="0"/>
        <w:ind w:right="0"/>
        <w:jc w:val="left"/>
      </w:pPr>
      <w:r>
        <w:rPr/>
        <w:t>立项批复、采购申请、招投标、合同签订等严格的程序，这导致产品采购主要集中在每年下半年完成。受此影响，服务商的</w:t>
      </w:r>
    </w:p>
    <w:p>
      <w:pPr>
        <w:pStyle w:val="BodyText"/>
        <w:spacing w:line="316" w:lineRule="auto" w:before="76"/>
        <w:ind w:right="0"/>
        <w:jc w:val="left"/>
      </w:pPr>
      <w:r>
        <w:rPr>
          <w:spacing w:val="-2"/>
        </w:rPr>
        <w:t>收入多数在每年下半年才能得以确认，经营业绩存在明显的季节性特征。从公司上、下半年营业收入、净利润占全年比重来</w:t>
      </w:r>
      <w:r>
        <w:rPr>
          <w:spacing w:val="-66"/>
        </w:rPr>
        <w:t> </w:t>
      </w:r>
      <w:r>
        <w:rPr>
          <w:spacing w:val="-66"/>
        </w:rPr>
      </w:r>
      <w:r>
        <w:rPr/>
        <w:t>看，公司下半年营业收入及净利润占全年收入比重较高，呈现较强的季节性特征。</w:t>
      </w:r>
    </w:p>
    <w:p>
      <w:pPr>
        <w:pStyle w:val="BodyText"/>
        <w:spacing w:line="240" w:lineRule="auto" w:before="59"/>
        <w:ind w:right="0"/>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2"/>
        <w:gridCol w:w="1594"/>
        <w:gridCol w:w="1476"/>
        <w:gridCol w:w="1595"/>
        <w:gridCol w:w="1499"/>
        <w:gridCol w:w="1166"/>
      </w:tblGrid>
      <w:tr>
        <w:trPr>
          <w:trHeight w:val="402" w:hRule="exact"/>
        </w:trPr>
        <w:tc>
          <w:tcPr>
            <w:tcW w:w="2222" w:type="dxa"/>
            <w:vMerge w:val="restart"/>
            <w:tcBorders>
              <w:top w:val="single" w:sz="4" w:space="0" w:color="000000"/>
              <w:left w:val="single" w:sz="4" w:space="0" w:color="000000"/>
              <w:right w:val="single" w:sz="4" w:space="0" w:color="000000"/>
            </w:tcBorders>
            <w:shd w:val="clear" w:color="auto" w:fill="D2D2D2"/>
          </w:tcPr>
          <w:p>
            <w:pPr/>
          </w:p>
        </w:tc>
        <w:tc>
          <w:tcPr>
            <w:tcW w:w="30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22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1,011,762,811.34</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37.42%</w:t>
            </w:r>
          </w:p>
        </w:tc>
      </w:tr>
      <w:tr>
        <w:trPr>
          <w:trHeight w:val="397" w:hRule="exact"/>
        </w:trPr>
        <w:tc>
          <w:tcPr>
            <w:tcW w:w="95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575,359,164.00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441,236,806.62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30.40%</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区域性银行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193,602,684.30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184,264,716.48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18.21%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非银行业金融机构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58,148,692.50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58,051,877.35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563,237,934.10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328,209,410.89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71.61%</w:t>
            </w:r>
          </w:p>
        </w:tc>
      </w:tr>
      <w:tr>
        <w:trPr>
          <w:trHeight w:val="402" w:hRule="exact"/>
        </w:trPr>
        <w:tc>
          <w:tcPr>
            <w:tcW w:w="95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1,028,677,282.64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659,673,370.48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55.94%</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软件解决方案及专业服务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223,322,341.44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228,219,862.45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138,348,850.82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123,869,578.41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11.69%</w:t>
            </w:r>
          </w:p>
        </w:tc>
      </w:tr>
      <w:tr>
        <w:trPr>
          <w:trHeight w:val="402" w:hRule="exact"/>
        </w:trPr>
        <w:tc>
          <w:tcPr>
            <w:tcW w:w="95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50,924,118.17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52,543,416.71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-3.08%</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846,317,667.51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500,019,907.00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69.26%</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39,141,879.00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24,530,643.64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59.56%</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220,023,835.23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166,032,367.79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16.41%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32.52%</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42,495,071.48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53,793,566.07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-21.00%</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70,608,660.36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103,988,245.87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-32.10%</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119,831,983.15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110,854,664.26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10.96%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港澳台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705,260.00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before="44"/>
        <w:ind w:right="5830"/>
        <w:jc w:val="left"/>
      </w:pPr>
      <w:r>
        <w:rPr/>
        <w:t>√ 适用 □ 不适用 公司是否需要遵守特殊行业的披露要求 是</w:t>
      </w:r>
    </w:p>
    <w:p>
      <w:pPr>
        <w:pStyle w:val="BodyText"/>
        <w:spacing w:line="240" w:lineRule="auto" w:before="26"/>
        <w:ind w:right="5830"/>
        <w:jc w:val="left"/>
      </w:pPr>
      <w:r>
        <w:rPr/>
        <w:t>软件与信息技术服务业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100" w:bottom="1200" w:left="1020" w:right="0"/>
          <w:cols w:num="2" w:equalWidth="0">
            <w:col w:w="9025" w:space="40"/>
            <w:col w:w="1825"/>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847"/>
        <w:gridCol w:w="1481"/>
        <w:gridCol w:w="1367"/>
        <w:gridCol w:w="1037"/>
        <w:gridCol w:w="1374"/>
        <w:gridCol w:w="1308"/>
        <w:gridCol w:w="1172"/>
      </w:tblGrid>
      <w:tr>
        <w:trPr>
          <w:trHeight w:val="71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1"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9" w:right="107"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1" w:right="12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8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575,359,164.00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467,710,898.31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区域性银行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193,602,684.30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122,435,214.02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563,237,934.10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536,383,580.47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71.61%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958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1,028,677,282.64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948,195,921.99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58.83%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-1.68%</w:t>
            </w:r>
          </w:p>
        </w:tc>
      </w:tr>
      <w:tr>
        <w:trPr>
          <w:trHeight w:val="714"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2"/>
              <w:jc w:val="left"/>
              <w:rPr>
                <w:rFonts w:ascii="宋体" w:hAnsi="宋体" w:cs="宋体" w:eastAsia="宋体" w:hint="default"/>
                <w:sz w:val="18"/>
                <w:szCs w:val="18"/>
              </w:rPr>
            </w:pPr>
            <w:r>
              <w:rPr>
                <w:rFonts w:ascii="宋体" w:hAnsi="宋体" w:cs="宋体" w:eastAsia="宋体" w:hint="default"/>
                <w:sz w:val="18"/>
                <w:szCs w:val="18"/>
              </w:rPr>
              <w:t>软件解决方案及专业 服务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223,322,341.44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121,849,509.87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45.44%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138,348,850.82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99,670,569.41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4.05%</w:t>
            </w:r>
          </w:p>
        </w:tc>
      </w:tr>
      <w:tr>
        <w:trPr>
          <w:trHeight w:val="402" w:hRule="exact"/>
        </w:trPr>
        <w:tc>
          <w:tcPr>
            <w:tcW w:w="958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846,317,667.51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771,790,798.44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69.26%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center"/>
              <w:rPr>
                <w:rFonts w:ascii="Times New Roman" w:hAnsi="Times New Roman" w:cs="Times New Roman" w:eastAsia="Times New Roman" w:hint="default"/>
                <w:sz w:val="18"/>
                <w:szCs w:val="18"/>
              </w:rPr>
            </w:pPr>
            <w:r>
              <w:rPr>
                <w:rFonts w:ascii="Times New Roman"/>
                <w:sz w:val="18"/>
              </w:rPr>
              <w:t>220,023,835.23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161,246,960.14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23.87%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center"/>
              <w:rPr>
                <w:rFonts w:ascii="Times New Roman" w:hAnsi="Times New Roman" w:cs="Times New Roman" w:eastAsia="Times New Roman" w:hint="default"/>
                <w:sz w:val="18"/>
                <w:szCs w:val="18"/>
              </w:rPr>
            </w:pPr>
            <w:r>
              <w:rPr>
                <w:rFonts w:ascii="Times New Roman"/>
                <w:sz w:val="18"/>
              </w:rPr>
              <w:t>70,608,660.36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44,828,385.93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-38.66%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6.79%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center"/>
              <w:rPr>
                <w:rFonts w:ascii="Times New Roman" w:hAnsi="Times New Roman" w:cs="Times New Roman" w:eastAsia="Times New Roman" w:hint="default"/>
                <w:sz w:val="18"/>
                <w:szCs w:val="18"/>
              </w:rPr>
            </w:pPr>
            <w:r>
              <w:rPr>
                <w:rFonts w:ascii="Times New Roman"/>
                <w:sz w:val="18"/>
              </w:rPr>
              <w:t>119,831,983.15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90,881,488.48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24.16%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行业和产品分类</w:t>
      </w:r>
    </w:p>
    <w:p>
      <w:pPr>
        <w:spacing w:after="0" w:line="3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92"/>
        <w:gridCol w:w="1367"/>
        <w:gridCol w:w="1367"/>
        <w:gridCol w:w="1368"/>
        <w:gridCol w:w="1367"/>
        <w:gridCol w:w="1367"/>
        <w:gridCol w:w="1088"/>
      </w:tblGrid>
      <w:tr>
        <w:trPr>
          <w:trHeight w:val="402" w:hRule="exact"/>
        </w:trPr>
        <w:tc>
          <w:tcPr>
            <w:tcW w:w="1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69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138"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08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336,174,855.73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9" w:right="0"/>
              <w:jc w:val="left"/>
              <w:rPr>
                <w:rFonts w:ascii="Times New Roman" w:hAnsi="Times New Roman" w:cs="Times New Roman" w:eastAsia="Times New Roman" w:hint="default"/>
                <w:sz w:val="18"/>
                <w:szCs w:val="18"/>
              </w:rPr>
            </w:pPr>
            <w:r>
              <w:rPr>
                <w:rFonts w:ascii="Times New Roman"/>
                <w:sz w:val="18"/>
              </w:rPr>
              <w:t>28.74%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210,696,608.80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9" w:right="0"/>
              <w:jc w:val="left"/>
              <w:rPr>
                <w:rFonts w:ascii="Times New Roman" w:hAnsi="Times New Roman" w:cs="Times New Roman" w:eastAsia="Times New Roman" w:hint="default"/>
                <w:sz w:val="18"/>
                <w:szCs w:val="18"/>
              </w:rPr>
            </w:pPr>
            <w:r>
              <w:rPr>
                <w:rFonts w:ascii="Times New Roman"/>
                <w:sz w:val="18"/>
              </w:rPr>
              <w:t>25.54%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1" w:right="0"/>
              <w:jc w:val="left"/>
              <w:rPr>
                <w:rFonts w:ascii="Times New Roman" w:hAnsi="Times New Roman" w:cs="Times New Roman" w:eastAsia="Times New Roman" w:hint="default"/>
                <w:sz w:val="18"/>
                <w:szCs w:val="18"/>
              </w:rPr>
            </w:pPr>
            <w:r>
              <w:rPr>
                <w:rFonts w:ascii="Times New Roman"/>
                <w:sz w:val="18"/>
              </w:rPr>
              <w:t>59.55%</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8"/>
        <w:gridCol w:w="1367"/>
        <w:gridCol w:w="1367"/>
        <w:gridCol w:w="1367"/>
        <w:gridCol w:w="1367"/>
        <w:gridCol w:w="1367"/>
        <w:gridCol w:w="1051"/>
      </w:tblGrid>
      <w:tr>
        <w:trPr>
          <w:trHeight w:val="402" w:hRule="exact"/>
        </w:trPr>
        <w:tc>
          <w:tcPr>
            <w:tcW w:w="1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70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05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925,321,553.65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518,104,385.30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62.80%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78.60%</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直接工资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103,797,772.57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114,978,331.25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13.94%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-9.72%</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75,424,713.83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66,226,837.66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13.89%</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60"/>
        <w:gridCol w:w="4910"/>
      </w:tblGrid>
      <w:tr>
        <w:trPr>
          <w:trHeight w:val="402" w:hRule="exact"/>
        </w:trPr>
        <w:tc>
          <w:tcPr>
            <w:tcW w:w="4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871,891,871.98</w:t>
            </w:r>
          </w:p>
        </w:tc>
      </w:tr>
      <w:tr>
        <w:trPr>
          <w:trHeight w:val="402" w:hRule="exact"/>
        </w:trPr>
        <w:tc>
          <w:tcPr>
            <w:tcW w:w="4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62.71%</w:t>
            </w:r>
          </w:p>
        </w:tc>
      </w:tr>
      <w:tr>
        <w:trPr>
          <w:trHeight w:val="402" w:hRule="exact"/>
        </w:trPr>
        <w:tc>
          <w:tcPr>
            <w:tcW w:w="4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404,790,921.37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29.11%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229,217,262.96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159,971,337.80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52,407,994.57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25,504,355.28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871,891,871.98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62.71%</w:t>
            </w:r>
          </w:p>
        </w:tc>
      </w:tr>
    </w:tbl>
    <w:p>
      <w:pPr>
        <w:pStyle w:val="BodyText"/>
        <w:spacing w:line="240" w:lineRule="auto" w:before="51"/>
        <w:ind w:right="0"/>
        <w:jc w:val="left"/>
      </w:pPr>
      <w:r>
        <w:rPr/>
        <w:t>主要客户其他情况说明</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856"/>
        <w:gridCol w:w="4707"/>
      </w:tblGrid>
      <w:tr>
        <w:trPr>
          <w:trHeight w:val="403"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916,886,139.17</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69.34%</w:t>
            </w:r>
          </w:p>
        </w:tc>
      </w:tr>
      <w:tr>
        <w:trPr>
          <w:trHeight w:val="403"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524,298,176.91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39.65%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151,078,482.80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11.43%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130,311,777.80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72,763,702.00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38,433,999.66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916,886,139.17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69.34%</w:t>
            </w:r>
          </w:p>
        </w:tc>
      </w:tr>
    </w:tbl>
    <w:p>
      <w:pPr>
        <w:pStyle w:val="BodyText"/>
        <w:spacing w:line="240" w:lineRule="auto" w:before="51"/>
        <w:ind w:right="0"/>
        <w:jc w:val="left"/>
      </w:pPr>
      <w:r>
        <w:rPr/>
        <w:t>主要供应商其他情况说明</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45"/>
        <w:gridCol w:w="1637"/>
        <w:gridCol w:w="1638"/>
        <w:gridCol w:w="1115"/>
        <w:gridCol w:w="4097"/>
      </w:tblGrid>
      <w:tr>
        <w:trPr>
          <w:trHeight w:val="402"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43,678,054.36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42,532,442.93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2.69%</w:t>
            </w:r>
          </w:p>
        </w:tc>
        <w:tc>
          <w:tcPr>
            <w:tcW w:w="40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52,446,578.62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46,891,975.03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11.85%</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主要系本报告期发生股权激励费用所致。</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14,651,343.98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7,950,251.87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84.29%</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主要系本报告期支付的银行贷款利息增加所致。</w:t>
            </w:r>
          </w:p>
        </w:tc>
      </w:tr>
      <w:tr>
        <w:trPr>
          <w:trHeight w:val="402" w:hRule="exact"/>
        </w:trPr>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42,983,089.49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31,017,791.42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38.58%</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主要系本报告期增加研发投入所致。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474" w:right="1118" w:hanging="360"/>
        <w:jc w:val="left"/>
      </w:pPr>
      <w:r>
        <w:rPr/>
        <w:t>√ 适用 □ 不适用 </w:t>
      </w:r>
      <w:r>
        <w:rPr>
          <w:spacing w:val="-2"/>
        </w:rPr>
        <w:t>报告期内，公司研发投入重点为公司首次公开发行股票并在创业板上市募集资金投资项目，募投项目目标参见公司招股</w:t>
      </w:r>
    </w:p>
    <w:p>
      <w:pPr>
        <w:pStyle w:val="BodyText"/>
        <w:spacing w:line="224" w:lineRule="exact" w:before="0"/>
        <w:ind w:right="0"/>
        <w:jc w:val="left"/>
      </w:pPr>
      <w:r>
        <w:rPr/>
        <w:t>说明书，募</w:t>
      </w:r>
      <w:r>
        <w:rPr>
          <w:spacing w:val="1"/>
        </w:rPr>
        <w:t>投</w:t>
      </w:r>
      <w:r>
        <w:rPr/>
        <w:t>项目的进展</w:t>
      </w:r>
      <w:r>
        <w:rPr>
          <w:spacing w:val="1"/>
        </w:rPr>
        <w:t>情</w:t>
      </w:r>
      <w:r>
        <w:rPr/>
        <w:t>况参见本节</w:t>
      </w:r>
      <w:r>
        <w:rPr>
          <w:spacing w:val="1"/>
        </w:rPr>
        <w:t>之</w:t>
      </w:r>
      <w:r>
        <w:rPr/>
        <w:t>“五、投资</w:t>
      </w:r>
      <w:r>
        <w:rPr>
          <w:spacing w:val="1"/>
        </w:rPr>
        <w:t>状</w:t>
      </w:r>
      <w:r>
        <w:rPr/>
        <w:t>况分析</w:t>
      </w:r>
      <w:r>
        <w:rPr>
          <w:spacing w:val="-90"/>
        </w:rPr>
        <w:t>”</w:t>
      </w:r>
      <w:r>
        <w:rPr/>
        <w:t>。募</w:t>
      </w:r>
      <w:r>
        <w:rPr>
          <w:spacing w:val="1"/>
        </w:rPr>
        <w:t>投</w:t>
      </w:r>
      <w:r>
        <w:rPr/>
        <w:t>项目的顺利</w:t>
      </w:r>
      <w:r>
        <w:rPr>
          <w:spacing w:val="1"/>
        </w:rPr>
        <w:t>实</w:t>
      </w:r>
      <w:r>
        <w:rPr/>
        <w:t>施，对公司</w:t>
      </w:r>
      <w:r>
        <w:rPr>
          <w:spacing w:val="1"/>
        </w:rPr>
        <w:t>保</w:t>
      </w:r>
      <w:r>
        <w:rPr/>
        <w:t>持并提升市</w:t>
      </w:r>
      <w:r>
        <w:rPr>
          <w:spacing w:val="1"/>
        </w:rPr>
        <w:t>场</w:t>
      </w:r>
      <w:r>
        <w:rPr/>
        <w:t>地位，扩大</w:t>
      </w:r>
    </w:p>
    <w:p>
      <w:pPr>
        <w:pStyle w:val="BodyText"/>
        <w:spacing w:line="316" w:lineRule="auto" w:before="76"/>
        <w:ind w:left="474" w:right="0" w:hanging="360"/>
        <w:jc w:val="left"/>
      </w:pPr>
      <w:r>
        <w:rPr/>
        <w:t>业务规模，具有战略意义。未来公司将持续推进募投项目的实施，并力争达成项目目标。 </w:t>
      </w:r>
      <w:r>
        <w:rPr>
          <w:spacing w:val="-4"/>
        </w:rPr>
        <w:t>报告期内，公司投入的另一类研发项目，是根据特定客户需求而立项研发的项目。此类项目具有在其他客户的推广价值，</w:t>
      </w:r>
    </w:p>
    <w:p>
      <w:pPr>
        <w:pStyle w:val="BodyText"/>
        <w:spacing w:line="316" w:lineRule="auto"/>
        <w:ind w:right="1118"/>
        <w:jc w:val="left"/>
      </w:pPr>
      <w:r>
        <w:rPr>
          <w:spacing w:val="-2"/>
        </w:rPr>
        <w:t>或为维护公司大客户的长期合作关系而设立，项目研发目标及方案一般经过公司与客户方论证，完成后经客户验收后在客户</w:t>
      </w:r>
      <w:r>
        <w:rPr>
          <w:spacing w:val="-64"/>
        </w:rPr>
        <w:t> </w:t>
      </w:r>
      <w:r>
        <w:rPr>
          <w:spacing w:val="-64"/>
        </w:rPr>
      </w:r>
      <w:r>
        <w:rPr/>
        <w:t>方投入使用。</w:t>
      </w:r>
    </w:p>
    <w:p>
      <w:pPr>
        <w:spacing w:after="0" w:line="316"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65"/>
        <w:gridCol w:w="2120"/>
        <w:gridCol w:w="2160"/>
        <w:gridCol w:w="2118"/>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101</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53,837,360.96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40,376,905.77</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35,002,911.61</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3.99%</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10,854,271.47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9,359,114.35</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4,905,180.84</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23.18%</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14.01%</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21.80%</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19"/>
        <w:jc w:val="left"/>
      </w:pPr>
      <w:r>
        <w:rPr/>
        <w:t>研发投入总额占营业收入的比重较上年发生显著变化的原因</w:t>
      </w:r>
    </w:p>
    <w:p>
      <w:pPr>
        <w:pStyle w:val="BodyText"/>
        <w:spacing w:line="357" w:lineRule="auto" w:before="117"/>
        <w:ind w:right="4930"/>
        <w:jc w:val="left"/>
      </w:pPr>
      <w:r>
        <w:rPr/>
        <w:t>□ 适用 √ 不适用 研发投入资本化率大幅变动的原因及其合理性说明</w:t>
      </w:r>
    </w:p>
    <w:p>
      <w:pPr>
        <w:pStyle w:val="BodyText"/>
        <w:spacing w:line="240" w:lineRule="auto" w:before="28"/>
        <w:ind w:right="5830"/>
        <w:jc w:val="left"/>
      </w:pPr>
      <w:r>
        <w:rPr/>
        <w:t>□ 适用 √ 不适用</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100" w:bottom="1200" w:left="1020" w:right="0"/>
          <w:cols w:num="2" w:equalWidth="0">
            <w:col w:w="9025" w:space="40"/>
            <w:col w:w="1825"/>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00"/>
        <w:gridCol w:w="1490"/>
        <w:gridCol w:w="3770"/>
        <w:gridCol w:w="2027"/>
      </w:tblGrid>
      <w:tr>
        <w:trPr>
          <w:trHeight w:val="401" w:hRule="exact"/>
        </w:trPr>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8"/>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架构的金融渠道 和业务平台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Starring6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3,032,532.35</w:t>
            </w:r>
          </w:p>
        </w:tc>
        <w:tc>
          <w:tcPr>
            <w:tcW w:w="3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pacing w:val="-3"/>
                <w:sz w:val="18"/>
                <w:szCs w:val="18"/>
              </w:rPr>
              <w:t>募投项目。公司前置与渠道业务处理领域的核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心平台软件，用于金融行业关键业务处理。</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3"/>
              <w:jc w:val="left"/>
              <w:rPr>
                <w:rFonts w:ascii="宋体" w:hAnsi="宋体" w:cs="宋体" w:eastAsia="宋体" w:hint="default"/>
                <w:sz w:val="18"/>
                <w:szCs w:val="18"/>
              </w:rPr>
            </w:pPr>
            <w:r>
              <w:rPr>
                <w:rFonts w:ascii="宋体" w:hAnsi="宋体" w:cs="宋体" w:eastAsia="宋体" w:hint="default"/>
                <w:sz w:val="18"/>
                <w:szCs w:val="18"/>
              </w:rPr>
              <w:t>主要研发工作已完成， 进入项目收尾阶段。</w:t>
            </w:r>
          </w:p>
        </w:tc>
      </w:tr>
      <w:tr>
        <w:trPr>
          <w:trHeight w:val="133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04"/>
              <w:jc w:val="left"/>
              <w:rPr>
                <w:rFonts w:ascii="宋体" w:hAnsi="宋体" w:cs="宋体" w:eastAsia="宋体" w:hint="default"/>
                <w:sz w:val="18"/>
                <w:szCs w:val="18"/>
              </w:rPr>
            </w:pPr>
            <w:r>
              <w:rPr>
                <w:rFonts w:ascii="宋体" w:hAnsi="宋体" w:cs="宋体" w:eastAsia="宋体" w:hint="default"/>
                <w:sz w:val="18"/>
                <w:szCs w:val="18"/>
              </w:rPr>
              <w:t>企业数据管理及应用软件 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1,096,520.90</w:t>
            </w:r>
          </w:p>
        </w:tc>
        <w:tc>
          <w:tcPr>
            <w:tcW w:w="3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0"/>
              <w:jc w:val="both"/>
              <w:rPr>
                <w:rFonts w:ascii="宋体" w:hAnsi="宋体" w:cs="宋体" w:eastAsia="宋体" w:hint="default"/>
                <w:sz w:val="18"/>
                <w:szCs w:val="18"/>
              </w:rPr>
            </w:pPr>
            <w:r>
              <w:rPr>
                <w:rFonts w:ascii="宋体" w:hAnsi="宋体" w:cs="宋体" w:eastAsia="宋体" w:hint="default"/>
                <w:spacing w:val="-3"/>
                <w:sz w:val="18"/>
                <w:szCs w:val="18"/>
              </w:rPr>
              <w:t>募投项目。公司数据管理及商业智能领域的核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心平台软件，用于支撑企业级数据采集、数据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集成与管理、数据统计与分析、数据应用与展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现的平台软件。</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13"/>
              <w:jc w:val="left"/>
              <w:rPr>
                <w:rFonts w:ascii="宋体" w:hAnsi="宋体" w:cs="宋体" w:eastAsia="宋体" w:hint="default"/>
                <w:sz w:val="18"/>
                <w:szCs w:val="18"/>
              </w:rPr>
            </w:pPr>
            <w:r>
              <w:rPr>
                <w:rFonts w:ascii="宋体" w:hAnsi="宋体" w:cs="宋体" w:eastAsia="宋体" w:hint="default"/>
                <w:sz w:val="18"/>
                <w:szCs w:val="18"/>
              </w:rPr>
              <w:t>主要研发工作已完成， 进入项目收尾阶段。</w:t>
            </w:r>
          </w:p>
        </w:tc>
      </w:tr>
      <w:tr>
        <w:trPr>
          <w:trHeight w:val="133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大数据平台及应用</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BDPAS</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2,713,694.57</w:t>
            </w:r>
          </w:p>
        </w:tc>
        <w:tc>
          <w:tcPr>
            <w:tcW w:w="3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both"/>
              <w:rPr>
                <w:rFonts w:ascii="宋体" w:hAnsi="宋体" w:cs="宋体" w:eastAsia="宋体" w:hint="default"/>
                <w:sz w:val="18"/>
                <w:szCs w:val="18"/>
              </w:rPr>
            </w:pPr>
            <w:r>
              <w:rPr>
                <w:rFonts w:ascii="宋体" w:hAnsi="宋体" w:cs="宋体" w:eastAsia="宋体" w:hint="default"/>
                <w:spacing w:val="-3"/>
                <w:sz w:val="18"/>
                <w:szCs w:val="18"/>
              </w:rPr>
              <w:t>募投项目。公司大数据领域的核心应用软件平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台，提供大数据领域一体化管理平台、企业级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客户互联网数据分析、风险管控、业务模型搭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运维管理等应用功能。</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13"/>
              <w:jc w:val="left"/>
              <w:rPr>
                <w:rFonts w:ascii="宋体" w:hAnsi="宋体" w:cs="宋体" w:eastAsia="宋体" w:hint="default"/>
                <w:sz w:val="18"/>
                <w:szCs w:val="18"/>
              </w:rPr>
            </w:pPr>
            <w:r>
              <w:rPr>
                <w:rFonts w:ascii="宋体" w:hAnsi="宋体" w:cs="宋体" w:eastAsia="宋体" w:hint="default"/>
                <w:sz w:val="18"/>
                <w:szCs w:val="18"/>
              </w:rPr>
              <w:t>研发工作已完成，进入 结项阶段。</w:t>
            </w:r>
          </w:p>
        </w:tc>
      </w:tr>
      <w:tr>
        <w:trPr>
          <w:trHeight w:val="71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运维服务体系建设项目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4,011,523.65</w:t>
            </w:r>
          </w:p>
        </w:tc>
        <w:tc>
          <w:tcPr>
            <w:tcW w:w="3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left"/>
              <w:rPr>
                <w:rFonts w:ascii="宋体" w:hAnsi="宋体" w:cs="宋体" w:eastAsia="宋体" w:hint="default"/>
                <w:sz w:val="18"/>
                <w:szCs w:val="18"/>
              </w:rPr>
            </w:pPr>
            <w:r>
              <w:rPr>
                <w:rFonts w:ascii="宋体" w:hAnsi="宋体" w:cs="宋体" w:eastAsia="宋体" w:hint="default"/>
                <w:spacing w:val="-3"/>
                <w:sz w:val="18"/>
                <w:szCs w:val="18"/>
              </w:rPr>
              <w:t>募投项目。主要为该项目中智能网络管理及运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维平台研发投入。</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3"/>
              <w:jc w:val="left"/>
              <w:rPr>
                <w:rFonts w:ascii="宋体" w:hAnsi="宋体" w:cs="宋体" w:eastAsia="宋体" w:hint="default"/>
                <w:sz w:val="18"/>
                <w:szCs w:val="18"/>
              </w:rPr>
            </w:pPr>
            <w:r>
              <w:rPr>
                <w:rFonts w:ascii="宋体" w:hAnsi="宋体" w:cs="宋体" w:eastAsia="宋体" w:hint="default"/>
                <w:sz w:val="18"/>
                <w:szCs w:val="18"/>
              </w:rPr>
              <w:t>大部分项目任务已完 成，处于项目中后期。</w:t>
            </w:r>
          </w:p>
        </w:tc>
      </w:tr>
    </w:tbl>
    <w:p>
      <w:pPr>
        <w:spacing w:line="240" w:lineRule="auto" w:before="3"/>
        <w:rPr>
          <w:rFonts w:ascii="宋体" w:hAnsi="宋体" w:cs="宋体" w:eastAsia="宋体" w:hint="default"/>
          <w:sz w:val="21"/>
          <w:szCs w:val="21"/>
        </w:rPr>
      </w:pPr>
    </w:p>
    <w:p>
      <w:pPr>
        <w:pStyle w:val="BodyText"/>
        <w:spacing w:line="316" w:lineRule="auto" w:before="44"/>
        <w:ind w:left="474" w:right="0"/>
        <w:jc w:val="left"/>
      </w:pPr>
      <w:r>
        <w:rPr/>
        <w:t>上述项目均经过市场调研，项目可行性研究报告、项目立项报告、项目预算、项目决策分析等环节严格的项目评审。 </w:t>
      </w:r>
      <w:r>
        <w:rPr>
          <w:spacing w:val="-2"/>
        </w:rPr>
        <w:t>上述开发支出中的资本化研发项目的相关技术已经开始应用于现有项目，关联项目已经获得规模化销售，基于无形资产</w:t>
      </w:r>
    </w:p>
    <w:p>
      <w:pPr>
        <w:pStyle w:val="BodyText"/>
        <w:spacing w:line="316" w:lineRule="auto"/>
        <w:ind w:right="1131"/>
        <w:jc w:val="both"/>
      </w:pPr>
      <w:r>
        <w:rPr>
          <w:spacing w:val="-2"/>
        </w:rPr>
        <w:t>的使用或出售在技术上具有可行性，且公司有依赖上述无形资产进行销售的意图，基于无形资产完成的软件解决方案存在市</w:t>
      </w:r>
      <w:r>
        <w:rPr>
          <w:spacing w:val="-64"/>
        </w:rPr>
        <w:t> </w:t>
      </w:r>
      <w:r>
        <w:rPr>
          <w:spacing w:val="-64"/>
        </w:rPr>
      </w:r>
      <w:r>
        <w:rPr>
          <w:spacing w:val="-2"/>
        </w:rPr>
        <w:t>场。公司募集资金、营业收入及经营活动现金流入足以支撑研发工作，公司研发经验丰富，已获取多项软件著作权，因此公</w:t>
      </w:r>
      <w:r>
        <w:rPr>
          <w:spacing w:val="-65"/>
        </w:rPr>
        <w:t> </w:t>
      </w:r>
      <w:r>
        <w:rPr>
          <w:spacing w:val="-65"/>
        </w:rPr>
      </w:r>
      <w:r>
        <w:rPr>
          <w:spacing w:val="-2"/>
        </w:rPr>
        <w:t>司有足够的技术、财务资源和其他资源支持，以完成该项目的开发，并有能力使用或出售该无形资产。公司研发支出的内控</w:t>
      </w:r>
      <w:r>
        <w:rPr>
          <w:spacing w:val="-66"/>
        </w:rPr>
        <w:t> </w:t>
      </w:r>
      <w:r>
        <w:rPr>
          <w:spacing w:val="-66"/>
        </w:rPr>
      </w:r>
      <w:r>
        <w:rPr/>
        <w:t>制度较为健全，归属于该无形资产开发阶段的支出能够可靠地计量。</w:t>
      </w:r>
    </w:p>
    <w:p>
      <w:pPr>
        <w:pStyle w:val="BodyText"/>
        <w:spacing w:line="240" w:lineRule="auto"/>
        <w:ind w:left="474" w:right="0"/>
        <w:jc w:val="left"/>
      </w:pPr>
      <w:r>
        <w:rPr/>
        <w:t>公司上述资本化研发项目已达资本化条件。</w:t>
      </w:r>
    </w:p>
    <w:p>
      <w:pPr>
        <w:spacing w:after="0" w:line="240" w:lineRule="auto"/>
        <w:jc w:val="left"/>
        <w:sectPr>
          <w:type w:val="continuous"/>
          <w:pgSz w:w="11910" w:h="16840"/>
          <w:pgMar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03"/>
        <w:gridCol w:w="2393"/>
        <w:gridCol w:w="2392"/>
        <w:gridCol w:w="2206"/>
      </w:tblGrid>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1,693,965,876.37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1,066,501,321.38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58.83%</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1,606,489,412.11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1,205,030,383.16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33.32%</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87,476,464.26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-138,529,061.78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-163.15%</w:t>
            </w:r>
            <w:r>
              <w:rPr>
                <w:rFonts w:ascii="Times New Roman"/>
                <w:sz w:val="18"/>
              </w:rPr>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37,312,738.23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178,787,558.78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-79.13%</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-37,291,738.23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-178,787,558.78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-79.14%</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396,873,354.33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511,829,839.02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-22.46%</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532,652,939.81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287,829,134.60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85.06%</w:t>
            </w:r>
          </w:p>
        </w:tc>
      </w:tr>
      <w:tr>
        <w:trPr>
          <w:trHeight w:val="402"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-135,779,585.48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224,000,704.42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-160.62%</w:t>
            </w:r>
            <w:r>
              <w:rPr>
                <w:rFonts w:ascii="Times New Roman"/>
                <w:sz w:val="18"/>
              </w:rPr>
            </w:r>
          </w:p>
        </w:tc>
      </w:tr>
      <w:tr>
        <w:trPr>
          <w:trHeight w:val="403" w:hRule="exact"/>
        </w:trPr>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-85,486,476.26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-93,452,174.34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-8.52%</w:t>
            </w:r>
          </w:p>
        </w:tc>
      </w:tr>
    </w:tbl>
    <w:p>
      <w:pPr>
        <w:pStyle w:val="BodyText"/>
        <w:spacing w:line="240" w:lineRule="auto" w:before="51"/>
        <w:ind w:right="0"/>
        <w:jc w:val="left"/>
      </w:pPr>
      <w:r>
        <w:rPr/>
        <w:t>相关数据同比发生重大变动的主要影响因素说明</w:t>
      </w:r>
    </w:p>
    <w:p>
      <w:pPr>
        <w:pStyle w:val="BodyText"/>
        <w:spacing w:line="357" w:lineRule="auto" w:before="116"/>
        <w:ind w:left="474" w:right="1118" w:hanging="360"/>
        <w:jc w:val="left"/>
      </w:pPr>
      <w:r>
        <w:rPr/>
        <w:t>√ 适用 □ 不适用 </w:t>
      </w:r>
      <w:r>
        <w:rPr>
          <w:spacing w:val="-2"/>
        </w:rPr>
        <w:t>经营活动现金流入小计较上年增加</w:t>
      </w:r>
      <w:r>
        <w:rPr>
          <w:rFonts w:ascii="宋体" w:hAnsi="宋体" w:cs="宋体" w:eastAsia="宋体" w:hint="default"/>
          <w:spacing w:val="-2"/>
        </w:rPr>
        <w:t>627,464,554.99</w:t>
      </w:r>
      <w:r>
        <w:rPr>
          <w:spacing w:val="-2"/>
        </w:rPr>
        <w:t>元，增幅</w:t>
      </w:r>
      <w:r>
        <w:rPr>
          <w:rFonts w:ascii="宋体" w:hAnsi="宋体" w:cs="宋体" w:eastAsia="宋体" w:hint="default"/>
          <w:spacing w:val="-2"/>
        </w:rPr>
        <w:t>58.83%</w:t>
      </w:r>
      <w:r>
        <w:rPr>
          <w:spacing w:val="-2"/>
        </w:rPr>
        <w:t>，主要系本期销售增加及客户回款效率有所提升，即</w:t>
      </w:r>
    </w:p>
    <w:p>
      <w:pPr>
        <w:pStyle w:val="BodyText"/>
        <w:spacing w:line="224" w:lineRule="exact" w:before="0"/>
        <w:ind w:right="0"/>
        <w:jc w:val="left"/>
      </w:pPr>
      <w:r>
        <w:rPr/>
        <w:t>销售商品、提供劳务收到的现金增加所致；</w:t>
      </w:r>
    </w:p>
    <w:p>
      <w:pPr>
        <w:pStyle w:val="BodyText"/>
        <w:spacing w:line="316" w:lineRule="auto" w:before="77"/>
        <w:ind w:right="1041" w:firstLine="360"/>
        <w:jc w:val="left"/>
      </w:pPr>
      <w:r>
        <w:rPr>
          <w:spacing w:val="-3"/>
        </w:rPr>
        <w:t>经营活动现金流出小计较上年增加</w:t>
      </w:r>
      <w:r>
        <w:rPr>
          <w:rFonts w:ascii="宋体" w:hAnsi="宋体" w:cs="宋体" w:eastAsia="宋体" w:hint="default"/>
          <w:spacing w:val="-3"/>
        </w:rPr>
        <w:t>401,459,028.95</w:t>
      </w:r>
      <w:r>
        <w:rPr>
          <w:spacing w:val="-3"/>
        </w:rPr>
        <w:t>元，增幅</w:t>
      </w:r>
      <w:r>
        <w:rPr>
          <w:rFonts w:ascii="宋体" w:hAnsi="宋体" w:cs="宋体" w:eastAsia="宋体" w:hint="default"/>
          <w:spacing w:val="-3"/>
        </w:rPr>
        <w:t>33.32%</w:t>
      </w:r>
      <w:r>
        <w:rPr>
          <w:spacing w:val="-3"/>
        </w:rPr>
        <w:t>，主要系本期签署合同增加，需要采购相应的原材料，</w:t>
      </w:r>
      <w:r>
        <w:rPr/>
        <w:t> 支付货款增加，即购买商品、接受劳务支付的现金增加所致；</w:t>
      </w:r>
    </w:p>
    <w:p>
      <w:pPr>
        <w:pStyle w:val="BodyText"/>
        <w:spacing w:line="316" w:lineRule="auto"/>
        <w:ind w:right="0" w:firstLine="360"/>
        <w:jc w:val="left"/>
      </w:pPr>
      <w:r>
        <w:rPr>
          <w:spacing w:val="-2"/>
        </w:rPr>
        <w:t>经营活动产生的现金流量净额较上年增加</w:t>
      </w:r>
      <w:r>
        <w:rPr>
          <w:rFonts w:ascii="宋体" w:hAnsi="宋体" w:cs="宋体" w:eastAsia="宋体" w:hint="default"/>
          <w:spacing w:val="-2"/>
        </w:rPr>
        <w:t>226,005,526.04</w:t>
      </w:r>
      <w:r>
        <w:rPr>
          <w:spacing w:val="-2"/>
        </w:rPr>
        <w:t>元，增幅</w:t>
      </w:r>
      <w:r>
        <w:rPr>
          <w:rFonts w:ascii="宋体" w:hAnsi="宋体" w:cs="宋体" w:eastAsia="宋体" w:hint="default"/>
          <w:spacing w:val="-2"/>
        </w:rPr>
        <w:t>163.15%</w:t>
      </w:r>
      <w:r>
        <w:rPr>
          <w:spacing w:val="-2"/>
        </w:rPr>
        <w:t>，主要系本期销售增加及合同回款效率提升，</w:t>
      </w:r>
      <w:r>
        <w:rPr/>
        <w:t> 销售商品、提供劳务收到的现金增加超过购买商品、接受劳务支付的现金增加所致；</w:t>
      </w:r>
    </w:p>
    <w:p>
      <w:pPr>
        <w:pStyle w:val="BodyText"/>
        <w:spacing w:line="316" w:lineRule="auto"/>
        <w:ind w:right="0" w:firstLine="360"/>
        <w:jc w:val="left"/>
      </w:pPr>
      <w:r>
        <w:rPr>
          <w:spacing w:val="-2"/>
        </w:rPr>
        <w:t>投资活动现金流出小计较上年减少</w:t>
      </w:r>
      <w:r>
        <w:rPr>
          <w:rFonts w:ascii="宋体" w:hAnsi="宋体" w:cs="宋体" w:eastAsia="宋体" w:hint="default"/>
          <w:spacing w:val="-2"/>
        </w:rPr>
        <w:t>141,474,820.55</w:t>
      </w:r>
      <w:r>
        <w:rPr>
          <w:spacing w:val="-2"/>
        </w:rPr>
        <w:t>元，降幅</w:t>
      </w:r>
      <w:r>
        <w:rPr>
          <w:rFonts w:ascii="宋体" w:hAnsi="宋体" w:cs="宋体" w:eastAsia="宋体" w:hint="default"/>
          <w:spacing w:val="-2"/>
        </w:rPr>
        <w:t>79.13%</w:t>
      </w:r>
      <w:r>
        <w:rPr>
          <w:spacing w:val="-2"/>
        </w:rPr>
        <w:t>，主要系本期投入购建固定资产支付的现金、对外投</w:t>
      </w:r>
      <w:r>
        <w:rPr/>
        <w:t> 资支付的现金减少所致；</w:t>
      </w:r>
    </w:p>
    <w:p>
      <w:pPr>
        <w:pStyle w:val="BodyText"/>
        <w:spacing w:line="316" w:lineRule="auto"/>
        <w:ind w:right="1032" w:firstLine="360"/>
        <w:jc w:val="left"/>
      </w:pPr>
      <w:r>
        <w:rPr/>
        <w:t>投资活动产生的现金流量净额较上年减少</w:t>
      </w:r>
      <w:r>
        <w:rPr>
          <w:rFonts w:ascii="宋体" w:hAnsi="宋体" w:cs="宋体" w:eastAsia="宋体" w:hint="default"/>
        </w:rPr>
        <w:t>141,495,820.55</w:t>
      </w:r>
      <w:r>
        <w:rPr/>
        <w:t>元，降幅</w:t>
      </w:r>
      <w:r>
        <w:rPr>
          <w:rFonts w:ascii="宋体" w:hAnsi="宋体" w:cs="宋体" w:eastAsia="宋体" w:hint="default"/>
        </w:rPr>
        <w:t>79.14%</w:t>
      </w:r>
      <w:r>
        <w:rPr/>
        <w:t>，主要系本期投入购建固定资产支付的现金、 对外投资支付的现金的减少所致；</w:t>
      </w:r>
    </w:p>
    <w:p>
      <w:pPr>
        <w:pStyle w:val="BodyText"/>
        <w:spacing w:line="316" w:lineRule="auto"/>
        <w:ind w:left="474" w:right="1122"/>
        <w:jc w:val="left"/>
      </w:pPr>
      <w:r>
        <w:rPr/>
        <w:t>筹资活动现金流出小计较上年增加</w:t>
      </w:r>
      <w:r>
        <w:rPr>
          <w:rFonts w:ascii="宋体" w:hAnsi="宋体" w:cs="宋体" w:eastAsia="宋体" w:hint="default"/>
        </w:rPr>
        <w:t>244,823,805.21</w:t>
      </w:r>
      <w:r>
        <w:rPr/>
        <w:t>元，增幅</w:t>
      </w:r>
      <w:r>
        <w:rPr>
          <w:rFonts w:ascii="宋体" w:hAnsi="宋体" w:cs="宋体" w:eastAsia="宋体" w:hint="default"/>
        </w:rPr>
        <w:t>85.06%</w:t>
      </w:r>
      <w:r>
        <w:rPr/>
        <w:t>，主要系本期偿还银行借款支付的现金增加所致； 筹资活动产生的现金流量净额较上年减少</w:t>
      </w:r>
      <w:r>
        <w:rPr>
          <w:rFonts w:ascii="宋体" w:hAnsi="宋体" w:cs="宋体" w:eastAsia="宋体" w:hint="default"/>
        </w:rPr>
        <w:t>359,780,289.90</w:t>
      </w:r>
      <w:r>
        <w:rPr/>
        <w:t>元，降幅</w:t>
      </w:r>
      <w:r>
        <w:rPr>
          <w:rFonts w:ascii="宋体" w:hAnsi="宋体" w:cs="宋体" w:eastAsia="宋体" w:hint="default"/>
        </w:rPr>
        <w:t>160.62%</w:t>
      </w:r>
      <w:r>
        <w:rPr/>
        <w:t>，主要系本期偿还</w:t>
      </w:r>
      <w:r>
        <w:rPr>
          <w:rFonts w:ascii="宋体" w:hAnsi="宋体" w:cs="宋体" w:eastAsia="宋体" w:hint="default"/>
        </w:rPr>
        <w:t>2017</w:t>
      </w:r>
      <w:r>
        <w:rPr/>
        <w:t>年度银行借款所致。</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报告期内公司经营活动产生的现金净流量与本年度净利润存在重大差异的原因说明</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0"/>
        <w:gridCol w:w="1372"/>
        <w:gridCol w:w="1488"/>
        <w:gridCol w:w="3850"/>
        <w:gridCol w:w="1644"/>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7" w:right="185" w:hanging="540"/>
              <w:jc w:val="left"/>
              <w:rPr>
                <w:rFonts w:ascii="宋体" w:hAnsi="宋体" w:cs="宋体" w:eastAsia="宋体" w:hint="default"/>
                <w:sz w:val="18"/>
                <w:szCs w:val="18"/>
              </w:rPr>
            </w:pPr>
            <w:r>
              <w:rPr>
                <w:rFonts w:ascii="宋体" w:hAnsi="宋体" w:cs="宋体" w:eastAsia="宋体" w:hint="default"/>
                <w:sz w:val="18"/>
                <w:szCs w:val="18"/>
              </w:rPr>
              <w:t>是否具有可持续 性</w:t>
            </w:r>
          </w:p>
        </w:tc>
      </w:tr>
      <w:tr>
        <w:trPr>
          <w:trHeight w:val="40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-2,227,377.09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股权投资确认的投资损失</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00"/>
        <w:gridCol w:w="1372"/>
        <w:gridCol w:w="1488"/>
        <w:gridCol w:w="3850"/>
        <w:gridCol w:w="1644"/>
      </w:tblGrid>
      <w:tr>
        <w:trPr>
          <w:trHeight w:val="40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2,614,080.70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4.29%</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应收款项计提的坏账准备</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383,330.25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0.63%</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35"/>
              <w:jc w:val="left"/>
              <w:rPr>
                <w:rFonts w:ascii="宋体" w:hAnsi="宋体" w:cs="宋体" w:eastAsia="宋体" w:hint="default"/>
                <w:sz w:val="18"/>
                <w:szCs w:val="18"/>
              </w:rPr>
            </w:pPr>
            <w:r>
              <w:rPr>
                <w:rFonts w:ascii="宋体" w:hAnsi="宋体" w:cs="宋体" w:eastAsia="宋体" w:hint="default"/>
                <w:sz w:val="18"/>
                <w:szCs w:val="18"/>
              </w:rPr>
              <w:t>无需支付的款项及其他营业外收入，收到的计 入损益的政府补助</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391,775.99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0.64%</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处置固定资产损失等</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2"/>
        <w:gridCol w:w="1391"/>
        <w:gridCol w:w="842"/>
        <w:gridCol w:w="1458"/>
        <w:gridCol w:w="913"/>
        <w:gridCol w:w="833"/>
        <w:gridCol w:w="2598"/>
      </w:tblGrid>
      <w:tr>
        <w:trPr>
          <w:trHeight w:val="402" w:hRule="exact"/>
        </w:trPr>
        <w:tc>
          <w:tcPr>
            <w:tcW w:w="1582" w:type="dxa"/>
            <w:vMerge w:val="restart"/>
            <w:tcBorders>
              <w:top w:val="single" w:sz="4" w:space="0" w:color="000000"/>
              <w:left w:val="single" w:sz="4" w:space="0" w:color="000000"/>
              <w:right w:val="single" w:sz="4" w:space="0" w:color="000000"/>
            </w:tcBorders>
            <w:shd w:val="clear" w:color="auto" w:fill="D2D2D2"/>
          </w:tcPr>
          <w:p>
            <w:pPr/>
          </w:p>
        </w:tc>
        <w:tc>
          <w:tcPr>
            <w:tcW w:w="22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21" w:right="141"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582" w:type="dxa"/>
            <w:vMerge/>
            <w:tcBorders>
              <w:left w:val="single" w:sz="4" w:space="0" w:color="000000"/>
              <w:bottom w:val="single" w:sz="4" w:space="0" w:color="000000"/>
              <w:right w:val="single" w:sz="4" w:space="0" w:color="000000"/>
            </w:tcBorders>
            <w:shd w:val="clear" w:color="auto" w:fill="D2D2D2"/>
          </w:tcPr>
          <w:p>
            <w:pP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6" w:right="14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80"/>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33" w:type="dxa"/>
            <w:vMerge/>
            <w:tcBorders>
              <w:left w:val="single" w:sz="4" w:space="0" w:color="000000"/>
              <w:bottom w:val="single" w:sz="4" w:space="0" w:color="000000"/>
              <w:right w:val="single" w:sz="4" w:space="0" w:color="000000"/>
            </w:tcBorders>
            <w:shd w:val="clear" w:color="auto" w:fill="D2D2D2"/>
          </w:tcPr>
          <w:p>
            <w:pPr/>
          </w:p>
        </w:tc>
        <w:tc>
          <w:tcPr>
            <w:tcW w:w="259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258,257,805.43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19.58%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345,175,989.29</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主要系随着募投项目的投入， 募集资金减少所致。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35.36%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522,726,049.65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-3.94%</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主要系本报告期销售回款增加 所致。</w:t>
            </w:r>
          </w:p>
        </w:tc>
      </w:tr>
      <w:tr>
        <w:trPr>
          <w:trHeight w:val="102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335,165,856.00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25.42%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226,609,158.54</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8.38%</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主要系报告期末签订合同较 多，相应采购的原材料增多， 未到安装实施完，形成存货</w:t>
            </w:r>
            <w:r>
              <w:rPr>
                <w:rFonts w:ascii="Times New Roman" w:hAnsi="Times New Roman" w:cs="Times New Roman" w:eastAsia="Times New Roman" w:hint="default"/>
                <w:sz w:val="18"/>
                <w:szCs w:val="18"/>
              </w:rPr>
              <w:t>.</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100,656,313.20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102,416,094.05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主要系按权益法核算的投资公 司发生亏损所致。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61,667,379.57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6,416,918.16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主要系本报告期新增购置办公 场所所致。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17.44%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26.31%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-8.87%</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主要系报告期内偿还了银行借 款所致。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11,550,000.00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53,291,700.00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23"/>
              <w:jc w:val="left"/>
              <w:rPr>
                <w:rFonts w:ascii="宋体" w:hAnsi="宋体" w:cs="宋体" w:eastAsia="宋体" w:hint="default"/>
                <w:sz w:val="18"/>
                <w:szCs w:val="18"/>
              </w:rPr>
            </w:pPr>
            <w:r>
              <w:rPr>
                <w:rFonts w:ascii="宋体" w:hAnsi="宋体" w:cs="宋体" w:eastAsia="宋体" w:hint="default"/>
                <w:sz w:val="18"/>
                <w:szCs w:val="18"/>
              </w:rPr>
              <w:t>主要系本报告期取得房屋权 证，转入固定资产所致。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48,691,758.96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19,001,660.91</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主要系本报告期预收款合同暂 未完工，未确认收入收入。</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43,496,141.30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27,627,409.56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主要系本报告期人数增加，相 应工资及奖金增加所致。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10,929,210.68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22,111,550.22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-0.83%</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主要系本报告期末应交增值税 减少所致。</w:t>
            </w:r>
          </w:p>
        </w:tc>
      </w:tr>
      <w:tr>
        <w:trPr>
          <w:trHeight w:val="714"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15,300,058.19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5,856,007.32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0.72%</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主要系本报告期因股权激励形 成的股票回购义务增加所致。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截至报告期末，公司除</w:t>
      </w:r>
      <w:r>
        <w:rPr>
          <w:rFonts w:ascii="Times New Roman" w:hAnsi="Times New Roman" w:cs="Times New Roman" w:eastAsia="Times New Roman" w:hint="default"/>
          <w:sz w:val="16"/>
          <w:szCs w:val="16"/>
        </w:rPr>
        <w:t>2,334,401.49</w:t>
      </w:r>
      <w:r>
        <w:rPr>
          <w:rFonts w:ascii="宋体" w:hAnsi="宋体" w:cs="宋体" w:eastAsia="宋体" w:hint="default"/>
          <w:sz w:val="18"/>
          <w:szCs w:val="18"/>
        </w:rPr>
        <w:t>元保函保证金受限外，不存在资产被查封、扣押、冻结或者被抵押、质押的情况</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7" w:right="0"/>
              <w:jc w:val="left"/>
              <w:rPr>
                <w:rFonts w:ascii="Times New Roman" w:hAnsi="Times New Roman" w:cs="Times New Roman" w:eastAsia="Times New Roman" w:hint="default"/>
                <w:sz w:val="18"/>
                <w:szCs w:val="18"/>
              </w:rPr>
            </w:pPr>
            <w:r>
              <w:rPr>
                <w:rFonts w:ascii="Times New Roman"/>
                <w:sz w:val="18"/>
              </w:rPr>
              <w:t>114,000,000.00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23"/>
        <w:gridCol w:w="1902"/>
        <w:gridCol w:w="467"/>
        <w:gridCol w:w="662"/>
        <w:gridCol w:w="600"/>
        <w:gridCol w:w="553"/>
        <w:gridCol w:w="499"/>
        <w:gridCol w:w="592"/>
        <w:gridCol w:w="577"/>
        <w:gridCol w:w="507"/>
        <w:gridCol w:w="685"/>
        <w:gridCol w:w="553"/>
        <w:gridCol w:w="670"/>
        <w:gridCol w:w="724"/>
      </w:tblGrid>
      <w:tr>
        <w:trPr>
          <w:trHeight w:val="1338" w:hRule="exact"/>
        </w:trPr>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6" w:right="125"/>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4" w:right="152"/>
              <w:jc w:val="both"/>
              <w:rPr>
                <w:rFonts w:ascii="宋体" w:hAnsi="宋体" w:cs="宋体" w:eastAsia="宋体" w:hint="default"/>
                <w:sz w:val="18"/>
                <w:szCs w:val="18"/>
              </w:rPr>
            </w:pPr>
            <w:r>
              <w:rPr>
                <w:rFonts w:ascii="宋体" w:hAnsi="宋体" w:cs="宋体" w:eastAsia="宋体" w:hint="default"/>
                <w:sz w:val="18"/>
                <w:szCs w:val="18"/>
              </w:rPr>
              <w:t>合 作 方</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156"/>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56"/>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4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49" w:right="14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5706" w:hRule="exact"/>
        </w:trPr>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148"/>
              <w:jc w:val="both"/>
              <w:rPr>
                <w:rFonts w:ascii="宋体" w:hAnsi="宋体" w:cs="宋体" w:eastAsia="宋体" w:hint="default"/>
                <w:sz w:val="18"/>
                <w:szCs w:val="18"/>
              </w:rPr>
            </w:pPr>
            <w:r>
              <w:rPr>
                <w:rFonts w:ascii="宋体" w:hAnsi="宋体" w:cs="宋体" w:eastAsia="宋体" w:hint="default"/>
                <w:sz w:val="18"/>
                <w:szCs w:val="18"/>
              </w:rPr>
              <w:t>北京 海同 科技 有限 公司</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技术服务、技术开发、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技术转让、技术咨询；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基础软件服务；应用 软件服务；计算机系 </w:t>
            </w:r>
            <w:r>
              <w:rPr>
                <w:rFonts w:ascii="宋体" w:hAnsi="宋体" w:cs="宋体" w:eastAsia="宋体" w:hint="default"/>
                <w:spacing w:val="-12"/>
                <w:sz w:val="18"/>
                <w:szCs w:val="18"/>
              </w:rPr>
              <w:t>统服务；数据处理（数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据处理中的银行卡中 心、</w:t>
            </w:r>
            <w:r>
              <w:rPr>
                <w:rFonts w:ascii="Times New Roman" w:hAnsi="Times New Roman" w:cs="Times New Roman" w:eastAsia="Times New Roman" w:hint="default"/>
                <w:sz w:val="18"/>
                <w:szCs w:val="18"/>
              </w:rPr>
              <w:t>PUE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 上的云计算数据中心 </w:t>
            </w:r>
            <w:r>
              <w:rPr>
                <w:rFonts w:ascii="宋体" w:hAnsi="宋体" w:cs="宋体" w:eastAsia="宋体" w:hint="default"/>
                <w:spacing w:val="-12"/>
                <w:sz w:val="18"/>
                <w:szCs w:val="18"/>
              </w:rPr>
              <w:t>除外）；销售自行开发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后的产品。（企业依法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自主选择经营项目， 开展经营活动；依法 须经批准的项目，经 相关部门批准后依批 准的内容开展经营活 动；不得从事本市产 业政策禁止和限制类 </w:t>
            </w:r>
            <w:r>
              <w:rPr>
                <w:rFonts w:ascii="宋体" w:hAnsi="宋体" w:cs="宋体" w:eastAsia="宋体" w:hint="default"/>
                <w:spacing w:val="-10"/>
                <w:sz w:val="18"/>
                <w:szCs w:val="18"/>
              </w:rPr>
              <w:t>项目的经营活动。）</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增 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9" w:right="0"/>
              <w:jc w:val="left"/>
              <w:rPr>
                <w:rFonts w:ascii="Times New Roman" w:hAnsi="Times New Roman" w:cs="Times New Roman" w:eastAsia="Times New Roman" w:hint="default"/>
                <w:sz w:val="16"/>
                <w:szCs w:val="16"/>
              </w:rPr>
            </w:pPr>
            <w:r>
              <w:rPr>
                <w:rFonts w:ascii="Times New Roman"/>
                <w:sz w:val="16"/>
              </w:rPr>
              <w:t>6,000,</w:t>
            </w:r>
          </w:p>
          <w:p>
            <w:pPr>
              <w:pStyle w:val="TableParagraph"/>
              <w:spacing w:line="240" w:lineRule="auto" w:before="128"/>
              <w:ind w:left="109" w:right="0"/>
              <w:jc w:val="left"/>
              <w:rPr>
                <w:rFonts w:ascii="Times New Roman" w:hAnsi="Times New Roman" w:cs="Times New Roman" w:eastAsia="Times New Roman" w:hint="default"/>
                <w:sz w:val="16"/>
                <w:szCs w:val="16"/>
              </w:rPr>
            </w:pPr>
            <w:r>
              <w:rPr>
                <w:rFonts w:ascii="Times New Roman"/>
                <w:sz w:val="16"/>
              </w:rPr>
              <w:t>000.00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258"/>
              <w:jc w:val="left"/>
              <w:rPr>
                <w:rFonts w:ascii="宋体" w:hAnsi="宋体" w:cs="宋体" w:eastAsia="宋体" w:hint="default"/>
                <w:sz w:val="18"/>
                <w:szCs w:val="18"/>
              </w:rPr>
            </w:pPr>
            <w:r>
              <w:rPr>
                <w:rFonts w:ascii="宋体" w:hAnsi="宋体" w:cs="宋体" w:eastAsia="宋体" w:hint="default"/>
                <w:sz w:val="18"/>
                <w:szCs w:val="18"/>
              </w:rPr>
              <w:t>自 有</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204"/>
              <w:jc w:val="left"/>
              <w:rPr>
                <w:rFonts w:ascii="宋体" w:hAnsi="宋体" w:cs="宋体" w:eastAsia="宋体" w:hint="default"/>
                <w:sz w:val="18"/>
                <w:szCs w:val="18"/>
              </w:rPr>
            </w:pPr>
            <w:r>
              <w:rPr>
                <w:rFonts w:ascii="宋体" w:hAnsi="宋体" w:cs="宋体" w:eastAsia="宋体" w:hint="default"/>
                <w:sz w:val="18"/>
                <w:szCs w:val="18"/>
              </w:rPr>
              <w:t>徐 鹤</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长期</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不适 用</w:t>
            </w:r>
          </w:p>
        </w:tc>
        <w:tc>
          <w:tcPr>
            <w:tcW w:w="50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-70,38</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8.13</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7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9" w:right="0"/>
              <w:jc w:val="left"/>
              <w:rPr>
                <w:rFonts w:ascii="Times New Roman" w:hAnsi="Times New Roman" w:cs="Times New Roman" w:eastAsia="Times New Roman" w:hint="default"/>
                <w:sz w:val="16"/>
                <w:szCs w:val="16"/>
              </w:rPr>
            </w:pPr>
            <w:r>
              <w:rPr>
                <w:rFonts w:ascii="Times New Roman"/>
                <w:sz w:val="16"/>
              </w:rPr>
              <w:t>6,000,</w:t>
            </w:r>
          </w:p>
          <w:p>
            <w:pPr>
              <w:pStyle w:val="TableParagraph"/>
              <w:spacing w:line="240" w:lineRule="auto" w:before="128"/>
              <w:ind w:left="109" w:right="0"/>
              <w:jc w:val="left"/>
              <w:rPr>
                <w:rFonts w:ascii="Times New Roman" w:hAnsi="Times New Roman" w:cs="Times New Roman" w:eastAsia="Times New Roman" w:hint="default"/>
                <w:sz w:val="16"/>
                <w:szCs w:val="16"/>
              </w:rPr>
            </w:pPr>
            <w:r>
              <w:rPr>
                <w:rFonts w:ascii="Times New Roman"/>
                <w:sz w:val="16"/>
              </w:rPr>
              <w:t>000.00</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-70,38</w:t>
            </w:r>
          </w:p>
          <w:p>
            <w:pPr>
              <w:pStyle w:val="TableParagraph"/>
              <w:spacing w:line="240" w:lineRule="auto" w:before="105"/>
              <w:ind w:left="155" w:right="0"/>
              <w:jc w:val="center"/>
              <w:rPr>
                <w:rFonts w:ascii="Times New Roman" w:hAnsi="Times New Roman" w:cs="Times New Roman" w:eastAsia="Times New Roman" w:hint="default"/>
                <w:sz w:val="18"/>
                <w:szCs w:val="18"/>
              </w:rPr>
            </w:pPr>
            <w:r>
              <w:rPr>
                <w:rFonts w:ascii="Times New Roman"/>
                <w:sz w:val="18"/>
              </w:rPr>
              <w:t>8.13</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1106"/>
        <w:gridCol w:w="841"/>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8" w:right="186"/>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6" w:right="143"/>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8,199.46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6"/>
                <w:szCs w:val="16"/>
              </w:rPr>
            </w:pPr>
            <w:r>
              <w:rPr>
                <w:rFonts w:ascii="Times New Roman"/>
                <w:sz w:val="16"/>
              </w:rPr>
              <w:t>29,847.03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1,178.81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03" w:right="192"/>
              <w:jc w:val="left"/>
              <w:rPr>
                <w:rFonts w:ascii="宋体" w:hAnsi="宋体" w:cs="宋体" w:eastAsia="宋体" w:hint="default"/>
                <w:sz w:val="16"/>
                <w:szCs w:val="16"/>
              </w:rPr>
            </w:pPr>
            <w:r>
              <w:rPr>
                <w:rFonts w:ascii="宋体" w:hAnsi="宋体" w:cs="宋体" w:eastAsia="宋体" w:hint="default"/>
                <w:sz w:val="16"/>
                <w:szCs w:val="16"/>
              </w:rPr>
              <w:t>存放于募集</w:t>
            </w:r>
            <w:r>
              <w:rPr>
                <w:rFonts w:ascii="宋体" w:hAnsi="宋体" w:cs="宋体" w:eastAsia="宋体" w:hint="default"/>
                <w:w w:val="99"/>
                <w:sz w:val="16"/>
                <w:szCs w:val="16"/>
              </w:rPr>
              <w:t> </w:t>
            </w:r>
            <w:r>
              <w:rPr>
                <w:rFonts w:ascii="宋体" w:hAnsi="宋体" w:cs="宋体" w:eastAsia="宋体" w:hint="default"/>
                <w:sz w:val="16"/>
                <w:szCs w:val="16"/>
              </w:rPr>
              <w:t>资金专户中</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8,199.46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Times New Roman" w:hAnsi="Times New Roman" w:cs="Times New Roman" w:eastAsia="Times New Roman" w:hint="default"/>
                <w:sz w:val="16"/>
                <w:szCs w:val="16"/>
              </w:rPr>
            </w:pPr>
            <w:r>
              <w:rPr>
                <w:rFonts w:ascii="Times New Roman"/>
                <w:sz w:val="16"/>
              </w:rPr>
              <w:t>29,847.03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1,178.81</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77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595" w:hRule="exact"/>
        </w:trPr>
        <w:tc>
          <w:tcPr>
            <w:tcW w:w="9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（一）扣除发行费用后的实际募集资金金额、资金到账时间</w:t>
            </w:r>
          </w:p>
          <w:p>
            <w:pPr>
              <w:pStyle w:val="TableParagraph"/>
              <w:spacing w:line="300" w:lineRule="auto" w:before="116"/>
              <w:ind w:left="103" w:right="101"/>
              <w:jc w:val="left"/>
              <w:rPr>
                <w:rFonts w:ascii="宋体" w:hAnsi="宋体" w:cs="宋体" w:eastAsia="宋体" w:hint="default"/>
                <w:sz w:val="18"/>
                <w:szCs w:val="18"/>
              </w:rPr>
            </w:pPr>
            <w:r>
              <w:rPr>
                <w:rFonts w:ascii="宋体" w:hAnsi="宋体" w:cs="宋体" w:eastAsia="宋体" w:hint="default"/>
                <w:sz w:val="18"/>
                <w:szCs w:val="18"/>
              </w:rPr>
              <w:t>经中国证券监督管理委员会 《关于核准北京先进数通信息技术股份公司首次公开发行股票的批复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1885</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11"/>
                <w:sz w:val="18"/>
                <w:szCs w:val="18"/>
              </w:rPr>
              <w:t>）</w:t>
            </w:r>
            <w:r>
              <w:rPr>
                <w:rFonts w:ascii="宋体" w:hAnsi="宋体" w:cs="宋体" w:eastAsia="宋体" w:hint="default"/>
                <w:sz w:val="18"/>
                <w:szCs w:val="18"/>
              </w:rPr>
              <w:t>核准</w:t>
            </w:r>
            <w:r>
              <w:rPr>
                <w:rFonts w:ascii="宋体" w:hAnsi="宋体" w:cs="宋体" w:eastAsia="宋体" w:hint="default"/>
                <w:spacing w:val="-11"/>
                <w:sz w:val="18"/>
                <w:szCs w:val="18"/>
              </w:rPr>
              <w:t>，</w:t>
            </w:r>
            <w:r>
              <w:rPr>
                <w:rFonts w:ascii="宋体" w:hAnsi="宋体" w:cs="宋体" w:eastAsia="宋体" w:hint="default"/>
                <w:sz w:val="18"/>
                <w:szCs w:val="18"/>
              </w:rPr>
              <w:t>北京先进数通信息技术股份公</w:t>
            </w:r>
            <w:r>
              <w:rPr>
                <w:rFonts w:ascii="宋体" w:hAnsi="宋体" w:cs="宋体" w:eastAsia="宋体" w:hint="default"/>
                <w:spacing w:val="-11"/>
                <w:sz w:val="18"/>
                <w:szCs w:val="18"/>
              </w:rPr>
              <w:t>司</w:t>
            </w:r>
            <w:r>
              <w:rPr>
                <w:rFonts w:ascii="宋体" w:hAnsi="宋体" w:cs="宋体" w:eastAsia="宋体" w:hint="default"/>
                <w:sz w:val="18"/>
                <w:szCs w:val="18"/>
              </w:rPr>
              <w:t>（以下简</w:t>
            </w:r>
            <w:r>
              <w:rPr>
                <w:rFonts w:ascii="宋体" w:hAnsi="宋体" w:cs="宋体" w:eastAsia="宋体" w:hint="default"/>
                <w:spacing w:val="-11"/>
                <w:sz w:val="18"/>
                <w:szCs w:val="18"/>
              </w:rPr>
              <w:t>称</w:t>
            </w:r>
            <w:r>
              <w:rPr>
                <w:rFonts w:ascii="宋体" w:hAnsi="宋体" w:cs="宋体" w:eastAsia="宋体" w:hint="default"/>
                <w:sz w:val="18"/>
                <w:szCs w:val="18"/>
              </w:rPr>
              <w:t>“公司</w:t>
            </w:r>
            <w:r>
              <w:rPr>
                <w:rFonts w:ascii="宋体" w:hAnsi="宋体" w:cs="宋体" w:eastAsia="宋体" w:hint="default"/>
                <w:spacing w:val="-11"/>
                <w:sz w:val="18"/>
                <w:szCs w:val="18"/>
              </w:rPr>
              <w:t>”或</w:t>
            </w:r>
            <w:r>
              <w:rPr>
                <w:rFonts w:ascii="宋体" w:hAnsi="宋体" w:cs="宋体" w:eastAsia="宋体" w:hint="default"/>
                <w:spacing w:val="1"/>
                <w:sz w:val="18"/>
                <w:szCs w:val="18"/>
              </w:rPr>
              <w:t>“</w:t>
            </w:r>
            <w:r>
              <w:rPr>
                <w:rFonts w:ascii="宋体" w:hAnsi="宋体" w:cs="宋体" w:eastAsia="宋体" w:hint="default"/>
                <w:sz w:val="18"/>
                <w:szCs w:val="18"/>
              </w:rPr>
              <w:t>本公司</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采用公开发行股票的方式发行人民币普通股</w:t>
            </w:r>
          </w:p>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日，本公司实际已向社会公开发行人民币普通股（</w:t>
            </w:r>
            <w:r>
              <w:rPr>
                <w:rFonts w:ascii="Times New Roman" w:hAnsi="Times New Roman" w:cs="Times New Roman" w:eastAsia="Times New Roman" w:hint="default"/>
                <w:sz w:val="18"/>
                <w:szCs w:val="18"/>
              </w:rPr>
              <w:t>A</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股）</w:t>
            </w:r>
            <w:r>
              <w:rPr>
                <w:rFonts w:ascii="Times New Roman" w:hAnsi="Times New Roman" w:cs="Times New Roman" w:eastAsia="Times New Roman" w:hint="default"/>
                <w:spacing w:val="-9"/>
                <w:sz w:val="18"/>
                <w:szCs w:val="18"/>
              </w:rPr>
              <w:t>3000 </w:t>
            </w:r>
            <w:r>
              <w:rPr>
                <w:rFonts w:ascii="宋体" w:hAnsi="宋体" w:cs="宋体" w:eastAsia="宋体" w:hint="default"/>
                <w:spacing w:val="-6"/>
                <w:sz w:val="18"/>
                <w:szCs w:val="18"/>
              </w:rPr>
              <w:t>万股，募集资金总额 </w:t>
            </w:r>
            <w:r>
              <w:rPr>
                <w:rFonts w:ascii="Times New Roman" w:hAnsi="Times New Roman" w:cs="Times New Roman" w:eastAsia="Times New Roman" w:hint="default"/>
                <w:sz w:val="18"/>
                <w:szCs w:val="18"/>
              </w:rPr>
              <w:t>332,100,000.00 </w:t>
            </w:r>
            <w:r>
              <w:rPr>
                <w:rFonts w:ascii="宋体" w:hAnsi="宋体" w:cs="宋体" w:eastAsia="宋体" w:hint="default"/>
                <w:spacing w:val="-9"/>
                <w:sz w:val="18"/>
                <w:szCs w:val="18"/>
              </w:rPr>
              <w:t>元，扣除承销费、保荐费、审计费、律师费、信息披露等发行费用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27,000,000.00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2"/>
                <w:sz w:val="18"/>
                <w:szCs w:val="18"/>
              </w:rPr>
              <w:t>元后，实际募集资金净额为人民币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305,100,000.00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元。上述资金到位情况已经大信会计师事务所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特殊普通合伙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验证，并出</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具了大信验字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文号的验资报告。</w:t>
            </w:r>
          </w:p>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（二）以前年度已使用金额、本年度使用金额及当前余额</w:t>
            </w:r>
          </w:p>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9,446.81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万元，均系直接投入承诺投资项目。另外，</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年度，本公司未使用闲置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募集资金进行现金管理。截止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18,384.51 </w:t>
            </w:r>
            <w:r>
              <w:rPr>
                <w:rFonts w:ascii="宋体" w:hAnsi="宋体" w:cs="宋体" w:eastAsia="宋体" w:hint="default"/>
                <w:sz w:val="18"/>
                <w:szCs w:val="18"/>
              </w:rPr>
              <w:t>万元，其中活期存款账户余额为</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18,384.51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9,469.64 </w:t>
            </w:r>
            <w:r>
              <w:rPr>
                <w:rFonts w:ascii="宋体" w:hAnsi="宋体" w:cs="宋体" w:eastAsia="宋体" w:hint="default"/>
                <w:sz w:val="18"/>
                <w:szCs w:val="18"/>
              </w:rPr>
              <w:t>万元，均系直接投入承诺投资项目。另外，截至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公司使用闲置募集资金进行现金管理余额共计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8,800.00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万元，募集资金专户利息收入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299.37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万元，募集资金专户手续费支</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414.11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万元，其中活期存款账户余额为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414.11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年度，募集资金项目投入金额合计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8,199.46 </w:t>
            </w:r>
            <w:r>
              <w:rPr>
                <w:rFonts w:ascii="宋体" w:hAnsi="宋体" w:cs="宋体" w:eastAsia="宋体" w:hint="default"/>
                <w:sz w:val="18"/>
                <w:szCs w:val="18"/>
              </w:rPr>
              <w:t>万元，均系直接投入承诺投资项目。截至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专户利息收入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164.29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2"/>
                <w:sz w:val="18"/>
                <w:szCs w:val="18"/>
              </w:rPr>
              <w:t>募</w:t>
            </w:r>
            <w:r>
              <w:rPr>
                <w:rFonts w:ascii="宋体" w:hAnsi="宋体" w:cs="宋体" w:eastAsia="宋体" w:hint="default"/>
                <w:sz w:val="18"/>
                <w:szCs w:val="18"/>
              </w:rPr>
              <w:t>集资金专户手续费支出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截止</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本公司募集资金账户余额为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1,178.81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万元，其中活期存款账户余额为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20"/>
        <w:gridCol w:w="914"/>
        <w:gridCol w:w="721"/>
        <w:gridCol w:w="721"/>
        <w:gridCol w:w="722"/>
        <w:gridCol w:w="720"/>
        <w:gridCol w:w="835"/>
        <w:gridCol w:w="722"/>
        <w:gridCol w:w="836"/>
        <w:gridCol w:w="723"/>
        <w:gridCol w:w="721"/>
        <w:gridCol w:w="660"/>
        <w:gridCol w:w="721"/>
      </w:tblGrid>
      <w:tr>
        <w:trPr>
          <w:trHeight w:val="19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72" w:right="180"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46" w:right="14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5"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2"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1"/>
              <w:ind w:left="121" w:right="119"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7"/>
                <w:szCs w:val="17"/>
              </w:rPr>
            </w:pPr>
          </w:p>
          <w:p>
            <w:pPr>
              <w:pStyle w:val="TableParagraph"/>
              <w:spacing w:line="357" w:lineRule="auto"/>
              <w:ind w:left="116" w:right="114"/>
              <w:jc w:val="center"/>
              <w:rPr>
                <w:rFonts w:ascii="宋体" w:hAnsi="宋体" w:cs="宋体" w:eastAsia="宋体" w:hint="default"/>
                <w:sz w:val="16"/>
                <w:szCs w:val="16"/>
              </w:rPr>
            </w:pPr>
            <w:r>
              <w:rPr>
                <w:rFonts w:ascii="宋体" w:hAnsi="宋体" w:cs="宋体" w:eastAsia="宋体" w:hint="default"/>
                <w:sz w:val="16"/>
                <w:szCs w:val="16"/>
              </w:rPr>
              <w:t>截止报</w:t>
            </w:r>
            <w:r>
              <w:rPr>
                <w:rFonts w:ascii="宋体" w:hAnsi="宋体" w:cs="宋体" w:eastAsia="宋体" w:hint="default"/>
                <w:w w:val="99"/>
                <w:sz w:val="16"/>
                <w:szCs w:val="16"/>
              </w:rPr>
              <w:t> </w:t>
            </w:r>
            <w:r>
              <w:rPr>
                <w:rFonts w:ascii="宋体" w:hAnsi="宋体" w:cs="宋体" w:eastAsia="宋体" w:hint="default"/>
                <w:sz w:val="16"/>
                <w:szCs w:val="16"/>
              </w:rPr>
              <w:t>告期末</w:t>
            </w:r>
            <w:r>
              <w:rPr>
                <w:rFonts w:ascii="宋体" w:hAnsi="宋体" w:cs="宋体" w:eastAsia="宋体" w:hint="default"/>
                <w:w w:val="99"/>
                <w:sz w:val="16"/>
                <w:szCs w:val="16"/>
              </w:rPr>
              <w:t> </w:t>
            </w:r>
            <w:r>
              <w:rPr>
                <w:rFonts w:ascii="宋体" w:hAnsi="宋体" w:cs="宋体" w:eastAsia="宋体" w:hint="default"/>
                <w:sz w:val="16"/>
                <w:szCs w:val="16"/>
              </w:rPr>
              <w:t>累计实</w:t>
            </w:r>
            <w:r>
              <w:rPr>
                <w:rFonts w:ascii="宋体" w:hAnsi="宋体" w:cs="宋体" w:eastAsia="宋体" w:hint="default"/>
                <w:w w:val="99"/>
                <w:sz w:val="16"/>
                <w:szCs w:val="16"/>
              </w:rPr>
              <w:t> </w:t>
            </w:r>
            <w:r>
              <w:rPr>
                <w:rFonts w:ascii="宋体" w:hAnsi="宋体" w:cs="宋体" w:eastAsia="宋体" w:hint="default"/>
                <w:sz w:val="16"/>
                <w:szCs w:val="16"/>
              </w:rPr>
              <w:t>现的效</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3" w:right="14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7"/>
                <w:szCs w:val="17"/>
              </w:rPr>
            </w:pPr>
          </w:p>
          <w:p>
            <w:pPr>
              <w:pStyle w:val="TableParagraph"/>
              <w:spacing w:line="357" w:lineRule="auto"/>
              <w:ind w:left="115" w:right="115"/>
              <w:jc w:val="center"/>
              <w:rPr>
                <w:rFonts w:ascii="宋体" w:hAnsi="宋体" w:cs="宋体" w:eastAsia="宋体" w:hint="default"/>
                <w:sz w:val="16"/>
                <w:szCs w:val="16"/>
              </w:rPr>
            </w:pPr>
            <w:r>
              <w:rPr>
                <w:rFonts w:ascii="宋体" w:hAnsi="宋体" w:cs="宋体" w:eastAsia="宋体" w:hint="default"/>
                <w:sz w:val="16"/>
                <w:szCs w:val="16"/>
              </w:rPr>
              <w:t>项目可</w:t>
            </w:r>
            <w:r>
              <w:rPr>
                <w:rFonts w:ascii="宋体" w:hAnsi="宋体" w:cs="宋体" w:eastAsia="宋体" w:hint="default"/>
                <w:w w:val="99"/>
                <w:sz w:val="16"/>
                <w:szCs w:val="16"/>
              </w:rPr>
              <w:t> </w:t>
            </w:r>
            <w:r>
              <w:rPr>
                <w:rFonts w:ascii="宋体" w:hAnsi="宋体" w:cs="宋体" w:eastAsia="宋体" w:hint="default"/>
                <w:sz w:val="16"/>
                <w:szCs w:val="16"/>
              </w:rPr>
              <w:t>行性是</w:t>
            </w:r>
            <w:r>
              <w:rPr>
                <w:rFonts w:ascii="宋体" w:hAnsi="宋体" w:cs="宋体" w:eastAsia="宋体" w:hint="default"/>
                <w:w w:val="99"/>
                <w:sz w:val="16"/>
                <w:szCs w:val="16"/>
              </w:rPr>
              <w:t> </w:t>
            </w:r>
            <w:r>
              <w:rPr>
                <w:rFonts w:ascii="宋体" w:hAnsi="宋体" w:cs="宋体" w:eastAsia="宋体" w:hint="default"/>
                <w:sz w:val="16"/>
                <w:szCs w:val="16"/>
              </w:rPr>
              <w:t>否发生</w:t>
            </w:r>
            <w:r>
              <w:rPr>
                <w:rFonts w:ascii="宋体" w:hAnsi="宋体" w:cs="宋体" w:eastAsia="宋体" w:hint="default"/>
                <w:w w:val="99"/>
                <w:sz w:val="16"/>
                <w:szCs w:val="16"/>
              </w:rPr>
              <w:t> </w:t>
            </w:r>
            <w:r>
              <w:rPr>
                <w:rFonts w:ascii="宋体" w:hAnsi="宋体" w:cs="宋体" w:eastAsia="宋体" w:hint="default"/>
                <w:sz w:val="16"/>
                <w:szCs w:val="16"/>
              </w:rPr>
              <w:t>重大变</w:t>
            </w:r>
            <w:r>
              <w:rPr>
                <w:rFonts w:ascii="宋体" w:hAnsi="宋体" w:cs="宋体" w:eastAsia="宋体" w:hint="default"/>
                <w:w w:val="99"/>
                <w:sz w:val="16"/>
                <w:szCs w:val="16"/>
              </w:rPr>
              <w:t> </w:t>
            </w:r>
            <w:r>
              <w:rPr>
                <w:rFonts w:ascii="宋体" w:hAnsi="宋体" w:cs="宋体" w:eastAsia="宋体" w:hint="default"/>
                <w:sz w:val="16"/>
                <w:szCs w:val="16"/>
              </w:rPr>
              <w:t>化</w:t>
            </w:r>
          </w:p>
        </w:tc>
      </w:tr>
      <w:tr>
        <w:trPr>
          <w:trHeight w:val="402" w:hRule="exact"/>
        </w:trPr>
        <w:tc>
          <w:tcPr>
            <w:tcW w:w="973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48" w:lineRule="auto" w:before="66"/>
              <w:ind w:left="103" w:right="102"/>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1</w:t>
            </w:r>
            <w:r>
              <w:rPr>
                <w:rFonts w:ascii="宋体" w:hAnsi="宋体" w:cs="宋体" w:eastAsia="宋体" w:hint="default"/>
                <w:spacing w:val="-6"/>
                <w:sz w:val="16"/>
                <w:szCs w:val="16"/>
              </w:rPr>
              <w:t>、基于</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SOA</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架构的</w:t>
            </w:r>
            <w:r>
              <w:rPr>
                <w:rFonts w:ascii="宋体" w:hAnsi="宋体" w:cs="宋体" w:eastAsia="宋体" w:hint="default"/>
                <w:w w:val="99"/>
                <w:sz w:val="16"/>
                <w:szCs w:val="16"/>
              </w:rPr>
              <w:t> </w:t>
            </w:r>
            <w:r>
              <w:rPr>
                <w:rFonts w:ascii="宋体" w:hAnsi="宋体" w:cs="宋体" w:eastAsia="宋体" w:hint="default"/>
                <w:sz w:val="16"/>
                <w:szCs w:val="16"/>
              </w:rPr>
              <w:t>金融渠道和业务平</w:t>
            </w:r>
            <w:r>
              <w:rPr>
                <w:rFonts w:ascii="宋体" w:hAnsi="宋体" w:cs="宋体" w:eastAsia="宋体" w:hint="default"/>
                <w:w w:val="99"/>
                <w:sz w:val="16"/>
                <w:szCs w:val="16"/>
              </w:rPr>
              <w:t> </w:t>
            </w:r>
            <w:r>
              <w:rPr>
                <w:rFonts w:ascii="宋体" w:hAnsi="宋体" w:cs="宋体" w:eastAsia="宋体" w:hint="default"/>
                <w:sz w:val="16"/>
                <w:szCs w:val="16"/>
              </w:rPr>
              <w:t>台</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Starring6</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1,580.03</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3,956.87</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87.93%</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617.43</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754.54</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、企业数据管理 及应用软件包 </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2,000.12</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4,000</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471.6</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677.34</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、统一客户服务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1,196.84</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2,500</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285.84</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0.02</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、统一通信平台 及应用软件包 </w:t>
            </w:r>
            <w:r>
              <w:rPr>
                <w:rFonts w:ascii="Times New Roman" w:hAnsi="Times New Roman" w:cs="Times New Roman" w:eastAsia="Times New Roman" w:hint="default"/>
                <w:sz w:val="18"/>
                <w:szCs w:val="18"/>
              </w:rPr>
              <w:t>AUC2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、大数据平台及 应用项目</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BDPAS</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937.27</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4,686.77</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103.92%</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288.63</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-1,148.64</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IT </w:t>
            </w:r>
            <w:r>
              <w:rPr>
                <w:rFonts w:ascii="宋体" w:hAnsi="宋体" w:cs="宋体" w:eastAsia="宋体" w:hint="default"/>
                <w:sz w:val="18"/>
                <w:szCs w:val="18"/>
              </w:rPr>
              <w:t>运维服务体 系建设项目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2,485.2</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6,703.39</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95.76%</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2019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490.28</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544</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、偿还银行贷款</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4,000</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2016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02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、补充营运资金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4,000</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2016 </w:t>
            </w:r>
            <w:r>
              <w:rPr>
                <w:rFonts w:ascii="宋体" w:hAnsi="宋体" w:cs="宋体" w:eastAsia="宋体" w:hint="default"/>
                <w:sz w:val="13"/>
                <w:szCs w:val="13"/>
              </w:rPr>
              <w:t>年</w:t>
            </w:r>
            <w:r>
              <w:rPr>
                <w:rFonts w:ascii="宋体" w:hAnsi="宋体" w:cs="宋体" w:eastAsia="宋体" w:hint="default"/>
                <w:spacing w:val="-36"/>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8,199.46</w:t>
            </w:r>
            <w:r>
              <w:rPr>
                <w:rFonts w:ascii="Times New Roman"/>
                <w:sz w:val="13"/>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29,847.03</w:t>
            </w:r>
            <w:r>
              <w:rPr>
                <w:rFonts w:ascii="Times New Roman"/>
                <w:sz w:val="13"/>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2,153.78</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827.26</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1"/>
                <w:szCs w:val="11"/>
              </w:rPr>
            </w:pPr>
            <w:r>
              <w:rPr>
                <w:rFonts w:ascii="Times New Roman"/>
                <w:sz w:val="11"/>
              </w:rPr>
              <w:t>8,199.46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1"/>
                <w:szCs w:val="11"/>
              </w:rPr>
            </w:pPr>
            <w:r>
              <w:rPr>
                <w:rFonts w:ascii="Times New Roman"/>
                <w:sz w:val="11"/>
              </w:rPr>
              <w:t>29,847.03</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2,153.78</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827.26</w:t>
            </w:r>
            <w:r>
              <w:rPr>
                <w:rFonts w:ascii="Times New Roman"/>
                <w:sz w:val="13"/>
              </w:rPr>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架构的金融渠道和业务平台 </w:t>
            </w:r>
            <w:r>
              <w:rPr>
                <w:rFonts w:ascii="Times New Roman" w:hAnsi="Times New Roman" w:cs="Times New Roman" w:eastAsia="Times New Roman" w:hint="default"/>
                <w:sz w:val="18"/>
                <w:szCs w:val="18"/>
              </w:rPr>
              <w:t>Starring6 </w:t>
            </w:r>
            <w:r>
              <w:rPr>
                <w:rFonts w:ascii="宋体" w:hAnsi="宋体" w:cs="宋体" w:eastAsia="宋体" w:hint="default"/>
                <w:spacing w:val="-7"/>
                <w:sz w:val="18"/>
                <w:szCs w:val="18"/>
              </w:rPr>
              <w:t>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日，投资进度</w:t>
            </w:r>
            <w:r>
              <w:rPr>
                <w:rFonts w:ascii="宋体" w:hAnsi="宋体" w:cs="宋体" w:eastAsia="宋体" w:hint="default"/>
                <w:sz w:val="18"/>
                <w:szCs w:val="18"/>
              </w:rPr>
              <w:t>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87.93%</w:t>
            </w:r>
            <w:r>
              <w:rPr>
                <w:rFonts w:ascii="宋体" w:hAnsi="宋体" w:cs="宋体" w:eastAsia="宋体" w:hint="default"/>
                <w:sz w:val="18"/>
                <w:szCs w:val="18"/>
              </w:rPr>
              <w:t>。该项目预定的基础平台研发工作已全面完成并开始在公司多个重要客户推广应 </w:t>
            </w:r>
            <w:r>
              <w:rPr>
                <w:rFonts w:ascii="宋体" w:hAnsi="宋体" w:cs="宋体" w:eastAsia="宋体" w:hint="default"/>
                <w:spacing w:val="-1"/>
                <w:sz w:val="18"/>
                <w:szCs w:val="18"/>
              </w:rPr>
              <w:t>用，由于前期客户推广过程较顺利，公司决定将核心技术资源用于客户推广，以抢占市场先</w:t>
            </w:r>
            <w:r>
              <w:rPr>
                <w:rFonts w:ascii="宋体" w:hAnsi="宋体" w:cs="宋体" w:eastAsia="宋体" w:hint="default"/>
                <w:sz w:val="18"/>
                <w:szCs w:val="18"/>
              </w:rPr>
              <w:t> </w:t>
            </w:r>
            <w:r>
              <w:rPr>
                <w:rFonts w:ascii="宋体" w:hAnsi="宋体" w:cs="宋体" w:eastAsia="宋体" w:hint="default"/>
                <w:spacing w:val="-1"/>
                <w:sz w:val="18"/>
                <w:szCs w:val="18"/>
              </w:rPr>
              <w:t>机，导致部分外围功能开发进度延迟。为全面实现该项目的预定目标，公司将该募投项目完</w:t>
            </w:r>
            <w:r>
              <w:rPr>
                <w:rFonts w:ascii="宋体" w:hAnsi="宋体" w:cs="宋体" w:eastAsia="宋体" w:hint="default"/>
                <w:sz w:val="18"/>
                <w:szCs w:val="18"/>
              </w:rPr>
              <w:t> 成日期延后至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企业数据管理及应用软件包 </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日，投资进度为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382"/>
      </w:tblGrid>
      <w:tr>
        <w:trPr>
          <w:trHeight w:val="547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近期大数据应用技术环境变化较大，导致公司技术团队在技术验证和客户化应用环节所需时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间更长，使得项目较原定计划略有延迟。目前，</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大部分功能模块研发已经完成，并 </w:t>
            </w:r>
            <w:r>
              <w:rPr>
                <w:rFonts w:ascii="宋体" w:hAnsi="宋体" w:cs="宋体" w:eastAsia="宋体" w:hint="default"/>
                <w:spacing w:val="-1"/>
                <w:sz w:val="18"/>
                <w:szCs w:val="18"/>
              </w:rPr>
              <w:t>已实现客户销售，研发团队计划对整个软件包进行进一步的产品化和集成工作，公司将该募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投项目完成日期延后至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43"/>
              <w:ind w:left="103" w:right="67"/>
              <w:jc w:val="left"/>
              <w:rPr>
                <w:rFonts w:ascii="宋体" w:hAnsi="宋体" w:cs="宋体" w:eastAsia="宋体" w:hint="default"/>
                <w:sz w:val="18"/>
                <w:szCs w:val="18"/>
              </w:rPr>
            </w:pPr>
            <w:r>
              <w:rPr>
                <w:rFonts w:ascii="宋体" w:hAnsi="宋体" w:cs="宋体" w:eastAsia="宋体" w:hint="default"/>
                <w:sz w:val="18"/>
                <w:szCs w:val="18"/>
              </w:rPr>
              <w:t>统一客户服务平台 </w:t>
            </w: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日，投资进度为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。伴随着互 联网技术在金融行业的应用，银行在获客及客户管理模式上，发生了较大的变化，云计算、 </w:t>
            </w:r>
            <w:r>
              <w:rPr>
                <w:rFonts w:ascii="宋体" w:hAnsi="宋体" w:cs="宋体" w:eastAsia="宋体" w:hint="default"/>
                <w:spacing w:val="-3"/>
                <w:sz w:val="18"/>
                <w:szCs w:val="18"/>
              </w:rPr>
              <w:t>大数据等技术的兴起，也使得客户管理、客户服务类应用的实施，具备了很多新的特征。</w:t>
            </w:r>
            <w:r>
              <w:rPr>
                <w:rFonts w:ascii="宋体" w:hAnsi="宋体" w:cs="宋体" w:eastAsia="宋体" w:hint="default"/>
                <w:spacing w:val="-20"/>
                <w:sz w:val="18"/>
                <w:szCs w:val="18"/>
              </w:rPr>
              <w:t> </w:t>
            </w:r>
            <w:r>
              <w:rPr>
                <w:rFonts w:ascii="宋体" w:hAnsi="宋体" w:cs="宋体" w:eastAsia="宋体" w:hint="default"/>
                <w:sz w:val="18"/>
                <w:szCs w:val="18"/>
              </w:rPr>
              <w:t>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确保募投项目的投资效益，公司对 </w:t>
            </w: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项目的设计方案、实现方式进行了调整，另外， </w:t>
            </w:r>
            <w:r>
              <w:rPr>
                <w:rFonts w:ascii="宋体" w:hAnsi="宋体" w:cs="宋体" w:eastAsia="宋体" w:hint="default"/>
                <w:spacing w:val="-1"/>
                <w:sz w:val="18"/>
                <w:szCs w:val="18"/>
              </w:rPr>
              <w:t>前期客户实际应用环境的验证工作，比预计也有所延迟，导致项目进度延迟。为全面实现该</w:t>
            </w:r>
            <w:r>
              <w:rPr>
                <w:rFonts w:ascii="宋体" w:hAnsi="宋体" w:cs="宋体" w:eastAsia="宋体" w:hint="default"/>
                <w:sz w:val="18"/>
                <w:szCs w:val="18"/>
              </w:rPr>
              <w:t> 项目的预定目标，公司将该募投项目完成日期延后至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4" w:lineRule="auto" w:before="4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运维服务体系建设项目：截至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日，投资进度为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95.76%</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w:t>
            </w:r>
            <w:r>
              <w:rPr>
                <w:rFonts w:ascii="宋体" w:hAnsi="宋体" w:cs="宋体" w:eastAsia="宋体" w:hint="default"/>
                <w:w w:val="99"/>
                <w:sz w:val="18"/>
                <w:szCs w:val="18"/>
              </w:rPr>
              <w:t> </w:t>
            </w:r>
            <w:r>
              <w:rPr>
                <w:rFonts w:ascii="宋体" w:hAnsi="宋体" w:cs="宋体" w:eastAsia="宋体" w:hint="default"/>
                <w:sz w:val="18"/>
                <w:szCs w:val="18"/>
              </w:rPr>
              <w:t>银行 </w:t>
            </w:r>
            <w:r>
              <w:rPr>
                <w:rFonts w:ascii="Times New Roman" w:hAnsi="Times New Roman" w:cs="Times New Roman" w:eastAsia="Times New Roman" w:hint="default"/>
                <w:sz w:val="18"/>
                <w:szCs w:val="18"/>
              </w:rPr>
              <w:t>IT </w:t>
            </w:r>
            <w:r>
              <w:rPr>
                <w:rFonts w:ascii="宋体" w:hAnsi="宋体" w:cs="宋体" w:eastAsia="宋体" w:hint="default"/>
                <w:sz w:val="18"/>
                <w:szCs w:val="18"/>
              </w:rPr>
              <w:t>基础设施建设投入相对低迷，延缓了该募投项目的实施进度。长期看，</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基础设施</w:t>
            </w:r>
            <w:r>
              <w:rPr>
                <w:rFonts w:ascii="宋体" w:hAnsi="宋体" w:cs="宋体" w:eastAsia="宋体" w:hint="default"/>
                <w:w w:val="99"/>
                <w:sz w:val="18"/>
                <w:szCs w:val="18"/>
              </w:rPr>
              <w:t> </w:t>
            </w:r>
            <w:r>
              <w:rPr>
                <w:rFonts w:ascii="宋体" w:hAnsi="宋体" w:cs="宋体" w:eastAsia="宋体" w:hint="default"/>
                <w:sz w:val="18"/>
                <w:szCs w:val="18"/>
              </w:rPr>
              <w:t>建设及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运维服务依然是公司重要收入来源，该募投项目的实施对强化公司在相关领域的</w:t>
            </w:r>
            <w:r>
              <w:rPr>
                <w:rFonts w:ascii="宋体" w:hAnsi="宋体" w:cs="宋体" w:eastAsia="宋体" w:hint="default"/>
                <w:w w:val="99"/>
                <w:sz w:val="18"/>
                <w:szCs w:val="18"/>
              </w:rPr>
              <w:t> </w:t>
            </w:r>
            <w:r>
              <w:rPr>
                <w:rFonts w:ascii="宋体" w:hAnsi="宋体" w:cs="宋体" w:eastAsia="宋体" w:hint="default"/>
                <w:spacing w:val="-1"/>
                <w:sz w:val="18"/>
                <w:szCs w:val="18"/>
              </w:rPr>
              <w:t>竞争力，将起到至关重要的作用，公司将继续实施该募投项目，并将该募投项目的完成日期</w:t>
            </w:r>
            <w:r>
              <w:rPr>
                <w:rFonts w:ascii="宋体" w:hAnsi="宋体" w:cs="宋体" w:eastAsia="宋体" w:hint="default"/>
                <w:w w:val="99"/>
                <w:sz w:val="18"/>
                <w:szCs w:val="18"/>
              </w:rPr>
              <w:t> </w:t>
            </w:r>
            <w:r>
              <w:rPr>
                <w:rFonts w:ascii="宋体" w:hAnsi="宋体" w:cs="宋体" w:eastAsia="宋体" w:hint="default"/>
                <w:sz w:val="18"/>
                <w:szCs w:val="18"/>
              </w:rPr>
              <w:t>延后至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47"/>
              <w:ind w:left="103" w:right="157"/>
              <w:jc w:val="left"/>
              <w:rPr>
                <w:rFonts w:ascii="宋体" w:hAnsi="宋体" w:cs="宋体" w:eastAsia="宋体" w:hint="default"/>
                <w:sz w:val="18"/>
                <w:szCs w:val="18"/>
              </w:rPr>
            </w:pPr>
            <w:r>
              <w:rPr>
                <w:rFonts w:ascii="宋体" w:hAnsi="宋体" w:cs="宋体" w:eastAsia="宋体" w:hint="default"/>
                <w:sz w:val="18"/>
                <w:szCs w:val="18"/>
              </w:rPr>
              <w:t>上述募集资金投资项目延期事项已经公司第二届董事会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年第二次定期会议、第二届监 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年第二次定期会议、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年第三次临时股东大会决议审议通过。</w:t>
            </w:r>
          </w:p>
        </w:tc>
      </w:tr>
      <w:tr>
        <w:trPr>
          <w:trHeight w:val="75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86"/>
              <w:ind w:left="103" w:right="240"/>
              <w:jc w:val="left"/>
              <w:rPr>
                <w:rFonts w:ascii="宋体" w:hAnsi="宋体" w:cs="宋体" w:eastAsia="宋体" w:hint="default"/>
                <w:sz w:val="16"/>
                <w:szCs w:val="16"/>
              </w:rPr>
            </w:pPr>
            <w:r>
              <w:rPr>
                <w:rFonts w:ascii="宋体" w:hAnsi="宋体" w:cs="宋体" w:eastAsia="宋体" w:hint="default"/>
                <w:sz w:val="16"/>
                <w:szCs w:val="16"/>
              </w:rPr>
              <w:t>项目可行性发生重</w:t>
            </w:r>
            <w:r>
              <w:rPr>
                <w:rFonts w:ascii="宋体" w:hAnsi="宋体" w:cs="宋体" w:eastAsia="宋体" w:hint="default"/>
                <w:w w:val="99"/>
                <w:sz w:val="16"/>
                <w:szCs w:val="16"/>
              </w:rPr>
              <w:t> </w:t>
            </w:r>
            <w:r>
              <w:rPr>
                <w:rFonts w:ascii="宋体" w:hAnsi="宋体" w:cs="宋体" w:eastAsia="宋体" w:hint="default"/>
                <w:sz w:val="16"/>
                <w:szCs w:val="16"/>
              </w:rPr>
              <w:t>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112"/>
              <w:ind w:left="103" w:right="102"/>
              <w:jc w:val="left"/>
              <w:rPr>
                <w:rFonts w:ascii="宋体" w:hAnsi="宋体" w:cs="宋体" w:eastAsia="宋体" w:hint="default"/>
                <w:sz w:val="16"/>
                <w:szCs w:val="16"/>
              </w:rPr>
            </w:pPr>
            <w:r>
              <w:rPr>
                <w:rFonts w:ascii="宋体" w:hAnsi="宋体" w:cs="宋体" w:eastAsia="宋体" w:hint="default"/>
                <w:spacing w:val="-3"/>
                <w:sz w:val="16"/>
                <w:szCs w:val="16"/>
              </w:rPr>
              <w:t>超募资金的金额、用</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途及使用进展情况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5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根据募投项目实施的实际需要，公司第二届董事会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年第一次定期会议和公司第二届监</w:t>
            </w:r>
          </w:p>
          <w:p>
            <w:pPr>
              <w:pStyle w:val="TableParagraph"/>
              <w:spacing w:line="300" w:lineRule="auto" w:before="63"/>
              <w:ind w:left="103" w:right="12"/>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年第一次定期会议分别审议通过了《关于变更部分募投项目实施地点的议案》，同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意将募投项目中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运维服务体系建设项目涉及的数据中心实验室实施地点由北京变更为成 </w:t>
            </w:r>
            <w:r>
              <w:rPr>
                <w:rFonts w:ascii="宋体" w:hAnsi="宋体" w:cs="宋体" w:eastAsia="宋体" w:hint="default"/>
                <w:spacing w:val="-4"/>
                <w:sz w:val="18"/>
                <w:szCs w:val="18"/>
              </w:rPr>
              <w:t>都，详细情况参见《北京先进数通信息技术股份公司关于变更部分募投项目实施地点的公告》</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2018-022</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59"/>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5"/>
        <w:gridCol w:w="721"/>
        <w:gridCol w:w="7382"/>
      </w:tblGrid>
      <w:tr>
        <w:trPr>
          <w:trHeight w:val="22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6"/>
                <w:sz w:val="18"/>
                <w:szCs w:val="18"/>
              </w:rPr>
              <w:t>年第九次临时会议、第二届监事会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 </w:t>
            </w:r>
            <w:r>
              <w:rPr>
                <w:rFonts w:ascii="宋体" w:hAnsi="宋体" w:cs="宋体" w:eastAsia="宋体" w:hint="default"/>
                <w:spacing w:val="-3"/>
                <w:sz w:val="18"/>
                <w:szCs w:val="18"/>
              </w:rPr>
              <w:t>临时会议分别审议通过了《关于使用部分闲置募集资金进行现金管理的议案》，同意公司在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确保不影响募集资金投资项目建设和正常生产经营的情况下，滚动使用不超过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 暂时闲置募集资金进行现金管理，用于购买安全性高、流动性好、有保本约定的理财产品， 使用期限为自公司董事会审议通过之日起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个月。截至报告期末，无使用闲置募集资金进 </w:t>
            </w:r>
            <w:r>
              <w:rPr>
                <w:rFonts w:ascii="宋体" w:hAnsi="宋体" w:cs="宋体" w:eastAsia="宋体" w:hint="default"/>
                <w:spacing w:val="-1"/>
                <w:sz w:val="18"/>
                <w:szCs w:val="18"/>
              </w:rPr>
              <w:t>行现金管理余额，尚未使用的募集资金均存放于公司的募集资金专户中，公司将严格按照募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集资金的用途使用。</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58"/>
        <w:gridCol w:w="616"/>
        <w:gridCol w:w="341"/>
        <w:gridCol w:w="956"/>
        <w:gridCol w:w="959"/>
        <w:gridCol w:w="956"/>
        <w:gridCol w:w="956"/>
        <w:gridCol w:w="956"/>
        <w:gridCol w:w="957"/>
        <w:gridCol w:w="869"/>
        <w:gridCol w:w="1145"/>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4" w:right="112"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3" w:right="11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11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4"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115"/>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运维服</w:t>
            </w:r>
            <w:r>
              <w:rPr>
                <w:rFonts w:ascii="宋体" w:hAnsi="宋体" w:cs="宋体" w:eastAsia="宋体" w:hint="default"/>
                <w:w w:val="99"/>
                <w:sz w:val="18"/>
                <w:szCs w:val="18"/>
              </w:rPr>
              <w:t> </w:t>
            </w:r>
            <w:r>
              <w:rPr>
                <w:rFonts w:ascii="宋体" w:hAnsi="宋体" w:cs="宋体" w:eastAsia="宋体" w:hint="default"/>
                <w:sz w:val="18"/>
                <w:szCs w:val="18"/>
              </w:rPr>
              <w:t>务体系建</w:t>
            </w:r>
            <w:r>
              <w:rPr>
                <w:rFonts w:ascii="宋体" w:hAnsi="宋体" w:cs="宋体" w:eastAsia="宋体" w:hint="default"/>
                <w:w w:val="99"/>
                <w:sz w:val="18"/>
                <w:szCs w:val="18"/>
              </w:rPr>
              <w:t> </w:t>
            </w:r>
            <w:r>
              <w:rPr>
                <w:rFonts w:ascii="宋体" w:hAnsi="宋体" w:cs="宋体" w:eastAsia="宋体" w:hint="default"/>
                <w:sz w:val="18"/>
                <w:szCs w:val="18"/>
              </w:rPr>
              <w:t>设项目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1" w:right="115"/>
              <w:jc w:val="left"/>
              <w:rPr>
                <w:rFonts w:ascii="宋体" w:hAnsi="宋体" w:cs="宋体" w:eastAsia="宋体" w:hint="default"/>
                <w:sz w:val="15"/>
                <w:szCs w:val="15"/>
              </w:rPr>
            </w:pPr>
            <w:r>
              <w:rPr>
                <w:rFonts w:ascii="宋体" w:hAnsi="宋体" w:cs="宋体" w:eastAsia="宋体" w:hint="default"/>
                <w:sz w:val="15"/>
                <w:szCs w:val="15"/>
              </w:rPr>
              <w:t>统一通信 平台及应 用软件包 </w:t>
            </w:r>
            <w:r>
              <w:rPr>
                <w:rFonts w:ascii="Times New Roman" w:hAnsi="Times New Roman" w:cs="Times New Roman" w:eastAsia="Times New Roman" w:hint="default"/>
                <w:sz w:val="15"/>
                <w:szCs w:val="15"/>
              </w:rPr>
              <w:t>AUC2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6,703.39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95.76%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06</w:t>
            </w:r>
          </w:p>
          <w:p>
            <w:pPr>
              <w:pStyle w:val="TableParagraph"/>
              <w:spacing w:line="240" w:lineRule="auto" w:before="92"/>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2,485.2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6,703.39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490.28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226" w:hRule="exact"/>
        </w:trPr>
        <w:tc>
          <w:tcPr>
            <w:tcW w:w="1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2" w:lineRule="auto"/>
              <w:ind w:left="103" w:right="10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变更原因、决策程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序及信息披露情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 目</w:t>
            </w:r>
            <w:r>
              <w:rPr>
                <w:rFonts w:ascii="Times New Roman" w:hAnsi="Times New Roman" w:cs="Times New Roman" w:eastAsia="Times New Roman" w:hint="default"/>
                <w:sz w:val="18"/>
                <w:szCs w:val="18"/>
              </w:rPr>
              <w:t>)</w:t>
            </w:r>
          </w:p>
        </w:tc>
        <w:tc>
          <w:tcPr>
            <w:tcW w:w="8097" w:type="dxa"/>
            <w:gridSpan w:val="9"/>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101" w:firstLine="360"/>
              <w:jc w:val="both"/>
              <w:rPr>
                <w:rFonts w:ascii="宋体" w:hAnsi="宋体" w:cs="宋体" w:eastAsia="宋体" w:hint="default"/>
                <w:sz w:val="18"/>
                <w:szCs w:val="18"/>
              </w:rPr>
            </w:pPr>
            <w:r>
              <w:rPr>
                <w:rFonts w:ascii="宋体" w:hAnsi="宋体" w:cs="宋体" w:eastAsia="宋体" w:hint="default"/>
                <w:sz w:val="18"/>
                <w:szCs w:val="18"/>
              </w:rPr>
              <w:t>因外部环境的变化，继续实施“统一通信平台及应用软件包</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AUC2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项目”将很难达到原预期的经 </w:t>
            </w:r>
            <w:r>
              <w:rPr>
                <w:rFonts w:ascii="宋体" w:hAnsi="宋体" w:cs="宋体" w:eastAsia="宋体" w:hint="default"/>
                <w:spacing w:val="-1"/>
                <w:sz w:val="18"/>
                <w:szCs w:val="18"/>
              </w:rPr>
              <w:t>济效益，为维护公司和全体股东利益，提高募集资金使用效率，经审慎研究，公司拟终止实施“统一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通信平台及应用软件包</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AUC2</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7"/>
                <w:sz w:val="18"/>
                <w:szCs w:val="18"/>
              </w:rPr>
              <w:t>项目”，并将该项目的募集资金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万元用于“</w:t>
            </w:r>
            <w:r>
              <w:rPr>
                <w:rFonts w:ascii="Times New Roman" w:hAnsi="Times New Roman" w:cs="Times New Roman" w:eastAsia="Times New Roman" w:hint="default"/>
                <w:sz w:val="18"/>
                <w:szCs w:val="18"/>
              </w:rPr>
              <w:t>IT </w:t>
            </w:r>
            <w:r>
              <w:rPr>
                <w:rFonts w:ascii="宋体" w:hAnsi="宋体" w:cs="宋体" w:eastAsia="宋体" w:hint="default"/>
                <w:sz w:val="18"/>
                <w:szCs w:val="18"/>
              </w:rPr>
              <w:t>运维服务体系建设</w:t>
            </w:r>
            <w:r>
              <w:rPr>
                <w:rFonts w:ascii="宋体" w:hAnsi="宋体" w:cs="宋体" w:eastAsia="宋体" w:hint="default"/>
                <w:spacing w:val="-88"/>
                <w:sz w:val="18"/>
                <w:szCs w:val="18"/>
              </w:rPr>
              <w:t> </w:t>
            </w:r>
            <w:r>
              <w:rPr>
                <w:rFonts w:ascii="宋体" w:hAnsi="宋体" w:cs="宋体" w:eastAsia="宋体" w:hint="default"/>
                <w:spacing w:val="-30"/>
                <w:sz w:val="18"/>
                <w:szCs w:val="18"/>
              </w:rPr>
              <w:t>项目”。“</w:t>
            </w:r>
            <w:r>
              <w:rPr>
                <w:rFonts w:ascii="Times New Roman" w:hAnsi="Times New Roman" w:cs="Times New Roman" w:eastAsia="Times New Roman" w:hint="default"/>
                <w:spacing w:val="-30"/>
                <w:sz w:val="18"/>
                <w:szCs w:val="18"/>
              </w:rPr>
              <w:t>IT</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运维服务体系建设项目”为公司首次公开发行股票并在创业板上市的募投项目之一，该项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年股东大会批准立项，项目总投资为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9,264.76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万元，公司原计划运用募集资金投资金</w:t>
            </w:r>
          </w:p>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万元，项目实施主体为公司，规划建设周期为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年。本次募集资金用途变更后，公司拟使</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用募集资金共计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万元投入该项目，不足部分公司以自有资金补足。</w:t>
            </w:r>
          </w:p>
          <w:p>
            <w:pPr>
              <w:pStyle w:val="TableParagraph"/>
              <w:spacing w:line="307" w:lineRule="auto" w:before="101"/>
              <w:ind w:left="103" w:right="10" w:firstLine="360"/>
              <w:jc w:val="left"/>
              <w:rPr>
                <w:rFonts w:ascii="宋体" w:hAnsi="宋体" w:cs="宋体" w:eastAsia="宋体" w:hint="default"/>
                <w:sz w:val="18"/>
                <w:szCs w:val="18"/>
              </w:rPr>
            </w:pPr>
            <w:r>
              <w:rPr>
                <w:rFonts w:ascii="宋体" w:hAnsi="宋体" w:cs="宋体" w:eastAsia="宋体" w:hint="default"/>
                <w:sz w:val="18"/>
                <w:szCs w:val="18"/>
              </w:rPr>
              <w:t>本次变更部分募集资金用途已经公司第二届董事会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年第二次定期会议审议通过，独立董事、</w:t>
            </w:r>
            <w:r>
              <w:rPr>
                <w:rFonts w:ascii="宋体" w:hAnsi="宋体" w:cs="宋体" w:eastAsia="宋体" w:hint="default"/>
                <w:sz w:val="18"/>
                <w:szCs w:val="18"/>
              </w:rPr>
              <w:t> </w:t>
            </w:r>
            <w:r>
              <w:rPr>
                <w:rFonts w:ascii="宋体" w:hAnsi="宋体" w:cs="宋体" w:eastAsia="宋体" w:hint="default"/>
                <w:spacing w:val="-5"/>
                <w:sz w:val="18"/>
                <w:szCs w:val="18"/>
              </w:rPr>
              <w:t>监事会均发表明确同意意见，相关决策程序符合《证券发行上市保荐业务管理办法》、《上市公司监管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指引第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号—上市公司募集资金管理和使用的监管要求》、《深圳证券交易所创业板股票上市规则》、《深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圳证券交易所创业板上市公司规范运作指引》等法律法规的要求。</w:t>
            </w:r>
          </w:p>
          <w:p>
            <w:pPr>
              <w:pStyle w:val="TableParagraph"/>
              <w:spacing w:line="302" w:lineRule="auto" w:before="64"/>
              <w:ind w:left="103" w:right="101"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日就本次变更部分募集资金用途事项发布《北京先进数通信息技术股份公 </w:t>
            </w:r>
            <w:r>
              <w:rPr>
                <w:rFonts w:ascii="宋体" w:hAnsi="宋体" w:cs="宋体" w:eastAsia="宋体" w:hint="default"/>
                <w:spacing w:val="-3"/>
                <w:sz w:val="18"/>
                <w:szCs w:val="18"/>
              </w:rPr>
              <w:t>司关于变更部分募集资金用途的公告》（公告编号：</w:t>
            </w:r>
            <w:r>
              <w:rPr>
                <w:rFonts w:ascii="Times New Roman" w:hAnsi="Times New Roman" w:cs="Times New Roman" w:eastAsia="Times New Roman" w:hint="default"/>
                <w:spacing w:val="-3"/>
                <w:sz w:val="18"/>
                <w:szCs w:val="18"/>
              </w:rPr>
              <w:t>2016-022</w:t>
            </w:r>
            <w:r>
              <w:rPr>
                <w:rFonts w:ascii="宋体" w:hAnsi="宋体" w:cs="宋体" w:eastAsia="宋体" w:hint="default"/>
                <w:spacing w:val="-3"/>
                <w:sz w:val="18"/>
                <w:szCs w:val="18"/>
              </w:rPr>
              <w:t>）</w:t>
            </w:r>
          </w:p>
        </w:tc>
      </w:tr>
      <w:tr>
        <w:trPr>
          <w:trHeight w:val="714" w:hRule="exact"/>
        </w:trPr>
        <w:tc>
          <w:tcPr>
            <w:tcW w:w="28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7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both"/>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612"/>
        <w:jc w:val="left"/>
      </w:pPr>
      <w:r>
        <w:rPr/>
        <w:t>□ 适用 √ 不适用 公司报告期内无应当披露的重要控股参股公司信息。</w:t>
      </w: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474" w:right="0"/>
        <w:jc w:val="left"/>
      </w:pPr>
      <w:r>
        <w:rPr/>
        <w:t>（一）行业发展趋势 </w:t>
      </w:r>
      <w:r>
        <w:rPr>
          <w:rFonts w:ascii="宋体" w:hAnsi="宋体" w:cs="宋体" w:eastAsia="宋体" w:hint="default"/>
          <w:spacing w:val="-2"/>
        </w:rPr>
        <w:t>2018</w:t>
      </w:r>
      <w:r>
        <w:rPr>
          <w:spacing w:val="-2"/>
        </w:rPr>
        <w:t>年下半年中央金融工作会议重点提出加强金融改革、对实体经济负责到底、严抓金融风险。对广大的民营企业、中</w:t>
      </w:r>
    </w:p>
    <w:p>
      <w:pPr>
        <w:pStyle w:val="BodyText"/>
        <w:spacing w:line="316" w:lineRule="auto"/>
        <w:ind w:right="0"/>
        <w:jc w:val="left"/>
      </w:pPr>
      <w:r>
        <w:rPr>
          <w:spacing w:val="-2"/>
        </w:rPr>
        <w:t>小微企业的金融支持，更是得到了上至中央、下至地方政府、金融机构的大力支持。如何支持实体经济，金融脱虚向实，金</w:t>
      </w:r>
      <w:r>
        <w:rPr>
          <w:spacing w:val="-67"/>
        </w:rPr>
        <w:t> </w:t>
      </w:r>
      <w:r>
        <w:rPr>
          <w:spacing w:val="-67"/>
        </w:rPr>
      </w:r>
      <w:r>
        <w:rPr/>
        <w:t>融科技是其重要的保障。其形态表现在如下几个方面：</w:t>
      </w:r>
    </w:p>
    <w:p>
      <w:pPr>
        <w:pStyle w:val="BodyText"/>
        <w:spacing w:line="316" w:lineRule="auto"/>
        <w:ind w:right="1049" w:firstLine="360"/>
        <w:jc w:val="both"/>
      </w:pPr>
      <w:r>
        <w:rPr>
          <w:rFonts w:ascii="宋体" w:hAnsi="宋体" w:cs="宋体" w:eastAsia="宋体" w:hint="default"/>
        </w:rPr>
        <w:t>- </w:t>
      </w:r>
      <w:r>
        <w:rPr/>
        <w:t>金融机构成立金融科技公司，直接实施跨行业的</w:t>
      </w:r>
      <w:r>
        <w:rPr>
          <w:rFonts w:ascii="宋体" w:hAnsi="宋体" w:cs="宋体" w:eastAsia="宋体" w:hint="default"/>
        </w:rPr>
        <w:t>IT</w:t>
      </w:r>
      <w:r>
        <w:rPr/>
        <w:t>能力的输出，以金融场景为基础，构建金融生态，通过信息科技、 更深层了解客户信息、洞察客户风险，及时提供金融支持；</w:t>
      </w:r>
    </w:p>
    <w:p>
      <w:pPr>
        <w:pStyle w:val="BodyText"/>
        <w:spacing w:line="240" w:lineRule="auto"/>
        <w:ind w:left="474" w:right="0"/>
        <w:jc w:val="left"/>
      </w:pPr>
      <w:r>
        <w:rPr>
          <w:rFonts w:ascii="宋体" w:hAnsi="宋体" w:cs="宋体" w:eastAsia="宋体" w:hint="default"/>
        </w:rPr>
        <w:t>- </w:t>
      </w:r>
      <w:r>
        <w:rPr/>
        <w:t>通过大数据、云计算、</w:t>
      </w:r>
      <w:r>
        <w:rPr>
          <w:rFonts w:ascii="宋体" w:hAnsi="宋体" w:cs="宋体" w:eastAsia="宋体" w:hint="default"/>
        </w:rPr>
        <w:t>AI</w:t>
      </w:r>
      <w:r>
        <w:rPr/>
        <w:t>等技术构建面向小微企业及个人的普惠金融、消费金融服务；</w:t>
      </w:r>
    </w:p>
    <w:p>
      <w:pPr>
        <w:pStyle w:val="BodyText"/>
        <w:spacing w:line="316" w:lineRule="auto" w:before="76"/>
        <w:ind w:left="474" w:right="1122"/>
        <w:jc w:val="left"/>
      </w:pPr>
      <w:r>
        <w:rPr>
          <w:rFonts w:ascii="宋体" w:hAnsi="宋体" w:cs="宋体" w:eastAsia="宋体" w:hint="default"/>
        </w:rPr>
        <w:t>- </w:t>
      </w:r>
      <w:r>
        <w:rPr/>
        <w:t>大力发展供应链金融，将金融支持嵌入到行业的上下游中。 金融风险防范是金融机构永恒的话题，</w:t>
      </w:r>
      <w:r>
        <w:rPr>
          <w:rFonts w:ascii="宋体" w:hAnsi="宋体" w:cs="宋体" w:eastAsia="宋体" w:hint="default"/>
        </w:rPr>
        <w:t>2018</w:t>
      </w:r>
      <w:r>
        <w:rPr/>
        <w:t>年随着大量</w:t>
      </w:r>
      <w:r>
        <w:rPr>
          <w:rFonts w:ascii="宋体" w:hAnsi="宋体" w:cs="宋体" w:eastAsia="宋体" w:hint="default"/>
        </w:rPr>
        <w:t>P2P</w:t>
      </w:r>
      <w:r>
        <w:rPr/>
        <w:t>企业的爆雷，以全面风险防范为基础的普惠金融系统建设成</w:t>
      </w:r>
    </w:p>
    <w:p>
      <w:pPr>
        <w:pStyle w:val="BodyText"/>
        <w:spacing w:line="316" w:lineRule="auto"/>
        <w:ind w:right="1132"/>
        <w:jc w:val="both"/>
      </w:pPr>
      <w:r>
        <w:rPr>
          <w:spacing w:val="-2"/>
        </w:rPr>
        <w:t>为热点。其内容包括：客户洞察、反欺诈、个人征信、资金定价、贷后风险、催收等等。</w:t>
      </w:r>
      <w:r>
        <w:rPr>
          <w:rFonts w:ascii="宋体" w:hAnsi="宋体" w:cs="宋体" w:eastAsia="宋体" w:hint="default"/>
          <w:spacing w:val="-2"/>
        </w:rPr>
        <w:t>2018</w:t>
      </w:r>
      <w:r>
        <w:rPr>
          <w:spacing w:val="-2"/>
        </w:rPr>
        <w:t>年各级银监机构高度强化金融</w:t>
      </w:r>
      <w:r>
        <w:rPr>
          <w:spacing w:val="-63"/>
        </w:rPr>
        <w:t> </w:t>
      </w:r>
      <w:r>
        <w:rPr>
          <w:spacing w:val="-63"/>
        </w:rPr>
      </w:r>
      <w:r>
        <w:rPr>
          <w:spacing w:val="-2"/>
        </w:rPr>
        <w:t>监管，加大处罚力度，监管评价直接影响金融机构业务的开展。做为金融机构的本身，更需要加强自身经营管理，对数据的</w:t>
      </w:r>
      <w:r>
        <w:rPr>
          <w:spacing w:val="-66"/>
        </w:rPr>
        <w:t> </w:t>
      </w:r>
      <w:r>
        <w:rPr>
          <w:spacing w:val="-66"/>
        </w:rPr>
      </w:r>
      <w:r>
        <w:rPr/>
        <w:t>获取、数据管理、数据分析成为经营决策的重要基础。</w:t>
      </w:r>
    </w:p>
    <w:p>
      <w:pPr>
        <w:pStyle w:val="BodyText"/>
        <w:spacing w:line="316" w:lineRule="auto"/>
        <w:ind w:right="1131" w:firstLine="450"/>
        <w:jc w:val="both"/>
      </w:pPr>
      <w:r>
        <w:rPr/>
        <w:t>随着“一带一路”的战略推进，要求中国金融机构为中国企业提供更多的境外金融服务，部份银行已开始着手进行跨 境的业务系统建设。</w:t>
      </w:r>
    </w:p>
    <w:p>
      <w:pPr>
        <w:pStyle w:val="BodyText"/>
        <w:spacing w:line="316" w:lineRule="auto"/>
        <w:ind w:right="1043" w:firstLine="360"/>
        <w:jc w:val="both"/>
      </w:pPr>
      <w:r>
        <w:rPr>
          <w:spacing w:val="-2"/>
        </w:rPr>
        <w:t>金融传统客户正在发生结构性变化，各类个性化的金融产品不断涌现，嵌入式的场景金融成为常态，金融服务向更加便</w:t>
      </w:r>
      <w:r>
        <w:rPr/>
        <w:t> </w:t>
      </w:r>
      <w:r>
        <w:rPr>
          <w:spacing w:val="-2"/>
        </w:rPr>
        <w:t>利化发展。所有这一切的核心支撑要素是信息科技。而信息科技的落地又表现为基于云架构的数据中心建设、分布式架构交</w:t>
      </w:r>
      <w:r>
        <w:rPr>
          <w:spacing w:val="-66"/>
        </w:rPr>
        <w:t> </w:t>
      </w:r>
      <w:r>
        <w:rPr>
          <w:spacing w:val="-66"/>
        </w:rPr>
      </w:r>
      <w:r>
        <w:rPr>
          <w:spacing w:val="-4"/>
        </w:rPr>
        <w:t>易系统的重构、普惠金融系统、全面风险管理、信息安全、数据治理、大数据管理及分析、各类监管报送新兴系统建设等等。</w:t>
      </w:r>
    </w:p>
    <w:p>
      <w:pPr>
        <w:pStyle w:val="BodyText"/>
        <w:spacing w:line="319" w:lineRule="auto"/>
        <w:ind w:left="474" w:right="0"/>
        <w:jc w:val="left"/>
      </w:pPr>
      <w:r>
        <w:rPr/>
        <w:t>金融信息化的需求不断推陈出新，对金融</w:t>
      </w:r>
      <w:r>
        <w:rPr>
          <w:rFonts w:ascii="宋体" w:hAnsi="宋体" w:cs="宋体" w:eastAsia="宋体" w:hint="default"/>
        </w:rPr>
        <w:t>IT</w:t>
      </w:r>
      <w:r>
        <w:rPr/>
        <w:t>企业提出了更高的要求。 </w:t>
      </w:r>
      <w:r>
        <w:rPr>
          <w:spacing w:val="-2"/>
        </w:rPr>
        <w:t>互联网行业是公司近期重点拓展的客户群体，中国是互联网应用领先的国家，以阿里、腾讯、百度、字节跳动为代表的</w:t>
      </w:r>
    </w:p>
    <w:p>
      <w:pPr>
        <w:pStyle w:val="BodyText"/>
        <w:spacing w:line="316" w:lineRule="auto" w:before="17"/>
        <w:ind w:right="0"/>
        <w:jc w:val="left"/>
      </w:pPr>
      <w:r>
        <w:rPr>
          <w:spacing w:val="-2"/>
        </w:rPr>
        <w:t>众多互联网企业，构成了中国的新经济。近年又有更多的互联网企业脱颖而出，互联网企业的业务内容天生就是长在互联网</w:t>
      </w:r>
      <w:r>
        <w:rPr>
          <w:spacing w:val="-66"/>
        </w:rPr>
        <w:t> </w:t>
      </w:r>
      <w:r>
        <w:rPr>
          <w:spacing w:val="-66"/>
        </w:rPr>
      </w:r>
      <w:r>
        <w:rPr/>
        <w:t>之上，</w:t>
      </w:r>
      <w:r>
        <w:rPr>
          <w:rFonts w:ascii="宋体" w:hAnsi="宋体" w:cs="宋体" w:eastAsia="宋体" w:hint="default"/>
        </w:rPr>
        <w:t>IT</w:t>
      </w:r>
      <w:r>
        <w:rPr/>
        <w:t>系统能力是其核心竞争力，这几年的</w:t>
      </w:r>
      <w:r>
        <w:rPr>
          <w:rFonts w:ascii="宋体" w:hAnsi="宋体" w:cs="宋体" w:eastAsia="宋体" w:hint="default"/>
        </w:rPr>
        <w:t>IT</w:t>
      </w:r>
      <w:r>
        <w:rPr/>
        <w:t>系统投资规模较大，并且很多新技术都是在互联网行业率先得以使用。</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jc w:val="left"/>
      </w:pPr>
      <w:r>
        <w:rPr/>
        <w:t>（二）公司</w:t>
      </w:r>
      <w:r>
        <w:rPr>
          <w:rFonts w:ascii="宋体" w:hAnsi="宋体" w:cs="宋体" w:eastAsia="宋体" w:hint="default"/>
        </w:rPr>
        <w:t>2019</w:t>
      </w:r>
      <w:r>
        <w:rPr/>
        <w:t>年经营计划 </w:t>
      </w:r>
      <w:r>
        <w:rPr>
          <w:spacing w:val="-2"/>
        </w:rPr>
        <w:t>新的一年，公司将实施</w:t>
      </w:r>
      <w:r>
        <w:rPr>
          <w:rFonts w:ascii="宋体" w:hAnsi="宋体" w:cs="宋体" w:eastAsia="宋体" w:hint="default"/>
          <w:spacing w:val="-2"/>
        </w:rPr>
        <w:t>2+3</w:t>
      </w:r>
      <w:r>
        <w:rPr>
          <w:spacing w:val="-2"/>
        </w:rPr>
        <w:t>模式发展，两个行业：金融行业</w:t>
      </w:r>
      <w:r>
        <w:rPr>
          <w:rFonts w:ascii="宋体" w:hAnsi="宋体" w:cs="宋体" w:eastAsia="宋体" w:hint="default"/>
          <w:spacing w:val="-2"/>
        </w:rPr>
        <w:t>+</w:t>
      </w:r>
      <w:r>
        <w:rPr>
          <w:spacing w:val="-2"/>
        </w:rPr>
        <w:t>互联网行业，三条产品线：</w:t>
      </w:r>
      <w:r>
        <w:rPr>
          <w:rFonts w:ascii="宋体" w:hAnsi="宋体" w:cs="宋体" w:eastAsia="宋体" w:hint="default"/>
          <w:spacing w:val="-2"/>
        </w:rPr>
        <w:t>IT</w:t>
      </w:r>
      <w:r>
        <w:rPr>
          <w:spacing w:val="-2"/>
        </w:rPr>
        <w:t>产品集成、</w:t>
      </w:r>
      <w:r>
        <w:rPr>
          <w:rFonts w:ascii="宋体" w:hAnsi="宋体" w:cs="宋体" w:eastAsia="宋体" w:hint="default"/>
          <w:spacing w:val="-2"/>
        </w:rPr>
        <w:t>IT</w:t>
      </w:r>
      <w:r>
        <w:rPr>
          <w:spacing w:val="-2"/>
        </w:rPr>
        <w:t>服务产品、软件</w:t>
      </w:r>
    </w:p>
    <w:p>
      <w:pPr>
        <w:pStyle w:val="BodyText"/>
        <w:spacing w:line="316" w:lineRule="auto"/>
        <w:ind w:left="474" w:right="0" w:hanging="360"/>
        <w:jc w:val="left"/>
      </w:pPr>
      <w:r>
        <w:rPr/>
        <w:t>产品及解决方案，追求更大的发展空间。 </w:t>
      </w:r>
      <w:r>
        <w:rPr>
          <w:spacing w:val="-2"/>
        </w:rPr>
        <w:t>金融信息化是公司发展的基础，</w:t>
      </w:r>
      <w:r>
        <w:rPr>
          <w:rFonts w:ascii="宋体" w:hAnsi="宋体" w:cs="宋体" w:eastAsia="宋体" w:hint="default"/>
          <w:spacing w:val="-2"/>
        </w:rPr>
        <w:t>2019</w:t>
      </w:r>
      <w:r>
        <w:rPr>
          <w:spacing w:val="-2"/>
        </w:rPr>
        <w:t>年公司将继续围绕金融交易云、金融大数据、云数据中心建设和智能化运维等核心</w:t>
      </w:r>
    </w:p>
    <w:p>
      <w:pPr>
        <w:pStyle w:val="BodyText"/>
        <w:spacing w:line="316" w:lineRule="auto"/>
        <w:ind w:right="1131"/>
        <w:jc w:val="both"/>
      </w:pPr>
      <w:r>
        <w:rPr>
          <w:spacing w:val="-2"/>
        </w:rPr>
        <w:t>解决方案，加大风控产品解决方案及各类大数据分析应用产品研发，保障营业收入稳定和增长。特别是金融交易云，公司在</w:t>
      </w:r>
      <w:r>
        <w:rPr>
          <w:spacing w:val="-66"/>
        </w:rPr>
        <w:t> </w:t>
      </w:r>
      <w:r>
        <w:rPr>
          <w:spacing w:val="-66"/>
        </w:rPr>
      </w:r>
      <w:r>
        <w:rPr>
          <w:spacing w:val="-2"/>
        </w:rPr>
        <w:t>其上有一定的技术优势，市场需求旺盛，</w:t>
      </w:r>
      <w:r>
        <w:rPr>
          <w:rFonts w:ascii="宋体" w:hAnsi="宋体" w:cs="宋体" w:eastAsia="宋体" w:hint="default"/>
          <w:spacing w:val="-2"/>
        </w:rPr>
        <w:t>2019</w:t>
      </w:r>
      <w:r>
        <w:rPr>
          <w:spacing w:val="-2"/>
        </w:rPr>
        <w:t>年公司将做为重点，推进市场销售。对金融交易云项目的交付，</w:t>
      </w:r>
      <w:r>
        <w:rPr>
          <w:rFonts w:ascii="宋体" w:hAnsi="宋体" w:cs="宋体" w:eastAsia="宋体" w:hint="default"/>
          <w:spacing w:val="-2"/>
        </w:rPr>
        <w:t>2019</w:t>
      </w:r>
      <w:r>
        <w:rPr>
          <w:spacing w:val="-2"/>
        </w:rPr>
        <w:t>年公司将</w:t>
      </w:r>
      <w:r>
        <w:rPr>
          <w:spacing w:val="-58"/>
        </w:rPr>
        <w:t> </w:t>
      </w:r>
      <w:r>
        <w:rPr>
          <w:spacing w:val="-58"/>
        </w:rPr>
      </w:r>
      <w:r>
        <w:rPr/>
        <w:t>更大规模探索软件工厂的生产模式，提升交付质量和效率。</w:t>
      </w:r>
    </w:p>
    <w:p>
      <w:pPr>
        <w:pStyle w:val="BodyText"/>
        <w:spacing w:line="316" w:lineRule="auto"/>
        <w:ind w:right="1131" w:firstLine="360"/>
        <w:jc w:val="both"/>
      </w:pPr>
      <w:r>
        <w:rPr>
          <w:rFonts w:ascii="宋体" w:hAnsi="宋体" w:cs="宋体" w:eastAsia="宋体" w:hint="default"/>
          <w:spacing w:val="-2"/>
        </w:rPr>
        <w:t>2019</w:t>
      </w:r>
      <w:r>
        <w:rPr>
          <w:spacing w:val="-2"/>
        </w:rPr>
        <w:t>年，公司将紧紧抓住互联网行业性快速发展的机会，加大市场、人力、技术、资金等投入力度，深入了解互联网行</w:t>
      </w:r>
      <w:r>
        <w:rPr/>
        <w:t> </w:t>
      </w:r>
      <w:r>
        <w:rPr>
          <w:spacing w:val="-2"/>
        </w:rPr>
        <w:t>业的</w:t>
      </w:r>
      <w:r>
        <w:rPr>
          <w:rFonts w:ascii="宋体" w:hAnsi="宋体" w:cs="宋体" w:eastAsia="宋体" w:hint="default"/>
          <w:spacing w:val="-2"/>
        </w:rPr>
        <w:t>IT</w:t>
      </w:r>
      <w:r>
        <w:rPr>
          <w:spacing w:val="-2"/>
        </w:rPr>
        <w:t>需求，拓展互联网行业新市场；结合公司在金融解决方案的优势，与互联网行业结合，研发适应于互联网行业的场景</w:t>
      </w:r>
      <w:r>
        <w:rPr>
          <w:spacing w:val="-64"/>
        </w:rPr>
        <w:t> </w:t>
      </w:r>
      <w:r>
        <w:rPr>
          <w:spacing w:val="-64"/>
        </w:rPr>
      </w:r>
      <w:r>
        <w:rPr/>
        <w:t>应用。</w:t>
      </w:r>
      <w:r>
        <w:rPr>
          <w:rFonts w:ascii="宋体" w:hAnsi="宋体" w:cs="宋体" w:eastAsia="宋体" w:hint="default"/>
        </w:rPr>
        <w:t>2019</w:t>
      </w:r>
      <w:r>
        <w:rPr/>
        <w:t>年公司还将部署对大中型企业市场</w:t>
      </w:r>
      <w:r>
        <w:rPr>
          <w:rFonts w:ascii="宋体" w:hAnsi="宋体" w:cs="宋体" w:eastAsia="宋体" w:hint="default"/>
        </w:rPr>
        <w:t>IT</w:t>
      </w:r>
      <w:r>
        <w:rPr/>
        <w:t>解决方案的探索，将公司的三条</w:t>
      </w:r>
      <w:r>
        <w:rPr>
          <w:rFonts w:ascii="宋体" w:hAnsi="宋体" w:cs="宋体" w:eastAsia="宋体" w:hint="default"/>
        </w:rPr>
        <w:t>IT</w:t>
      </w:r>
      <w:r>
        <w:rPr/>
        <w:t>产品线向企业行业渗透。</w:t>
      </w:r>
    </w:p>
    <w:p>
      <w:pPr>
        <w:pStyle w:val="BodyText"/>
        <w:spacing w:line="316" w:lineRule="auto"/>
        <w:ind w:right="0" w:firstLine="360"/>
        <w:jc w:val="left"/>
      </w:pPr>
      <w:r>
        <w:rPr>
          <w:spacing w:val="-2"/>
        </w:rPr>
        <w:t>金融信息化软件开发规模日益扩大，特别是银行金融科技公司的成立，金融科技不仅服务于自身，还不断走向同业和跨</w:t>
      </w:r>
      <w:r>
        <w:rPr/>
        <w:t> </w:t>
      </w:r>
      <w:r>
        <w:rPr>
          <w:spacing w:val="-4"/>
        </w:rPr>
        <w:t>行业建立金融生态。目前各大金融机构积极建立软件开发资源池制度和入围制度，基于公司与各大金融机构良好的合作关系，</w:t>
      </w:r>
      <w:r>
        <w:rPr>
          <w:spacing w:val="-44"/>
        </w:rPr>
        <w:t> </w:t>
      </w:r>
      <w:r>
        <w:rPr>
          <w:spacing w:val="-44"/>
        </w:rPr>
      </w:r>
      <w:r>
        <w:rPr>
          <w:rFonts w:ascii="宋体" w:hAnsi="宋体" w:cs="宋体" w:eastAsia="宋体" w:hint="default"/>
        </w:rPr>
        <w:t>2019</w:t>
      </w:r>
      <w:r>
        <w:rPr/>
        <w:t>年公司将从战略上把握合作机会，规模性扩大软件团队，与各大金融机构建立更大规模的合作。</w:t>
      </w:r>
    </w:p>
    <w:p>
      <w:pPr>
        <w:pStyle w:val="BodyText"/>
        <w:spacing w:line="316" w:lineRule="auto"/>
        <w:ind w:right="1131" w:firstLine="360"/>
        <w:jc w:val="both"/>
      </w:pPr>
      <w:r>
        <w:rPr>
          <w:rFonts w:ascii="宋体" w:hAnsi="宋体" w:cs="宋体" w:eastAsia="宋体" w:hint="default"/>
          <w:spacing w:val="-2"/>
        </w:rPr>
        <w:t>2019</w:t>
      </w:r>
      <w:r>
        <w:rPr>
          <w:spacing w:val="-2"/>
        </w:rPr>
        <w:t>年，公司将维持较强的营销力度，并希望在新客户拓展方面取得更大成果。同时，公司将加强与上游产品供应商在</w:t>
      </w:r>
      <w:r>
        <w:rPr/>
        <w:t> 新技术、新产品及新业务领域的战略合作关系，进一步完善业务中心及产品研发体系，提升软件业务竞争力。</w:t>
      </w:r>
    </w:p>
    <w:p>
      <w:pPr>
        <w:pStyle w:val="BodyText"/>
        <w:spacing w:line="316" w:lineRule="auto"/>
        <w:ind w:right="1132" w:firstLine="360"/>
        <w:jc w:val="both"/>
      </w:pPr>
      <w:r>
        <w:rPr>
          <w:rFonts w:ascii="宋体" w:hAnsi="宋体" w:cs="宋体" w:eastAsia="宋体" w:hint="default"/>
          <w:spacing w:val="-2"/>
        </w:rPr>
        <w:t>2019</w:t>
      </w:r>
      <w:r>
        <w:rPr>
          <w:spacing w:val="-2"/>
        </w:rPr>
        <w:t>年，公司将加大销售团队的建设，优化销售绩效考核方式，培养一批、引进一批能开拓市场的客户销售、产品销售</w:t>
      </w:r>
      <w:r>
        <w:rPr/>
        <w:t> 团队。</w:t>
      </w:r>
    </w:p>
    <w:p>
      <w:pPr>
        <w:pStyle w:val="BodyText"/>
        <w:spacing w:line="316" w:lineRule="auto"/>
        <w:ind w:right="1051" w:firstLine="360"/>
        <w:jc w:val="both"/>
      </w:pPr>
      <w:r>
        <w:rPr>
          <w:rFonts w:ascii="宋体" w:hAnsi="宋体" w:cs="宋体" w:eastAsia="宋体" w:hint="default"/>
        </w:rPr>
        <w:t>2019</w:t>
      </w:r>
      <w:r>
        <w:rPr/>
        <w:t>年，公司将进一步加强人才体系建设，特别是管理、骨干技术团队的有计划的培养，加大企业文化建设投入力度， 增加公司的凝聚力。</w:t>
      </w:r>
    </w:p>
    <w:p>
      <w:pPr>
        <w:pStyle w:val="BodyText"/>
        <w:spacing w:line="316" w:lineRule="auto"/>
        <w:ind w:right="1131" w:firstLine="360"/>
        <w:jc w:val="both"/>
      </w:pPr>
      <w:r>
        <w:rPr>
          <w:rFonts w:ascii="宋体" w:hAnsi="宋体" w:cs="宋体" w:eastAsia="宋体" w:hint="default"/>
          <w:spacing w:val="-2"/>
        </w:rPr>
        <w:t>2019</w:t>
      </w:r>
      <w:r>
        <w:rPr>
          <w:spacing w:val="-2"/>
        </w:rPr>
        <w:t>年，公司将进一步提高运营管理水平，以满足软件业务及集成业务的日益增长需求。同时做好资金规划，提升资金</w:t>
      </w:r>
      <w:r>
        <w:rPr/>
        <w:t> 使用效率。</w:t>
      </w:r>
    </w:p>
    <w:p>
      <w:pPr>
        <w:spacing w:line="240" w:lineRule="auto" w:before="4"/>
        <w:rPr>
          <w:rFonts w:ascii="宋体" w:hAnsi="宋体" w:cs="宋体" w:eastAsia="宋体" w:hint="default"/>
          <w:sz w:val="25"/>
          <w:szCs w:val="25"/>
        </w:rPr>
      </w:pPr>
    </w:p>
    <w:p>
      <w:pPr>
        <w:pStyle w:val="BodyText"/>
        <w:spacing w:line="316" w:lineRule="auto" w:before="0"/>
        <w:ind w:left="474" w:right="9042"/>
        <w:jc w:val="left"/>
      </w:pPr>
      <w:r>
        <w:rPr/>
        <w:t>（三）风险因素 </w:t>
      </w:r>
      <w:r>
        <w:rPr>
          <w:rFonts w:ascii="宋体" w:hAnsi="宋体" w:cs="宋体" w:eastAsia="宋体" w:hint="default"/>
        </w:rPr>
        <w:t>1</w:t>
      </w:r>
      <w:r>
        <w:rPr/>
        <w:t>、客户集中风险</w:t>
      </w:r>
    </w:p>
    <w:p>
      <w:pPr>
        <w:pStyle w:val="BodyText"/>
        <w:spacing w:line="316" w:lineRule="auto"/>
        <w:ind w:right="1130" w:firstLine="360"/>
        <w:jc w:val="both"/>
      </w:pPr>
      <w:r>
        <w:rPr>
          <w:spacing w:val="-2"/>
        </w:rPr>
        <w:t>公司面向以商业银行为主的客户，提供</w:t>
      </w:r>
      <w:r>
        <w:rPr>
          <w:rFonts w:ascii="宋体" w:hAnsi="宋体" w:cs="宋体" w:eastAsia="宋体" w:hint="default"/>
          <w:spacing w:val="-2"/>
        </w:rPr>
        <w:t>IT</w:t>
      </w:r>
      <w:r>
        <w:rPr>
          <w:spacing w:val="-2"/>
        </w:rPr>
        <w:t>解决方案及服务，销售收入主要来源于银行业。</w:t>
      </w:r>
      <w:r>
        <w:rPr>
          <w:rFonts w:ascii="宋体" w:hAnsi="宋体" w:cs="宋体" w:eastAsia="宋体" w:hint="default"/>
          <w:spacing w:val="-2"/>
        </w:rPr>
        <w:t>2018</w:t>
      </w:r>
      <w:r>
        <w:rPr>
          <w:spacing w:val="-2"/>
        </w:rPr>
        <w:t>年，公司来源于银行业客</w:t>
      </w:r>
      <w:r>
        <w:rPr/>
        <w:t> </w:t>
      </w:r>
      <w:r>
        <w:rPr>
          <w:spacing w:val="-2"/>
        </w:rPr>
        <w:t>户的收入占营业总收入的比例为</w:t>
      </w:r>
      <w:r>
        <w:rPr>
          <w:rFonts w:ascii="宋体" w:hAnsi="宋体" w:cs="宋体" w:eastAsia="宋体" w:hint="default"/>
          <w:spacing w:val="-2"/>
        </w:rPr>
        <w:t>55.31%</w:t>
      </w:r>
      <w:r>
        <w:rPr>
          <w:spacing w:val="-2"/>
        </w:rPr>
        <w:t>，银行业客户集中度较高。银行业客户的发展战略、投资规模、经营决策将对公司的</w:t>
      </w:r>
      <w:r>
        <w:rPr>
          <w:spacing w:val="-60"/>
        </w:rPr>
        <w:t> </w:t>
      </w:r>
      <w:r>
        <w:rPr>
          <w:spacing w:val="-60"/>
        </w:rPr>
      </w:r>
      <w:r>
        <w:rPr/>
        <w:t>业务发展速度和规模等经营状况产生较大的影响。</w:t>
      </w:r>
    </w:p>
    <w:p>
      <w:pPr>
        <w:pStyle w:val="BodyText"/>
        <w:spacing w:line="316" w:lineRule="auto"/>
        <w:ind w:right="1043" w:firstLine="360"/>
        <w:jc w:val="both"/>
      </w:pPr>
      <w:r>
        <w:rPr>
          <w:rFonts w:ascii="宋体" w:hAnsi="宋体" w:cs="宋体" w:eastAsia="宋体" w:hint="default"/>
          <w:spacing w:val="-2"/>
        </w:rPr>
        <w:t>2018</w:t>
      </w:r>
      <w:r>
        <w:rPr>
          <w:spacing w:val="-2"/>
        </w:rPr>
        <w:t>年，公司对前五大客户的收入占营业总收入的比重较高，为</w:t>
      </w:r>
      <w:r>
        <w:rPr>
          <w:rFonts w:ascii="宋体" w:hAnsi="宋体" w:cs="宋体" w:eastAsia="宋体" w:hint="default"/>
          <w:spacing w:val="-2"/>
        </w:rPr>
        <w:t>62.71%</w:t>
      </w:r>
      <w:r>
        <w:rPr>
          <w:spacing w:val="-2"/>
        </w:rPr>
        <w:t>。若公司主要客户放缓信息化建设的速度；或采</w:t>
      </w:r>
      <w:r>
        <w:rPr/>
        <w:t> </w:t>
      </w:r>
      <w:r>
        <w:rPr>
          <w:spacing w:val="-4"/>
        </w:rPr>
        <w:t>购政策等发生变化，采购规模出现下降；则公司会由于客户较为集中、对单一客户销售收入占比较高而面临经营波动的风险。</w:t>
      </w:r>
    </w:p>
    <w:p>
      <w:pPr>
        <w:pStyle w:val="BodyText"/>
        <w:spacing w:line="316" w:lineRule="auto"/>
        <w:ind w:left="474" w:right="1032"/>
        <w:jc w:val="left"/>
      </w:pPr>
      <w:r>
        <w:rPr>
          <w:rFonts w:ascii="宋体" w:hAnsi="宋体" w:cs="宋体" w:eastAsia="宋体" w:hint="default"/>
        </w:rPr>
        <w:t>2</w:t>
      </w:r>
      <w:r>
        <w:rPr/>
        <w:t>、市场竞争风险 虽然银行业</w:t>
      </w:r>
      <w:r>
        <w:rPr>
          <w:rFonts w:ascii="宋体" w:hAnsi="宋体" w:cs="宋体" w:eastAsia="宋体" w:hint="default"/>
        </w:rPr>
        <w:t>IT</w:t>
      </w:r>
      <w:r>
        <w:rPr/>
        <w:t>服务行业市场容量较大，但由于服务商较多、竞争格局高度分散，且公司的主要竞争对手亦在不断进步，</w:t>
      </w:r>
    </w:p>
    <w:p>
      <w:pPr>
        <w:pStyle w:val="BodyText"/>
        <w:spacing w:line="240" w:lineRule="auto"/>
        <w:ind w:right="0"/>
        <w:jc w:val="both"/>
      </w:pPr>
      <w:r>
        <w:rPr/>
        <w:t>公司在行业市场中尚未占据绝对优势，使公司面临如下市场压力：</w:t>
      </w:r>
    </w:p>
    <w:p>
      <w:pPr>
        <w:pStyle w:val="BodyText"/>
        <w:spacing w:line="316" w:lineRule="auto" w:before="76"/>
        <w:ind w:right="1131" w:firstLine="360"/>
        <w:jc w:val="both"/>
      </w:pPr>
      <w:r>
        <w:rPr/>
        <w:t>（</w:t>
      </w:r>
      <w:r>
        <w:rPr>
          <w:rFonts w:ascii="宋体" w:hAnsi="宋体" w:cs="宋体" w:eastAsia="宋体" w:hint="default"/>
        </w:rPr>
        <w:t>1</w:t>
      </w:r>
      <w:r>
        <w:rPr/>
        <w:t>）公司目前主要客户为国有大型商业银行、股份制商业银行与省级农信社，对增长潜力较大的城市商业银行覆盖不 </w:t>
      </w:r>
      <w:r>
        <w:rPr>
          <w:spacing w:val="-2"/>
        </w:rPr>
        <w:t>足。由于服务商纷纷看好中小银行市场，参与竞争的服务商快速增加，使公司在这一细分市场的拓展中面临较激烈的市场竞</w:t>
      </w:r>
      <w:r>
        <w:rPr>
          <w:spacing w:val="-66"/>
        </w:rPr>
        <w:t> </w:t>
      </w:r>
      <w:r>
        <w:rPr>
          <w:spacing w:val="-66"/>
        </w:rPr>
      </w:r>
      <w:r>
        <w:rPr/>
        <w:t>争。</w:t>
      </w:r>
    </w:p>
    <w:p>
      <w:pPr>
        <w:pStyle w:val="BodyText"/>
        <w:spacing w:line="316" w:lineRule="auto"/>
        <w:ind w:right="1131" w:firstLine="360"/>
        <w:jc w:val="both"/>
      </w:pPr>
      <w:r>
        <w:rPr/>
        <w:t>（</w:t>
      </w:r>
      <w:r>
        <w:rPr>
          <w:rFonts w:ascii="宋体" w:hAnsi="宋体" w:cs="宋体" w:eastAsia="宋体" w:hint="default"/>
        </w:rPr>
        <w:t>2</w:t>
      </w:r>
      <w:r>
        <w:rPr/>
        <w:t>）由于银行业</w:t>
      </w:r>
      <w:r>
        <w:rPr>
          <w:rFonts w:ascii="宋体" w:hAnsi="宋体" w:cs="宋体" w:eastAsia="宋体" w:hint="default"/>
        </w:rPr>
        <w:t>IT</w:t>
      </w:r>
      <w:r>
        <w:rPr/>
        <w:t>系统的复杂性，银行对服务商的选择与更换较为慎重，如果其他服务商已经在为公司的目标客户服 务，则将拥有较强的先发优势，使公司在争取业务机会时面临较激烈的市场竞争。</w:t>
      </w:r>
    </w:p>
    <w:p>
      <w:pPr>
        <w:pStyle w:val="BodyText"/>
        <w:spacing w:line="316" w:lineRule="auto"/>
        <w:ind w:right="1041" w:firstLine="360"/>
        <w:jc w:val="both"/>
      </w:pPr>
      <w:r>
        <w:rPr>
          <w:spacing w:val="-2"/>
        </w:rPr>
        <w:t>（</w:t>
      </w:r>
      <w:r>
        <w:rPr>
          <w:rFonts w:ascii="宋体" w:hAnsi="宋体" w:cs="宋体" w:eastAsia="宋体" w:hint="default"/>
          <w:spacing w:val="-2"/>
        </w:rPr>
        <w:t>3</w:t>
      </w:r>
      <w:r>
        <w:rPr>
          <w:spacing w:val="-2"/>
        </w:rPr>
        <w:t>）大型互联网企业已成为公司重要的收入来源，该类企业技术能力强，对供应商依赖程度较低，市场竞争更加激烈，</w:t>
      </w:r>
      <w:r>
        <w:rPr/>
        <w:t> 公司较容易因相关客户采购政策、采购规模变化，面临较大的经营波动风险。</w:t>
      </w:r>
    </w:p>
    <w:p>
      <w:pPr>
        <w:pStyle w:val="BodyText"/>
        <w:spacing w:line="319" w:lineRule="auto"/>
        <w:ind w:left="474" w:right="0"/>
        <w:jc w:val="left"/>
      </w:pPr>
      <w:r>
        <w:rPr>
          <w:rFonts w:ascii="宋体" w:hAnsi="宋体" w:cs="宋体" w:eastAsia="宋体" w:hint="default"/>
        </w:rPr>
        <w:t>3</w:t>
      </w:r>
      <w:r>
        <w:rPr/>
        <w:t>、毛利率波动风险 </w:t>
      </w:r>
      <w:r>
        <w:rPr>
          <w:spacing w:val="-2"/>
        </w:rPr>
        <w:t>公司主营业务分为</w:t>
      </w:r>
      <w:r>
        <w:rPr>
          <w:rFonts w:ascii="宋体" w:hAnsi="宋体" w:cs="宋体" w:eastAsia="宋体" w:hint="default"/>
          <w:spacing w:val="-2"/>
        </w:rPr>
        <w:t>IT</w:t>
      </w:r>
      <w:r>
        <w:rPr>
          <w:spacing w:val="-2"/>
        </w:rPr>
        <w:t>基础设施建设业务、软件解决方案业务及</w:t>
      </w:r>
      <w:r>
        <w:rPr>
          <w:rFonts w:ascii="宋体" w:hAnsi="宋体" w:cs="宋体" w:eastAsia="宋体" w:hint="default"/>
          <w:spacing w:val="-2"/>
        </w:rPr>
        <w:t>IT</w:t>
      </w:r>
      <w:r>
        <w:rPr>
          <w:spacing w:val="-2"/>
        </w:rPr>
        <w:t>运维服务业务。</w:t>
      </w:r>
      <w:r>
        <w:rPr>
          <w:rFonts w:ascii="宋体" w:hAnsi="宋体" w:cs="宋体" w:eastAsia="宋体" w:hint="default"/>
          <w:spacing w:val="-2"/>
        </w:rPr>
        <w:t>IT</w:t>
      </w:r>
      <w:r>
        <w:rPr>
          <w:spacing w:val="-2"/>
        </w:rPr>
        <w:t>基础设施建设业务行业竞争激烈，行</w:t>
      </w:r>
    </w:p>
    <w:p>
      <w:pPr>
        <w:pStyle w:val="BodyText"/>
        <w:spacing w:line="316" w:lineRule="auto" w:before="17"/>
        <w:ind w:right="1131"/>
        <w:jc w:val="both"/>
      </w:pPr>
      <w:r>
        <w:rPr>
          <w:spacing w:val="-2"/>
        </w:rPr>
        <w:t>业毛利率整体处于较低水平，上游设备生产厂商和下游客户的议价能力较强，毛利率受供应商和客户的影响较大。软件解决</w:t>
      </w:r>
      <w:r>
        <w:rPr>
          <w:spacing w:val="-66"/>
        </w:rPr>
        <w:t> </w:t>
      </w:r>
      <w:r>
        <w:rPr>
          <w:spacing w:val="-66"/>
        </w:rPr>
      </w:r>
      <w:r>
        <w:rPr>
          <w:spacing w:val="-2"/>
        </w:rPr>
        <w:t>方案业务和</w:t>
      </w:r>
      <w:r>
        <w:rPr>
          <w:rFonts w:ascii="宋体" w:hAnsi="宋体" w:cs="宋体" w:eastAsia="宋体" w:hint="default"/>
          <w:spacing w:val="-2"/>
        </w:rPr>
        <w:t>IT</w:t>
      </w:r>
      <w:r>
        <w:rPr>
          <w:spacing w:val="-2"/>
        </w:rPr>
        <w:t>运维服务业务的毛利率受人力成本、服务价格等因素的影响较大。如果公司经营模式、服务价格、技术更新速</w:t>
      </w:r>
      <w:r>
        <w:rPr>
          <w:spacing w:val="-64"/>
        </w:rPr>
        <w:t> </w:t>
      </w:r>
      <w:r>
        <w:rPr>
          <w:spacing w:val="-64"/>
        </w:rPr>
      </w:r>
      <w:r>
        <w:rPr>
          <w:spacing w:val="-2"/>
        </w:rPr>
        <w:t>度、市场竞争环境、人力资源成本等因素发生变化，可能导致公司各项业务的毛利率水平出现一定幅度的波动，从而影响公</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8142" w:hanging="360"/>
        <w:jc w:val="left"/>
      </w:pPr>
      <w:r>
        <w:rPr/>
        <w:t>司的盈利水平。 </w:t>
      </w:r>
      <w:r>
        <w:rPr>
          <w:rFonts w:ascii="宋体" w:hAnsi="宋体" w:cs="宋体" w:eastAsia="宋体" w:hint="default"/>
        </w:rPr>
        <w:t>4</w:t>
      </w:r>
      <w:r>
        <w:rPr/>
        <w:t>、人力资源与人力成本风险</w:t>
      </w:r>
    </w:p>
    <w:p>
      <w:pPr>
        <w:pStyle w:val="BodyText"/>
        <w:spacing w:line="319" w:lineRule="auto"/>
        <w:ind w:right="1131" w:firstLine="360"/>
        <w:jc w:val="both"/>
      </w:pPr>
      <w:r>
        <w:rPr>
          <w:spacing w:val="-2"/>
        </w:rPr>
        <w:t>银行业</w:t>
      </w:r>
      <w:r>
        <w:rPr>
          <w:rFonts w:ascii="宋体" w:hAnsi="宋体" w:cs="宋体" w:eastAsia="宋体" w:hint="default"/>
          <w:spacing w:val="-2"/>
        </w:rPr>
        <w:t>IT</w:t>
      </w:r>
      <w:r>
        <w:rPr>
          <w:spacing w:val="-2"/>
        </w:rPr>
        <w:t>服务行业是智力密集型行业，行业企业对人才争夺较为激烈。公司经过多年发展，建立起了技术精湛、经验丰</w:t>
      </w:r>
      <w:r>
        <w:rPr/>
        <w:t> </w:t>
      </w:r>
      <w:r>
        <w:rPr>
          <w:spacing w:val="-2"/>
        </w:rPr>
        <w:t>富、团结合作的技术与管理团队，并成为公司市场竞争力的重要来源。若公司不能及时培养和引进所需的人才，则将对公司</w:t>
      </w:r>
      <w:r>
        <w:rPr>
          <w:spacing w:val="-66"/>
        </w:rPr>
        <w:t> </w:t>
      </w:r>
      <w:r>
        <w:rPr>
          <w:spacing w:val="-66"/>
        </w:rPr>
      </w:r>
      <w:r>
        <w:rPr>
          <w:spacing w:val="-2"/>
        </w:rPr>
        <w:t>业务规模的扩大造成较大限制；若公司的核心研发人员、技术服务人员与管理人员流失，也将对公司竞争力的保持造成不利</w:t>
      </w:r>
      <w:r>
        <w:rPr>
          <w:spacing w:val="-66"/>
        </w:rPr>
        <w:t> </w:t>
      </w:r>
      <w:r>
        <w:rPr>
          <w:spacing w:val="-66"/>
        </w:rPr>
      </w:r>
      <w:r>
        <w:rPr/>
        <w:t>影响。</w:t>
      </w:r>
    </w:p>
    <w:p>
      <w:pPr>
        <w:pStyle w:val="BodyText"/>
        <w:spacing w:line="316" w:lineRule="auto" w:before="17"/>
        <w:ind w:right="1032" w:firstLine="360"/>
        <w:jc w:val="left"/>
      </w:pPr>
      <w:r>
        <w:rPr/>
        <w:t>近年来，随着国内物价水平的持续上涨，公司员工工资及福利也呈现上涨趋势，从而面临营业成本及费用上升的局面。 </w:t>
      </w:r>
      <w:r>
        <w:rPr>
          <w:spacing w:val="-2"/>
        </w:rPr>
        <w:t>随着公司规模的扩大，特别是上市后募投项目的逐步实施，若公司未能有效提高营业收入水平、控制人力成本，则将面临盈</w:t>
      </w:r>
      <w:r>
        <w:rPr>
          <w:spacing w:val="-66"/>
        </w:rPr>
        <w:t> </w:t>
      </w:r>
      <w:r>
        <w:rPr>
          <w:spacing w:val="-66"/>
        </w:rPr>
      </w:r>
      <w:r>
        <w:rPr/>
        <w:t>利能力下降的风险。</w:t>
      </w:r>
    </w:p>
    <w:p>
      <w:pPr>
        <w:pStyle w:val="BodyText"/>
        <w:spacing w:line="316" w:lineRule="auto"/>
        <w:ind w:left="474" w:right="1032"/>
        <w:jc w:val="left"/>
      </w:pPr>
      <w:r>
        <w:rPr>
          <w:rFonts w:ascii="宋体" w:hAnsi="宋体" w:cs="宋体" w:eastAsia="宋体" w:hint="default"/>
        </w:rPr>
        <w:t>5</w:t>
      </w:r>
      <w:r>
        <w:rPr/>
        <w:t>、技术风险 银行业</w:t>
      </w:r>
      <w:r>
        <w:rPr>
          <w:rFonts w:ascii="宋体" w:hAnsi="宋体" w:cs="宋体" w:eastAsia="宋体" w:hint="default"/>
        </w:rPr>
        <w:t>IT</w:t>
      </w:r>
      <w:r>
        <w:rPr/>
        <w:t>技术发展迅速，技术和产品更新换代较快，对技术储备要求较高。公司的软件解决方案是基于自主平台软件、</w:t>
      </w:r>
    </w:p>
    <w:p>
      <w:pPr>
        <w:pStyle w:val="BodyText"/>
        <w:spacing w:line="316" w:lineRule="auto"/>
        <w:ind w:right="1132"/>
        <w:jc w:val="both"/>
      </w:pPr>
      <w:r>
        <w:rPr>
          <w:spacing w:val="-2"/>
        </w:rPr>
        <w:t>针对银行业特定应用需求而开发的，能够有效提升客户应用软件的开发效率。若公司不能持续创新以适应银行业特定应用需</w:t>
      </w:r>
      <w:r>
        <w:rPr>
          <w:spacing w:val="-64"/>
        </w:rPr>
        <w:t> </w:t>
      </w:r>
      <w:r>
        <w:rPr>
          <w:spacing w:val="-64"/>
        </w:rPr>
      </w:r>
      <w:r>
        <w:rPr/>
        <w:t>求的变化，或在技术开发方向上发生决策失误，则将对公司软件业务的市场前景造成较大的不利影响。</w:t>
      </w:r>
    </w:p>
    <w:p>
      <w:pPr>
        <w:pStyle w:val="BodyText"/>
        <w:spacing w:line="316" w:lineRule="auto"/>
        <w:ind w:right="1131" w:firstLine="360"/>
        <w:jc w:val="both"/>
      </w:pPr>
      <w:r>
        <w:rPr>
          <w:rFonts w:ascii="宋体" w:hAnsi="宋体" w:cs="宋体" w:eastAsia="宋体" w:hint="default"/>
          <w:spacing w:val="-2"/>
        </w:rPr>
        <w:t>IT</w:t>
      </w:r>
      <w:r>
        <w:rPr>
          <w:spacing w:val="-2"/>
        </w:rPr>
        <w:t>基础设施建设及</w:t>
      </w:r>
      <w:r>
        <w:rPr>
          <w:rFonts w:ascii="宋体" w:hAnsi="宋体" w:cs="宋体" w:eastAsia="宋体" w:hint="default"/>
          <w:spacing w:val="-2"/>
        </w:rPr>
        <w:t>IT</w:t>
      </w:r>
      <w:r>
        <w:rPr>
          <w:spacing w:val="-2"/>
        </w:rPr>
        <w:t>运维服务涉及到众多厂商的设备及系统软件。如果公司的技术储备不够充分或不能快速更新，则不</w:t>
      </w:r>
      <w:r>
        <w:rPr/>
        <w:t> 能高效满足客户的需求，公司可能丧失现有技术和市场的优势地位。</w:t>
      </w:r>
    </w:p>
    <w:p>
      <w:pPr>
        <w:pStyle w:val="BodyText"/>
        <w:spacing w:line="316" w:lineRule="auto"/>
        <w:ind w:right="1131" w:firstLine="360"/>
        <w:jc w:val="both"/>
      </w:pPr>
      <w:r>
        <w:rPr>
          <w:spacing w:val="-2"/>
        </w:rPr>
        <w:t>信息技术发展变化较快，目前，云计算、大数据、移动互联网等技术的成熟为银行业</w:t>
      </w:r>
      <w:r>
        <w:rPr>
          <w:rFonts w:ascii="宋体" w:hAnsi="宋体" w:cs="宋体" w:eastAsia="宋体" w:hint="default"/>
          <w:spacing w:val="-2"/>
        </w:rPr>
        <w:t>IT</w:t>
      </w:r>
      <w:r>
        <w:rPr>
          <w:spacing w:val="-2"/>
        </w:rPr>
        <w:t>系统开拓了新的发展方向，并在</w:t>
      </w:r>
      <w:r>
        <w:rPr/>
        <w:t> </w:t>
      </w:r>
      <w:r>
        <w:rPr>
          <w:spacing w:val="-2"/>
        </w:rPr>
        <w:t>基础架构、运行性能上对软硬件系统水平提出了更高的要求。若公司的产品与服务不能准确把握行业技术的发展趋势，或不</w:t>
      </w:r>
      <w:r>
        <w:rPr>
          <w:spacing w:val="-66"/>
        </w:rPr>
        <w:t> </w:t>
      </w:r>
      <w:r>
        <w:rPr>
          <w:spacing w:val="-66"/>
        </w:rPr>
      </w:r>
      <w:r>
        <w:rPr/>
        <w:t>能将新技术应用于公司产品的开发和升级，将使公司面临一定的技术风险。</w:t>
      </w:r>
    </w:p>
    <w:p>
      <w:pPr>
        <w:pStyle w:val="BodyText"/>
        <w:spacing w:line="240" w:lineRule="auto"/>
        <w:ind w:left="474" w:right="0"/>
        <w:jc w:val="left"/>
      </w:pPr>
      <w:r>
        <w:rPr>
          <w:rFonts w:ascii="宋体" w:hAnsi="宋体" w:cs="宋体" w:eastAsia="宋体" w:hint="default"/>
        </w:rPr>
        <w:t>6</w:t>
      </w:r>
      <w:r>
        <w:rPr/>
        <w:t>、应收账款回收风险</w:t>
      </w:r>
    </w:p>
    <w:p>
      <w:pPr>
        <w:pStyle w:val="BodyText"/>
        <w:spacing w:line="240" w:lineRule="auto" w:before="76"/>
        <w:ind w:left="474" w:right="0"/>
        <w:jc w:val="left"/>
      </w:pPr>
      <w:r>
        <w:rPr>
          <w:rFonts w:ascii="宋体" w:hAnsi="宋体" w:cs="宋体" w:eastAsia="宋体" w:hint="default"/>
        </w:rPr>
        <w:t>2016</w:t>
      </w:r>
      <w:r>
        <w:rPr/>
        <w:t>年至</w:t>
      </w:r>
      <w:r>
        <w:rPr>
          <w:rFonts w:ascii="宋体" w:hAnsi="宋体" w:cs="宋体" w:eastAsia="宋体" w:hint="default"/>
        </w:rPr>
        <w:t>2018</w:t>
      </w:r>
      <w:r>
        <w:rPr/>
        <w:t>年，公司应收账款分别为</w:t>
      </w:r>
      <w:r>
        <w:rPr>
          <w:rFonts w:ascii="宋体" w:hAnsi="宋体" w:cs="宋体" w:eastAsia="宋体" w:hint="default"/>
        </w:rPr>
        <w:t>44,331.76</w:t>
      </w:r>
      <w:r>
        <w:rPr/>
        <w:t>万元、</w:t>
      </w:r>
      <w:r>
        <w:rPr>
          <w:rFonts w:ascii="宋体" w:hAnsi="宋体" w:cs="宋体" w:eastAsia="宋体" w:hint="default"/>
        </w:rPr>
        <w:t>52,272.60</w:t>
      </w:r>
      <w:r>
        <w:rPr/>
        <w:t>万元和</w:t>
      </w:r>
      <w:r>
        <w:rPr>
          <w:rFonts w:ascii="宋体" w:hAnsi="宋体" w:cs="宋体" w:eastAsia="宋体" w:hint="default"/>
        </w:rPr>
        <w:t>46,629.57</w:t>
      </w:r>
      <w:r>
        <w:rPr/>
        <w:t>万元，占总资产比重分别为</w:t>
      </w:r>
      <w:r>
        <w:rPr>
          <w:rFonts w:ascii="宋体" w:hAnsi="宋体" w:cs="宋体" w:eastAsia="宋体" w:hint="default"/>
        </w:rPr>
        <w:t>41.25%</w:t>
      </w:r>
      <w:r>
        <w:rPr/>
        <w:t>、</w:t>
      </w:r>
    </w:p>
    <w:p>
      <w:pPr>
        <w:pStyle w:val="BodyText"/>
        <w:spacing w:line="319" w:lineRule="auto" w:before="76"/>
        <w:ind w:right="1131"/>
        <w:jc w:val="both"/>
      </w:pPr>
      <w:r>
        <w:rPr>
          <w:rFonts w:ascii="宋体" w:hAnsi="宋体" w:cs="宋体" w:eastAsia="宋体" w:hint="default"/>
        </w:rPr>
        <w:t>39.30%</w:t>
      </w:r>
      <w:r>
        <w:rPr/>
        <w:t>和</w:t>
      </w:r>
      <w:r>
        <w:rPr>
          <w:rFonts w:ascii="宋体" w:hAnsi="宋体" w:cs="宋体" w:eastAsia="宋体" w:hint="default"/>
        </w:rPr>
        <w:t>35.36%</w:t>
      </w:r>
      <w:r>
        <w:rPr/>
        <w:t>，是公司资产的重要组成部分。截至报告期末，账龄在</w:t>
      </w:r>
      <w:r>
        <w:rPr>
          <w:rFonts w:ascii="宋体" w:hAnsi="宋体" w:cs="宋体" w:eastAsia="宋体" w:hint="default"/>
        </w:rPr>
        <w:t>1</w:t>
      </w:r>
      <w:r>
        <w:rPr/>
        <w:t>年以内的应收账款账面余额占公司应收账款账面余</w:t>
      </w:r>
      <w:r>
        <w:rPr>
          <w:spacing w:val="-84"/>
        </w:rPr>
        <w:t> </w:t>
      </w:r>
      <w:r>
        <w:rPr>
          <w:spacing w:val="-84"/>
        </w:rPr>
      </w:r>
      <w:r>
        <w:rPr>
          <w:spacing w:val="-2"/>
        </w:rPr>
        <w:t>额的比重为</w:t>
      </w:r>
      <w:r>
        <w:rPr>
          <w:rFonts w:ascii="宋体" w:hAnsi="宋体" w:cs="宋体" w:eastAsia="宋体" w:hint="default"/>
          <w:spacing w:val="-2"/>
        </w:rPr>
        <w:t>85.83%</w:t>
      </w:r>
      <w:r>
        <w:rPr>
          <w:spacing w:val="-2"/>
        </w:rPr>
        <w:t>。公司主要应收账款客户是银行类金融机构等信誉较高的客户。尽管如此，若主要客户经营状况发生重大</w:t>
      </w:r>
      <w:r>
        <w:rPr>
          <w:spacing w:val="-60"/>
        </w:rPr>
        <w:t> </w:t>
      </w:r>
      <w:r>
        <w:rPr>
          <w:spacing w:val="-60"/>
        </w:rPr>
      </w:r>
      <w:r>
        <w:rPr/>
        <w:t>不利变化，应收账款不能及时收回或产生坏账，将对公司资产质量以及财务状况产生较大不利影响。</w:t>
      </w:r>
    </w:p>
    <w:p>
      <w:pPr>
        <w:pStyle w:val="BodyText"/>
        <w:spacing w:line="316" w:lineRule="auto" w:before="17"/>
        <w:ind w:left="474" w:right="1032"/>
        <w:jc w:val="left"/>
      </w:pPr>
      <w:r>
        <w:rPr>
          <w:rFonts w:ascii="宋体" w:hAnsi="宋体" w:cs="宋体" w:eastAsia="宋体" w:hint="default"/>
        </w:rPr>
        <w:t>7</w:t>
      </w:r>
      <w:r>
        <w:rPr/>
        <w:t>、收入及净利润季节性波动风险 公司的主要客户为银行类金融机构，银行业用户的采购计划主要在上年年底到第二年的一季度制定，需经过方案审查、</w:t>
      </w:r>
    </w:p>
    <w:p>
      <w:pPr>
        <w:pStyle w:val="BodyText"/>
        <w:spacing w:line="316" w:lineRule="auto"/>
        <w:ind w:right="1130"/>
        <w:jc w:val="both"/>
      </w:pPr>
      <w:r>
        <w:rPr>
          <w:spacing w:val="-2"/>
        </w:rPr>
        <w:t>立项批复、采购申请、招投标、合同签订等严格的程序，这导致产品采购主要集中在每年下半年完成。受此影响，服务商的</w:t>
      </w:r>
      <w:r>
        <w:rPr>
          <w:spacing w:val="-68"/>
        </w:rPr>
        <w:t> </w:t>
      </w:r>
      <w:r>
        <w:rPr>
          <w:spacing w:val="-68"/>
        </w:rPr>
      </w:r>
      <w:r>
        <w:rPr>
          <w:spacing w:val="-2"/>
        </w:rPr>
        <w:t>收入多数在每年下半年才能得以确认，经营业绩存在明显的季节性特征。从公司上、下半年营业收入、净利润占全年比重来</w:t>
      </w:r>
      <w:r>
        <w:rPr>
          <w:spacing w:val="-66"/>
        </w:rPr>
        <w:t> </w:t>
      </w:r>
      <w:r>
        <w:rPr>
          <w:spacing w:val="-66"/>
        </w:rPr>
      </w:r>
      <w:r>
        <w:rPr>
          <w:spacing w:val="-2"/>
        </w:rPr>
        <w:t>看，公司下半年营业收入及净利润占全年收入比重较高，呈现较强的季节性特征，投资者不宜以季度或半年度数据推测公司</w:t>
      </w:r>
      <w:r>
        <w:rPr>
          <w:spacing w:val="-66"/>
        </w:rPr>
        <w:t> </w:t>
      </w:r>
      <w:r>
        <w:rPr>
          <w:spacing w:val="-66"/>
        </w:rPr>
      </w:r>
      <w:r>
        <w:rPr/>
        <w:t>全年业绩情况。</w:t>
      </w:r>
    </w:p>
    <w:p>
      <w:pPr>
        <w:pStyle w:val="BodyText"/>
        <w:spacing w:line="240" w:lineRule="auto"/>
        <w:ind w:left="474" w:right="0"/>
        <w:jc w:val="left"/>
      </w:pPr>
      <w:r>
        <w:rPr>
          <w:rFonts w:ascii="宋体" w:hAnsi="宋体" w:cs="宋体" w:eastAsia="宋体" w:hint="default"/>
        </w:rPr>
        <w:t>8</w:t>
      </w:r>
      <w:r>
        <w:rPr/>
        <w:t>、净资产收益率下降的风险</w:t>
      </w:r>
    </w:p>
    <w:p>
      <w:pPr>
        <w:pStyle w:val="BodyText"/>
        <w:spacing w:line="316" w:lineRule="auto" w:before="76"/>
        <w:ind w:right="1131" w:firstLine="360"/>
        <w:jc w:val="both"/>
      </w:pPr>
      <w:r>
        <w:rPr>
          <w:rFonts w:ascii="宋体" w:hAnsi="宋体" w:cs="宋体" w:eastAsia="宋体" w:hint="default"/>
          <w:spacing w:val="-2"/>
        </w:rPr>
        <w:t>2016</w:t>
      </w:r>
      <w:r>
        <w:rPr>
          <w:spacing w:val="-2"/>
        </w:rPr>
        <w:t>年至</w:t>
      </w:r>
      <w:r>
        <w:rPr>
          <w:rFonts w:ascii="宋体" w:hAnsi="宋体" w:cs="宋体" w:eastAsia="宋体" w:hint="default"/>
          <w:spacing w:val="-2"/>
        </w:rPr>
        <w:t>2018</w:t>
      </w:r>
      <w:r>
        <w:rPr>
          <w:spacing w:val="-2"/>
        </w:rPr>
        <w:t>年，公司扣除非经常损益后加权平均净资产收益率分别为</w:t>
      </w:r>
      <w:r>
        <w:rPr>
          <w:rFonts w:ascii="宋体" w:hAnsi="宋体" w:cs="宋体" w:eastAsia="宋体" w:hint="default"/>
          <w:spacing w:val="-2"/>
        </w:rPr>
        <w:t>13.19%</w:t>
      </w:r>
      <w:r>
        <w:rPr>
          <w:spacing w:val="-2"/>
        </w:rPr>
        <w:t>、</w:t>
      </w:r>
      <w:r>
        <w:rPr>
          <w:rFonts w:ascii="宋体" w:hAnsi="宋体" w:cs="宋体" w:eastAsia="宋体" w:hint="default"/>
          <w:spacing w:val="-2"/>
        </w:rPr>
        <w:t>5.87%</w:t>
      </w:r>
      <w:r>
        <w:rPr>
          <w:spacing w:val="-2"/>
        </w:rPr>
        <w:t>和</w:t>
      </w:r>
      <w:r>
        <w:rPr>
          <w:rFonts w:ascii="宋体" w:hAnsi="宋体" w:cs="宋体" w:eastAsia="宋体" w:hint="default"/>
          <w:spacing w:val="-2"/>
        </w:rPr>
        <w:t>6.71%</w:t>
      </w:r>
      <w:r>
        <w:rPr>
          <w:spacing w:val="-2"/>
        </w:rPr>
        <w:t>。公司首次公开发行并在</w:t>
      </w:r>
      <w:r>
        <w:rPr/>
        <w:t> </w:t>
      </w:r>
      <w:r>
        <w:rPr>
          <w:spacing w:val="-2"/>
        </w:rPr>
        <w:t>创业板上市后，公司净资产规模大幅提高。由于募集资金投资项目的实施需要一定时间，在项目建成投产后才能达到预计的</w:t>
      </w:r>
      <w:r>
        <w:rPr>
          <w:spacing w:val="-66"/>
        </w:rPr>
        <w:t> </w:t>
      </w:r>
      <w:r>
        <w:rPr>
          <w:spacing w:val="-66"/>
        </w:rPr>
      </w:r>
      <w:r>
        <w:rPr/>
        <w:t>收益水平，因此，公司存在因净资产增长较大而引发的净资产收益率下降的风险。</w:t>
      </w:r>
    </w:p>
    <w:p>
      <w:pPr>
        <w:pStyle w:val="BodyText"/>
        <w:spacing w:line="316" w:lineRule="auto"/>
        <w:ind w:left="474" w:right="0"/>
        <w:jc w:val="left"/>
      </w:pPr>
      <w:r>
        <w:rPr>
          <w:rFonts w:ascii="宋体" w:hAnsi="宋体" w:cs="宋体" w:eastAsia="宋体" w:hint="default"/>
        </w:rPr>
        <w:t>9</w:t>
      </w:r>
      <w:r>
        <w:rPr/>
        <w:t>、募集资金投资项目未能实现预期效益的风险 </w:t>
      </w:r>
      <w:r>
        <w:rPr>
          <w:spacing w:val="-2"/>
        </w:rPr>
        <w:t>公司首次公开发行并在创业板上市募集资金主要投资于平台软件开发和</w:t>
      </w:r>
      <w:r>
        <w:rPr>
          <w:rFonts w:ascii="宋体" w:hAnsi="宋体" w:cs="宋体" w:eastAsia="宋体" w:hint="default"/>
          <w:spacing w:val="-2"/>
        </w:rPr>
        <w:t>IT</w:t>
      </w:r>
      <w:r>
        <w:rPr>
          <w:spacing w:val="-2"/>
        </w:rPr>
        <w:t>运维体系建设。公司已对各项目进行了充分的</w:t>
      </w:r>
    </w:p>
    <w:p>
      <w:pPr>
        <w:pStyle w:val="BodyText"/>
        <w:spacing w:line="316" w:lineRule="auto"/>
        <w:ind w:right="1131"/>
        <w:jc w:val="both"/>
      </w:pPr>
      <w:r>
        <w:rPr>
          <w:spacing w:val="-2"/>
        </w:rPr>
        <w:t>市场调研和严格的可行性论证，但在项目开发建设过程中，受技术开发的不确定性、技术进步、宏观政策变化、市场变化等</w:t>
      </w:r>
      <w:r>
        <w:rPr>
          <w:spacing w:val="-66"/>
        </w:rPr>
        <w:t> </w:t>
      </w:r>
      <w:r>
        <w:rPr>
          <w:spacing w:val="-66"/>
        </w:rPr>
      </w:r>
      <w:r>
        <w:rPr>
          <w:spacing w:val="-2"/>
        </w:rPr>
        <w:t>诸多因素的影响，募集资金投资项目将可能存在市场发生变化、项目实施进度不能保证、市场营销不理想等方面的风险，可</w:t>
      </w:r>
      <w:r>
        <w:rPr>
          <w:spacing w:val="-66"/>
        </w:rPr>
        <w:t> </w:t>
      </w:r>
      <w:r>
        <w:rPr>
          <w:spacing w:val="-66"/>
        </w:rPr>
      </w:r>
      <w:r>
        <w:rPr/>
        <w:t>能影响项目的投资效益。</w:t>
      </w:r>
    </w:p>
    <w:p>
      <w:pPr>
        <w:pStyle w:val="BodyText"/>
        <w:spacing w:line="316" w:lineRule="auto"/>
        <w:ind w:left="474" w:right="0"/>
        <w:jc w:val="left"/>
      </w:pPr>
      <w:r>
        <w:rPr>
          <w:rFonts w:ascii="宋体" w:hAnsi="宋体" w:cs="宋体" w:eastAsia="宋体" w:hint="default"/>
        </w:rPr>
        <w:t>10</w:t>
      </w:r>
      <w:r>
        <w:rPr/>
        <w:t>、股权分散风险 </w:t>
      </w:r>
      <w:r>
        <w:rPr>
          <w:spacing w:val="-2"/>
        </w:rPr>
        <w:t>本公司现有总股本</w:t>
      </w:r>
      <w:r>
        <w:rPr>
          <w:rFonts w:ascii="宋体" w:hAnsi="宋体" w:cs="宋体" w:eastAsia="宋体" w:hint="default"/>
          <w:spacing w:val="-2"/>
        </w:rPr>
        <w:t>18,116.70</w:t>
      </w:r>
      <w:r>
        <w:rPr>
          <w:spacing w:val="-2"/>
        </w:rPr>
        <w:t>万股，第一大股东范丽明女士持股比例为</w:t>
      </w:r>
      <w:r>
        <w:rPr>
          <w:rFonts w:ascii="宋体" w:hAnsi="宋体" w:cs="宋体" w:eastAsia="宋体" w:hint="default"/>
          <w:spacing w:val="-2"/>
        </w:rPr>
        <w:t>6.64%</w:t>
      </w:r>
      <w:r>
        <w:rPr>
          <w:spacing w:val="-2"/>
        </w:rPr>
        <w:t>，前五大股东持股比例为</w:t>
      </w:r>
      <w:r>
        <w:rPr>
          <w:rFonts w:ascii="宋体" w:hAnsi="宋体" w:cs="宋体" w:eastAsia="宋体" w:hint="default"/>
          <w:spacing w:val="-2"/>
        </w:rPr>
        <w:t>27.83%</w:t>
      </w:r>
      <w:r>
        <w:rPr>
          <w:spacing w:val="-2"/>
        </w:rPr>
        <w:t>，公司股权</w:t>
      </w:r>
    </w:p>
    <w:p>
      <w:pPr>
        <w:pStyle w:val="BodyText"/>
        <w:spacing w:line="316" w:lineRule="auto"/>
        <w:ind w:right="1131"/>
        <w:jc w:val="both"/>
      </w:pPr>
      <w:r>
        <w:rPr>
          <w:spacing w:val="-2"/>
        </w:rPr>
        <w:t>相对分散，使得公司有可能成为被收购对象，如果公司被收购，会导致公司控制权发生变化，可能会给公司业务或经营管理</w:t>
      </w:r>
      <w:r>
        <w:rPr>
          <w:spacing w:val="-66"/>
        </w:rPr>
        <w:t> </w:t>
      </w:r>
      <w:r>
        <w:rPr>
          <w:spacing w:val="-66"/>
        </w:rPr>
      </w:r>
      <w:r>
        <w:rPr/>
        <w:t>等带来一定影响。</w:t>
      </w:r>
    </w:p>
    <w:p>
      <w:pPr>
        <w:spacing w:after="0" w:line="316" w:lineRule="auto"/>
        <w:jc w:val="both"/>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612"/>
        <w:jc w:val="left"/>
      </w:pPr>
      <w:r>
        <w:rPr/>
        <w:t>□ 适用 √ 不适用 公司报告期内未发生接待调研、沟通、采访等活动。</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1"/>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57" w:lineRule="auto" w:before="117"/>
        <w:ind w:left="474" w:right="7152" w:hanging="360"/>
        <w:jc w:val="left"/>
      </w:pPr>
      <w:r>
        <w:rPr/>
        <w:t>√ 适用 □ 不适用 报告期，公司执行的利润分配政策如下：</w:t>
      </w:r>
    </w:p>
    <w:p>
      <w:pPr>
        <w:pStyle w:val="BodyText"/>
        <w:spacing w:line="224" w:lineRule="exact" w:before="0"/>
        <w:ind w:left="474" w:right="0"/>
        <w:jc w:val="left"/>
      </w:pPr>
      <w:r>
        <w:rPr>
          <w:rFonts w:ascii="宋体" w:hAnsi="宋体" w:cs="宋体" w:eastAsia="宋体" w:hint="default"/>
        </w:rPr>
        <w:t>1</w:t>
      </w:r>
      <w:r>
        <w:rPr>
          <w:spacing w:val="-90"/>
        </w:rPr>
        <w:t>、</w:t>
      </w:r>
      <w:r>
        <w:rPr/>
        <w:t>《公司章</w:t>
      </w:r>
      <w:r>
        <w:rPr>
          <w:spacing w:val="1"/>
        </w:rPr>
        <w:t>程</w:t>
      </w:r>
      <w:r>
        <w:rPr/>
        <w:t>》第一百五</w:t>
      </w:r>
      <w:r>
        <w:rPr>
          <w:spacing w:val="1"/>
        </w:rPr>
        <w:t>十</w:t>
      </w:r>
      <w:r>
        <w:rPr/>
        <w:t>四条规定，</w:t>
      </w:r>
      <w:r>
        <w:rPr>
          <w:spacing w:val="1"/>
        </w:rPr>
        <w:t>公</w:t>
      </w:r>
      <w:r>
        <w:rPr/>
        <w:t>司分配当年</w:t>
      </w:r>
      <w:r>
        <w:rPr>
          <w:spacing w:val="1"/>
        </w:rPr>
        <w:t>税</w:t>
      </w:r>
      <w:r>
        <w:rPr/>
        <w:t>后利润时，</w:t>
      </w:r>
      <w:r>
        <w:rPr>
          <w:spacing w:val="1"/>
        </w:rPr>
        <w:t>应</w:t>
      </w:r>
      <w:r>
        <w:rPr/>
        <w:t>当提取利润</w:t>
      </w:r>
      <w:r>
        <w:rPr>
          <w:spacing w:val="1"/>
        </w:rPr>
        <w:t>的</w:t>
      </w:r>
      <w:r>
        <w:rPr>
          <w:rFonts w:ascii="宋体" w:hAnsi="宋体" w:cs="宋体" w:eastAsia="宋体" w:hint="default"/>
          <w:spacing w:val="1"/>
        </w:rPr>
        <w:t>1</w:t>
      </w:r>
      <w:r>
        <w:rPr>
          <w:rFonts w:ascii="宋体" w:hAnsi="宋体" w:cs="宋体" w:eastAsia="宋体" w:hint="default"/>
        </w:rPr>
        <w:t>0%</w:t>
      </w:r>
      <w:r>
        <w:rPr/>
        <w:t>列入公司</w:t>
      </w:r>
      <w:r>
        <w:rPr>
          <w:spacing w:val="1"/>
        </w:rPr>
        <w:t>法</w:t>
      </w:r>
      <w:r>
        <w:rPr/>
        <w:t>定公积金。</w:t>
      </w:r>
      <w:r>
        <w:rPr>
          <w:spacing w:val="1"/>
        </w:rPr>
        <w:t>公</w:t>
      </w:r>
      <w:r>
        <w:rPr/>
        <w:t>司法定</w:t>
      </w:r>
    </w:p>
    <w:p>
      <w:pPr>
        <w:pStyle w:val="BodyText"/>
        <w:spacing w:line="316" w:lineRule="auto" w:before="76"/>
        <w:ind w:left="474" w:right="0" w:hanging="360"/>
        <w:jc w:val="left"/>
      </w:pPr>
      <w:r>
        <w:rPr/>
        <w:t>公积金累计额为公司注册资本的</w:t>
      </w:r>
      <w:r>
        <w:rPr>
          <w:rFonts w:ascii="宋体" w:hAnsi="宋体" w:cs="宋体" w:eastAsia="宋体" w:hint="default"/>
        </w:rPr>
        <w:t>50%</w:t>
      </w:r>
      <w:r>
        <w:rPr/>
        <w:t>以上的，可以不再提取。 公司的法定公积金不足以弥补以前年度亏损的，在依照前款规定提取法定公积金之前，应当先用当年利润弥补亏损。 公司从税后利润中提取法定公积金后，经股东大会决议，还可以从税后利润中提取任意公积金。 </w:t>
      </w:r>
      <w:r>
        <w:rPr>
          <w:spacing w:val="-4"/>
        </w:rPr>
        <w:t>公司弥补亏损和提取公积金后所余税后利润，按照股东持有的股份比例分配，但公司章程规定不按持股比例分配的除外。</w:t>
      </w:r>
      <w:r>
        <w:rPr/>
        <w:t> </w:t>
      </w:r>
      <w:r>
        <w:rPr>
          <w:spacing w:val="-2"/>
        </w:rPr>
        <w:t>股东大会违反前款规定，在公司弥补亏损和提取法定公积金之前向股东分配利润的，股东必须将违反规定分配的利润退</w:t>
      </w:r>
    </w:p>
    <w:p>
      <w:pPr>
        <w:pStyle w:val="BodyText"/>
        <w:spacing w:line="240" w:lineRule="auto"/>
        <w:ind w:right="0"/>
        <w:jc w:val="left"/>
      </w:pPr>
      <w:r>
        <w:rPr/>
        <w:t>还公司。</w:t>
      </w:r>
    </w:p>
    <w:p>
      <w:pPr>
        <w:pStyle w:val="BodyText"/>
        <w:spacing w:line="316" w:lineRule="auto" w:before="76"/>
        <w:ind w:left="474" w:right="1393"/>
        <w:jc w:val="left"/>
      </w:pPr>
      <w:r>
        <w:rPr/>
        <w:t>公司持有的本公司股份不参与分配利润。 </w:t>
      </w:r>
      <w:r>
        <w:rPr>
          <w:rFonts w:ascii="宋体" w:hAnsi="宋体" w:cs="宋体" w:eastAsia="宋体" w:hint="default"/>
          <w:spacing w:val="-3"/>
        </w:rPr>
        <w:t>2</w:t>
      </w:r>
      <w:r>
        <w:rPr>
          <w:spacing w:val="-3"/>
        </w:rPr>
        <w:t>、《公司章程》第一百五十六条规定，公司利润分配的原则、决策程序和机制如下：</w:t>
      </w:r>
    </w:p>
    <w:p>
      <w:pPr>
        <w:pStyle w:val="BodyText"/>
        <w:spacing w:line="316" w:lineRule="auto"/>
        <w:ind w:left="474" w:right="0"/>
        <w:jc w:val="left"/>
      </w:pPr>
      <w:r>
        <w:rPr/>
        <w:t>（</w:t>
      </w:r>
      <w:r>
        <w:rPr>
          <w:rFonts w:ascii="宋体" w:hAnsi="宋体" w:cs="宋体" w:eastAsia="宋体" w:hint="default"/>
        </w:rPr>
        <w:t>1</w:t>
      </w:r>
      <w:r>
        <w:rPr/>
        <w:t>）利润分配政策的基本原则 </w:t>
      </w:r>
      <w:r>
        <w:rPr>
          <w:spacing w:val="-2"/>
        </w:rPr>
        <w:t>公司应根据自身的盈利情况、以前年度亏损弥补状况、未来的业务可持续发展规划、资金使用需求以及利润分配规划等</w:t>
      </w:r>
    </w:p>
    <w:p>
      <w:pPr>
        <w:pStyle w:val="BodyText"/>
        <w:spacing w:line="319" w:lineRule="auto"/>
        <w:ind w:right="0"/>
        <w:jc w:val="left"/>
      </w:pPr>
      <w:r>
        <w:rPr>
          <w:spacing w:val="-2"/>
        </w:rPr>
        <w:t>因素，以实现股东持续、稳定、合理的回报为出发点，并经过董事会充分论证，并充分考虑独立董事、外部监事（若有）和</w:t>
      </w:r>
      <w:r>
        <w:rPr>
          <w:spacing w:val="-68"/>
        </w:rPr>
        <w:t> </w:t>
      </w:r>
      <w:r>
        <w:rPr>
          <w:spacing w:val="-68"/>
        </w:rPr>
      </w:r>
      <w:r>
        <w:rPr/>
        <w:t>中小股东意见的前提下，保持利润分配政策的连续性和稳定性。</w:t>
      </w:r>
    </w:p>
    <w:p>
      <w:pPr>
        <w:pStyle w:val="BodyText"/>
        <w:spacing w:line="240" w:lineRule="auto" w:before="17"/>
        <w:ind w:left="474" w:right="0"/>
        <w:jc w:val="left"/>
      </w:pPr>
      <w:r>
        <w:rPr/>
        <w:t>公司应当严格执行公司章程确定的利润分配政策以及股东大会审议批准的利润分配具体方案。</w:t>
      </w:r>
    </w:p>
    <w:p>
      <w:pPr>
        <w:pStyle w:val="BodyText"/>
        <w:spacing w:line="316" w:lineRule="auto" w:before="76"/>
        <w:ind w:left="474" w:right="0"/>
        <w:jc w:val="left"/>
      </w:pPr>
      <w:r>
        <w:rPr/>
        <w:t>（</w:t>
      </w:r>
      <w:r>
        <w:rPr>
          <w:rFonts w:ascii="宋体" w:hAnsi="宋体" w:cs="宋体" w:eastAsia="宋体" w:hint="default"/>
        </w:rPr>
        <w:t>2</w:t>
      </w:r>
      <w:r>
        <w:rPr/>
        <w:t>）利润分配政策的决策程序和机制 </w:t>
      </w:r>
      <w:r>
        <w:rPr>
          <w:spacing w:val="-2"/>
        </w:rPr>
        <w:t>董事会应于年度报告或半年度报告公布后两个月内，制定利润分配预案，该预案应经全体董事过半数表决通过，独立董</w:t>
      </w:r>
    </w:p>
    <w:p>
      <w:pPr>
        <w:pStyle w:val="BodyText"/>
        <w:spacing w:line="316" w:lineRule="auto"/>
        <w:ind w:right="0"/>
        <w:jc w:val="left"/>
      </w:pPr>
      <w:r>
        <w:rPr>
          <w:spacing w:val="-2"/>
        </w:rPr>
        <w:t>事应对利润分配预案发表明确意见。董事会在制定现金分红具体方案时，应当认真研究和论证公司现金分红的时机、条件和</w:t>
      </w:r>
      <w:r>
        <w:rPr>
          <w:spacing w:val="-66"/>
        </w:rPr>
        <w:t> </w:t>
      </w:r>
      <w:r>
        <w:rPr>
          <w:spacing w:val="-66"/>
        </w:rPr>
      </w:r>
      <w:r>
        <w:rPr/>
        <w:t>最低比例、调整的条件及其决策程序要求等事宜。</w:t>
      </w:r>
    </w:p>
    <w:p>
      <w:pPr>
        <w:pStyle w:val="BodyText"/>
        <w:spacing w:line="316" w:lineRule="auto"/>
        <w:ind w:left="474" w:right="0"/>
        <w:jc w:val="left"/>
      </w:pPr>
      <w:r>
        <w:rPr/>
        <w:t>公司监事会应对利润分配预案进行审议，并经全体监事过半数表决通过，外部监事（若有）应当发表明确意见。 </w:t>
      </w:r>
      <w:r>
        <w:rPr>
          <w:spacing w:val="-2"/>
        </w:rPr>
        <w:t>利润分配预案经董事会和监事会审议通过后提交公司股东大会审议。股东大会对现金分红具体方案进行审议前，公司应</w:t>
      </w:r>
    </w:p>
    <w:p>
      <w:pPr>
        <w:pStyle w:val="BodyText"/>
        <w:spacing w:line="316" w:lineRule="auto"/>
        <w:ind w:right="1032"/>
        <w:jc w:val="left"/>
      </w:pPr>
      <w:r>
        <w:rPr>
          <w:spacing w:val="-2"/>
        </w:rPr>
        <w:t>当通过多种渠道主动与股东特别是中小股东进行沟通和交流，充分听取中小股东的意见和诉求，及时答复中小股东关心的问</w:t>
      </w:r>
      <w:r>
        <w:rPr>
          <w:spacing w:val="-64"/>
        </w:rPr>
        <w:t> </w:t>
      </w:r>
      <w:r>
        <w:rPr>
          <w:spacing w:val="-64"/>
        </w:rPr>
      </w:r>
      <w:r>
        <w:rPr/>
        <w:t>题。股东大会对利润分配相关方案进行审议时，应采取现场投票和网络投票相结合的方式，便于中小股东充分行使表决权。</w:t>
      </w:r>
      <w:r>
        <w:rPr/>
        <w:t> </w:t>
      </w:r>
      <w:r>
        <w:rPr>
          <w:spacing w:val="-2"/>
        </w:rPr>
        <w:t>除下述第（四）项另有规定外，利润分配预案应当经出席股东大会的股东（包括股东代理人）所持表决权的二分之一（</w:t>
      </w:r>
      <w:r>
        <w:rPr>
          <w:rFonts w:ascii="宋体" w:hAnsi="宋体" w:cs="宋体" w:eastAsia="宋体" w:hint="default"/>
          <w:spacing w:val="-2"/>
        </w:rPr>
        <w:t>1/2</w:t>
      </w:r>
      <w:r>
        <w:rPr>
          <w:spacing w:val="-2"/>
        </w:rPr>
        <w:t>）</w:t>
      </w:r>
      <w:r>
        <w:rPr>
          <w:spacing w:val="-64"/>
        </w:rPr>
        <w:t> </w:t>
      </w:r>
      <w:r>
        <w:rPr/>
        <w:t>以上通过。</w:t>
      </w:r>
    </w:p>
    <w:p>
      <w:pPr>
        <w:pStyle w:val="BodyText"/>
        <w:spacing w:line="316" w:lineRule="auto"/>
        <w:ind w:left="474" w:right="1122"/>
        <w:jc w:val="left"/>
      </w:pPr>
      <w:r>
        <w:rPr/>
        <w:t>（</w:t>
      </w:r>
      <w:r>
        <w:rPr>
          <w:rFonts w:ascii="宋体" w:hAnsi="宋体" w:cs="宋体" w:eastAsia="宋体" w:hint="default"/>
        </w:rPr>
        <w:t>3</w:t>
      </w:r>
      <w:r>
        <w:rPr/>
        <w:t>）利润分配的实施 公司股东大会对利润分配方案作出决议后，公司董事会须在股东大会召开后</w:t>
      </w:r>
      <w:r>
        <w:rPr>
          <w:rFonts w:ascii="宋体" w:hAnsi="宋体" w:cs="宋体" w:eastAsia="宋体" w:hint="default"/>
        </w:rPr>
        <w:t>2</w:t>
      </w:r>
      <w:r>
        <w:rPr/>
        <w:t>个月内完成股利（或股份）的派发事项。</w:t>
      </w:r>
    </w:p>
    <w:p>
      <w:pPr>
        <w:pStyle w:val="BodyText"/>
        <w:spacing w:line="316" w:lineRule="auto"/>
        <w:ind w:left="474" w:right="0"/>
        <w:jc w:val="left"/>
      </w:pPr>
      <w:r>
        <w:rPr/>
        <w:t>（</w:t>
      </w:r>
      <w:r>
        <w:rPr>
          <w:rFonts w:ascii="宋体" w:hAnsi="宋体" w:cs="宋体" w:eastAsia="宋体" w:hint="default"/>
        </w:rPr>
        <w:t>4</w:t>
      </w:r>
      <w:r>
        <w:rPr/>
        <w:t>）利润分配政策的调整 </w:t>
      </w:r>
      <w:r>
        <w:rPr>
          <w:spacing w:val="-2"/>
        </w:rPr>
        <w:t>公司根据生产经营情况、投资规划和长期发展的需要，或者外部经营环境发生变化，公司董事会确有必要对利润分配政</w:t>
      </w:r>
    </w:p>
    <w:p>
      <w:pPr>
        <w:pStyle w:val="BodyText"/>
        <w:spacing w:line="316" w:lineRule="auto"/>
        <w:ind w:right="0"/>
        <w:jc w:val="left"/>
      </w:pPr>
      <w:r>
        <w:rPr>
          <w:spacing w:val="-2"/>
        </w:rPr>
        <w:t>策（尤其是现金分红政策）进行调整或者变更的，应以股东权益尤其是中小股东利益保护为出发点，制订利润分配政策的修</w:t>
      </w:r>
      <w:r>
        <w:rPr>
          <w:spacing w:val="-66"/>
        </w:rPr>
        <w:t> </w:t>
      </w:r>
      <w:r>
        <w:rPr>
          <w:spacing w:val="-66"/>
        </w:rPr>
      </w:r>
      <w:r>
        <w:rPr/>
        <w:t>订方案，详细论证和说明修订原因。修订方案应经全体董事过半数表决通过，独立董事应当发表明确意见。</w:t>
      </w:r>
    </w:p>
    <w:p>
      <w:pPr>
        <w:pStyle w:val="BodyText"/>
        <w:spacing w:line="316" w:lineRule="auto"/>
        <w:ind w:left="474" w:right="0"/>
        <w:jc w:val="left"/>
      </w:pPr>
      <w:r>
        <w:rPr/>
        <w:t>公司监事会应对利润分配修订方案进行审议，并经全体监事过半数表决通过，外部监事（若有）应当发表明确意见。 </w:t>
      </w:r>
      <w:r>
        <w:rPr>
          <w:spacing w:val="-2"/>
        </w:rPr>
        <w:t>利润分配修订方案经董事会和监事会审议通过后提交股东大会审议，并经出席股东大会的股东（包括股东代理人）所持</w:t>
      </w:r>
    </w:p>
    <w:p>
      <w:pPr>
        <w:pStyle w:val="BodyText"/>
        <w:spacing w:line="316" w:lineRule="auto"/>
        <w:ind w:right="1122"/>
        <w:jc w:val="left"/>
      </w:pPr>
      <w:r>
        <w:rPr/>
        <w:t>表决权的三分之二（</w:t>
      </w:r>
      <w:r>
        <w:rPr>
          <w:rFonts w:ascii="宋体" w:hAnsi="宋体" w:cs="宋体" w:eastAsia="宋体" w:hint="default"/>
        </w:rPr>
        <w:t>2/3</w:t>
      </w:r>
      <w:r>
        <w:rPr/>
        <w:t>）以上通过。调整后的利润分配政策不得违反中国证券监督管理委员会和深圳证券交易所的有关规</w:t>
      </w:r>
      <w:r>
        <w:rPr>
          <w:spacing w:val="-83"/>
        </w:rPr>
        <w:t> </w:t>
      </w:r>
      <w:r>
        <w:rPr>
          <w:spacing w:val="-83"/>
        </w:rPr>
      </w:r>
      <w:r>
        <w:rPr/>
        <w:t>定。</w:t>
      </w:r>
    </w:p>
    <w:p>
      <w:pPr>
        <w:pStyle w:val="BodyText"/>
        <w:spacing w:line="240" w:lineRule="auto"/>
        <w:ind w:left="474" w:right="0"/>
        <w:jc w:val="left"/>
      </w:pPr>
      <w:r>
        <w:rPr>
          <w:rFonts w:ascii="宋体" w:hAnsi="宋体" w:cs="宋体" w:eastAsia="宋体" w:hint="default"/>
        </w:rPr>
        <w:t>3</w:t>
      </w:r>
      <w:r>
        <w:rPr>
          <w:spacing w:val="-90"/>
        </w:rPr>
        <w:t>、</w:t>
      </w:r>
      <w:r>
        <w:rPr/>
        <w:t>《公司章程》第一百五十七条规定，公司利润分配具体政策如下：</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474" w:right="0"/>
        <w:jc w:val="left"/>
      </w:pPr>
      <w:r>
        <w:rPr/>
        <w:t>（</w:t>
      </w:r>
      <w:r>
        <w:rPr>
          <w:rFonts w:ascii="宋体" w:hAnsi="宋体" w:cs="宋体" w:eastAsia="宋体" w:hint="default"/>
        </w:rPr>
        <w:t>1</w:t>
      </w:r>
      <w:r>
        <w:rPr/>
        <w:t>）可分配利润 </w:t>
      </w:r>
      <w:r>
        <w:rPr>
          <w:spacing w:val="-2"/>
        </w:rPr>
        <w:t>公司按公司章程第一百五十四条的规定确定可分配利润，利润分配不得超过公司累计可供分配利润的范围，不得损害公</w:t>
      </w:r>
    </w:p>
    <w:p>
      <w:pPr>
        <w:pStyle w:val="BodyText"/>
        <w:spacing w:line="240" w:lineRule="auto"/>
        <w:ind w:right="0"/>
        <w:jc w:val="left"/>
      </w:pPr>
      <w:r>
        <w:rPr/>
        <w:t>司持续经营能力。</w:t>
      </w:r>
    </w:p>
    <w:p>
      <w:pPr>
        <w:pStyle w:val="BodyText"/>
        <w:spacing w:line="319" w:lineRule="auto" w:before="76"/>
        <w:ind w:left="474" w:right="0"/>
        <w:jc w:val="left"/>
      </w:pPr>
      <w:r>
        <w:rPr/>
        <w:t>（</w:t>
      </w:r>
      <w:r>
        <w:rPr>
          <w:rFonts w:ascii="宋体" w:hAnsi="宋体" w:cs="宋体" w:eastAsia="宋体" w:hint="default"/>
        </w:rPr>
        <w:t>2</w:t>
      </w:r>
      <w:r>
        <w:rPr/>
        <w:t>）利润分配的形式及优先顺序 </w:t>
      </w:r>
      <w:r>
        <w:rPr>
          <w:spacing w:val="-2"/>
        </w:rPr>
        <w:t>公司可以采用现金、股票或者现金与股票相结合的方式或者法律、法规允许的其他方式分配利润。公司优先采用现金分</w:t>
      </w:r>
    </w:p>
    <w:p>
      <w:pPr>
        <w:pStyle w:val="BodyText"/>
        <w:spacing w:line="240" w:lineRule="auto" w:before="17"/>
        <w:ind w:right="0"/>
        <w:jc w:val="left"/>
      </w:pPr>
      <w:r>
        <w:rPr/>
        <w:t>红的利润分配方式，并且，公司具备现金分红条件的，应当采用现金分红进行利润分配。</w:t>
      </w:r>
    </w:p>
    <w:p>
      <w:pPr>
        <w:pStyle w:val="BodyText"/>
        <w:spacing w:line="316" w:lineRule="auto" w:before="76"/>
        <w:ind w:left="564" w:right="0" w:hanging="90"/>
        <w:jc w:val="left"/>
      </w:pPr>
      <w:r>
        <w:rPr/>
        <w:t>（</w:t>
      </w:r>
      <w:r>
        <w:rPr>
          <w:rFonts w:ascii="宋体" w:hAnsi="宋体" w:cs="宋体" w:eastAsia="宋体" w:hint="default"/>
        </w:rPr>
        <w:t>3</w:t>
      </w:r>
      <w:r>
        <w:rPr/>
        <w:t>）利润分配的条件、期间间隔和最低比例 </w:t>
      </w:r>
      <w:r>
        <w:rPr>
          <w:rFonts w:ascii="宋体" w:hAnsi="宋体" w:cs="宋体" w:eastAsia="宋体" w:hint="default"/>
          <w:spacing w:val="-2"/>
        </w:rPr>
        <w:t>1</w:t>
      </w:r>
      <w:r>
        <w:rPr>
          <w:spacing w:val="-2"/>
        </w:rPr>
        <w:t>）在公司累计未分配利润期末余额为正、当期可分配利润为正且公司现金流可以满足公司正常经营和可持续发展的情</w:t>
      </w:r>
    </w:p>
    <w:p>
      <w:pPr>
        <w:pStyle w:val="BodyText"/>
        <w:spacing w:line="316" w:lineRule="auto"/>
        <w:ind w:right="0"/>
        <w:jc w:val="left"/>
      </w:pPr>
      <w:r>
        <w:rPr>
          <w:spacing w:val="-2"/>
        </w:rPr>
        <w:t>况下，公司原则上每年进行一次现金分红，未来三年以现金方式累计分配的利润不少于该三年实现的年均可分配利润的</w:t>
      </w:r>
      <w:r>
        <w:rPr>
          <w:rFonts w:ascii="宋体" w:hAnsi="宋体" w:cs="宋体" w:eastAsia="宋体" w:hint="default"/>
          <w:spacing w:val="-2"/>
        </w:rPr>
        <w:t>45%</w:t>
      </w:r>
      <w:r>
        <w:rPr>
          <w:spacing w:val="-2"/>
        </w:rPr>
        <w:t>。</w:t>
      </w:r>
      <w:r>
        <w:rPr>
          <w:spacing w:val="-60"/>
        </w:rPr>
        <w:t> </w:t>
      </w:r>
      <w:r>
        <w:rPr/>
        <w:t>在满足利润分配的具体条件时，公司每年以现金方式累计分配的利润不少于当年实现的可分配利润的</w:t>
      </w:r>
      <w:r>
        <w:rPr>
          <w:rFonts w:ascii="宋体" w:hAnsi="宋体" w:cs="宋体" w:eastAsia="宋体" w:hint="default"/>
        </w:rPr>
        <w:t>15%</w:t>
      </w:r>
      <w:r>
        <w:rPr/>
        <w:t>，确因特殊原因不</w:t>
      </w:r>
      <w:r>
        <w:rPr>
          <w:spacing w:val="-81"/>
        </w:rPr>
        <w:t> </w:t>
      </w:r>
      <w:r>
        <w:rPr>
          <w:spacing w:val="-81"/>
        </w:rPr>
      </w:r>
      <w:r>
        <w:rPr/>
        <w:t>能达到上述比例的，按照公司章程第一百五十六条第（四）款的规定处理。</w:t>
      </w:r>
    </w:p>
    <w:p>
      <w:pPr>
        <w:pStyle w:val="BodyText"/>
        <w:spacing w:line="316" w:lineRule="auto"/>
        <w:ind w:right="1132" w:firstLine="360"/>
        <w:jc w:val="both"/>
      </w:pPr>
      <w:r>
        <w:rPr>
          <w:spacing w:val="-2"/>
        </w:rPr>
        <w:t>在确保足额现金股利分配的前提下，公司可以另行增加股票股利方式分配利润。公司采用股票股利进行利润分配的，应</w:t>
      </w:r>
      <w:r>
        <w:rPr/>
        <w:t> </w:t>
      </w:r>
      <w:r>
        <w:rPr>
          <w:spacing w:val="-2"/>
        </w:rPr>
        <w:t>当具有公司成长性、每股净资产的摊薄等真实合理因素，应充分考虑以股票方式分配利润后的总股本是否与公司目前的经营</w:t>
      </w:r>
      <w:r>
        <w:rPr>
          <w:spacing w:val="-64"/>
        </w:rPr>
        <w:t> </w:t>
      </w:r>
      <w:r>
        <w:rPr>
          <w:spacing w:val="-64"/>
        </w:rPr>
      </w:r>
      <w:r>
        <w:rPr/>
        <w:t>规模、盈利增长速度相适应，并考虑对未来债权融资成本的影响，以确保分配方案符合全体股东的整体利益。</w:t>
      </w:r>
    </w:p>
    <w:p>
      <w:pPr>
        <w:pStyle w:val="BodyText"/>
        <w:spacing w:line="316" w:lineRule="auto"/>
        <w:ind w:left="474" w:right="0"/>
        <w:jc w:val="left"/>
      </w:pPr>
      <w:r>
        <w:rPr/>
        <w:t>公司董事会可以根据公司的实际经营状况提议公司进行中期现金分红。 利润分配不得超过累计可分配利润的范围，且利润分配政策不得违反国家相关法规的规定。 </w:t>
      </w:r>
      <w:r>
        <w:rPr>
          <w:rFonts w:ascii="宋体" w:hAnsi="宋体" w:cs="宋体" w:eastAsia="宋体" w:hint="default"/>
          <w:spacing w:val="-2"/>
        </w:rPr>
        <w:t>2</w:t>
      </w:r>
      <w:r>
        <w:rPr>
          <w:spacing w:val="-2"/>
        </w:rPr>
        <w:t>）公司董事会应当综合考虑所处行业特点、发展阶段、自身经营模式、盈利水平以及是否有重大资金支出安排等因素，</w:t>
      </w:r>
    </w:p>
    <w:p>
      <w:pPr>
        <w:pStyle w:val="BodyText"/>
        <w:spacing w:line="316" w:lineRule="auto"/>
        <w:ind w:left="474" w:right="0" w:hanging="360"/>
        <w:jc w:val="left"/>
      </w:pPr>
      <w:r>
        <w:rPr/>
        <w:t>区分下列情形，并按照公司章程规定的程序，提出差异化的现金分红政策： 公司发展阶段属成熟期且无重大资金支出安排的，进行利润分配时，现金分红在本次利润分配中所占比例最低应达到</w:t>
      </w:r>
    </w:p>
    <w:p>
      <w:pPr>
        <w:pStyle w:val="BodyText"/>
        <w:spacing w:line="240" w:lineRule="auto"/>
        <w:ind w:right="0"/>
        <w:jc w:val="left"/>
      </w:pPr>
      <w:r>
        <w:rPr>
          <w:rFonts w:ascii="宋体" w:hAnsi="宋体" w:cs="宋体" w:eastAsia="宋体" w:hint="default"/>
        </w:rPr>
        <w:t>80%</w:t>
      </w:r>
      <w:r>
        <w:rPr/>
        <w:t>；</w:t>
      </w:r>
    </w:p>
    <w:p>
      <w:pPr>
        <w:pStyle w:val="BodyText"/>
        <w:spacing w:line="316" w:lineRule="auto" w:before="76"/>
        <w:ind w:right="1118" w:firstLine="360"/>
        <w:jc w:val="left"/>
      </w:pPr>
      <w:r>
        <w:rPr/>
        <w:t>公司发展阶段属成熟期且有重大资金支出安排的，进行利润分配时，现金分红在本次利润分配中所占比例最低应达到 </w:t>
      </w:r>
      <w:r>
        <w:rPr>
          <w:rFonts w:ascii="宋体" w:hAnsi="宋体" w:cs="宋体" w:eastAsia="宋体" w:hint="default"/>
        </w:rPr>
        <w:t>40%</w:t>
      </w:r>
      <w:r>
        <w:rPr/>
        <w:t>；</w:t>
      </w:r>
    </w:p>
    <w:p>
      <w:pPr>
        <w:pStyle w:val="BodyText"/>
        <w:spacing w:line="316" w:lineRule="auto"/>
        <w:ind w:right="1118" w:firstLine="360"/>
        <w:jc w:val="left"/>
      </w:pPr>
      <w:r>
        <w:rPr/>
        <w:t>公司发展阶段属成长期且有重大资金支出安排的，进行利润分配时，现金分红在本次利润分配中所占比例最低应达到 </w:t>
      </w:r>
      <w:r>
        <w:rPr>
          <w:rFonts w:ascii="宋体" w:hAnsi="宋体" w:cs="宋体" w:eastAsia="宋体" w:hint="default"/>
        </w:rPr>
        <w:t>20%</w:t>
      </w:r>
      <w:r>
        <w:rPr/>
        <w:t>；</w:t>
      </w:r>
    </w:p>
    <w:p>
      <w:pPr>
        <w:pStyle w:val="BodyText"/>
        <w:spacing w:line="316" w:lineRule="auto"/>
        <w:ind w:left="474" w:right="4452"/>
        <w:jc w:val="left"/>
      </w:pPr>
      <w:r>
        <w:rPr/>
        <w:t>公司发展阶段不易区分但有重大资金支出安排的，可以按照前项规定处理。 重大资金支出指下列情况之一：</w:t>
      </w:r>
    </w:p>
    <w:p>
      <w:pPr>
        <w:pStyle w:val="BodyText"/>
        <w:spacing w:line="316" w:lineRule="auto"/>
        <w:ind w:right="1118" w:firstLine="360"/>
        <w:jc w:val="left"/>
      </w:pPr>
      <w:r>
        <w:rPr>
          <w:spacing w:val="3"/>
        </w:rPr>
        <w:t>公司未来十二个月内拟对外投资、收购资产或购买设备累计支出达到或超过公司最近一期经审计净资产的</w:t>
      </w:r>
      <w:r>
        <w:rPr>
          <w:rFonts w:ascii="宋体" w:hAnsi="宋体" w:cs="宋体" w:eastAsia="宋体" w:hint="default"/>
          <w:spacing w:val="3"/>
        </w:rPr>
        <w:t>50%</w:t>
      </w:r>
      <w:r>
        <w:rPr>
          <w:spacing w:val="3"/>
        </w:rPr>
        <w:t>且超过</w:t>
      </w:r>
      <w:r>
        <w:rPr>
          <w:spacing w:val="4"/>
        </w:rPr>
        <w:t> </w:t>
      </w:r>
      <w:r>
        <w:rPr>
          <w:rFonts w:ascii="宋体" w:hAnsi="宋体" w:cs="宋体" w:eastAsia="宋体" w:hint="default"/>
        </w:rPr>
        <w:t>3,000</w:t>
      </w:r>
      <w:r>
        <w:rPr/>
        <w:t>万元；</w:t>
      </w:r>
    </w:p>
    <w:p>
      <w:pPr>
        <w:pStyle w:val="BodyText"/>
        <w:spacing w:line="240" w:lineRule="auto"/>
        <w:ind w:left="474" w:right="0"/>
        <w:jc w:val="left"/>
      </w:pPr>
      <w:r>
        <w:rPr/>
        <w:t>公司未来十二个月内拟对外投资、收购资产或购买设备累计支出达到或超过公司最近一期经审计总资产的</w:t>
      </w:r>
      <w:r>
        <w:rPr>
          <w:rFonts w:ascii="宋体" w:hAnsi="宋体" w:cs="宋体" w:eastAsia="宋体" w:hint="default"/>
        </w:rPr>
        <w:t>30%</w:t>
      </w:r>
      <w:r>
        <w:rPr/>
        <w:t>。</w:t>
      </w:r>
    </w:p>
    <w:p>
      <w:pPr>
        <w:pStyle w:val="BodyText"/>
        <w:spacing w:line="316" w:lineRule="auto" w:before="76"/>
        <w:ind w:left="474" w:right="0"/>
        <w:jc w:val="left"/>
      </w:pPr>
      <w:r>
        <w:rPr/>
        <w:t>（</w:t>
      </w:r>
      <w:r>
        <w:rPr>
          <w:rFonts w:ascii="宋体" w:hAnsi="宋体" w:cs="宋体" w:eastAsia="宋体" w:hint="default"/>
        </w:rPr>
        <w:t>4</w:t>
      </w:r>
      <w:r>
        <w:rPr/>
        <w:t>）存在股东违规占用公司资金情况的，公司应当扣减该股东分配的现金红利，以偿还其占用的资金。 报告期内，公司严格按照以上利润分配政策和审议程序实施利润分配方案，具体执行情况如下： </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日召开</w:t>
      </w:r>
      <w:r>
        <w:rPr>
          <w:rFonts w:ascii="宋体" w:hAnsi="宋体" w:cs="宋体" w:eastAsia="宋体" w:hint="default"/>
          <w:spacing w:val="-2"/>
        </w:rPr>
        <w:t>2017</w:t>
      </w:r>
      <w:r>
        <w:rPr>
          <w:spacing w:val="-2"/>
        </w:rPr>
        <w:t>年度股东大会，审议通过了《关于公司</w:t>
      </w:r>
      <w:r>
        <w:rPr>
          <w:rFonts w:ascii="宋体" w:hAnsi="宋体" w:cs="宋体" w:eastAsia="宋体" w:hint="default"/>
          <w:spacing w:val="-2"/>
        </w:rPr>
        <w:t>2017</w:t>
      </w:r>
      <w:r>
        <w:rPr>
          <w:spacing w:val="-2"/>
        </w:rPr>
        <w:t>年度利润分配预案的议案》，公司以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p>
    <w:p>
      <w:pPr>
        <w:pStyle w:val="BodyText"/>
        <w:spacing w:line="316" w:lineRule="auto"/>
        <w:ind w:right="1130"/>
        <w:jc w:val="both"/>
      </w:pPr>
      <w:r>
        <w:rPr>
          <w:spacing w:val="-3"/>
        </w:rPr>
        <w:t>总股本</w:t>
      </w:r>
      <w:r>
        <w:rPr>
          <w:rFonts w:ascii="宋体" w:hAnsi="宋体" w:cs="宋体" w:eastAsia="宋体" w:hint="default"/>
          <w:spacing w:val="-3"/>
        </w:rPr>
        <w:t>12000</w:t>
      </w:r>
      <w:r>
        <w:rPr>
          <w:spacing w:val="-3"/>
        </w:rPr>
        <w:t>万股为基数，每</w:t>
      </w:r>
      <w:r>
        <w:rPr>
          <w:rFonts w:ascii="宋体" w:hAnsi="宋体" w:cs="宋体" w:eastAsia="宋体" w:hint="default"/>
          <w:spacing w:val="-3"/>
        </w:rPr>
        <w:t>10</w:t>
      </w:r>
      <w:r>
        <w:rPr>
          <w:spacing w:val="-3"/>
        </w:rPr>
        <w:t>股派发现金红利人民币</w:t>
      </w:r>
      <w:r>
        <w:rPr>
          <w:rFonts w:ascii="宋体" w:hAnsi="宋体" w:cs="宋体" w:eastAsia="宋体" w:hint="default"/>
          <w:spacing w:val="-3"/>
        </w:rPr>
        <w:t>1.00</w:t>
      </w:r>
      <w:r>
        <w:rPr>
          <w:spacing w:val="-3"/>
        </w:rPr>
        <w:t>元（含税），共分配现金红利人民币</w:t>
      </w:r>
      <w:r>
        <w:rPr>
          <w:rFonts w:ascii="宋体" w:hAnsi="宋体" w:cs="宋体" w:eastAsia="宋体" w:hint="default"/>
          <w:spacing w:val="-3"/>
        </w:rPr>
        <w:t>12,000,000</w:t>
      </w:r>
      <w:r>
        <w:rPr>
          <w:spacing w:val="-3"/>
        </w:rPr>
        <w:t>元（含税），以资</w:t>
      </w:r>
      <w:r>
        <w:rPr>
          <w:spacing w:val="-68"/>
        </w:rPr>
        <w:t> </w:t>
      </w:r>
      <w:r>
        <w:rPr>
          <w:spacing w:val="-68"/>
        </w:rPr>
      </w:r>
      <w:r>
        <w:rPr/>
        <w:t>本公积金向全体股东每</w:t>
      </w:r>
      <w:r>
        <w:rPr>
          <w:rFonts w:ascii="宋体" w:hAnsi="宋体" w:cs="宋体" w:eastAsia="宋体" w:hint="default"/>
        </w:rPr>
        <w:t>10</w:t>
      </w:r>
      <w:r>
        <w:rPr/>
        <w:t>股转增</w:t>
      </w:r>
      <w:r>
        <w:rPr>
          <w:rFonts w:ascii="宋体" w:hAnsi="宋体" w:cs="宋体" w:eastAsia="宋体" w:hint="default"/>
        </w:rPr>
        <w:t>5</w:t>
      </w:r>
      <w:r>
        <w:rPr/>
        <w:t>股，若在分配方案实施前公司总股本由于股份回购、股权激励行权等原因而发生变化的，</w:t>
      </w:r>
      <w:r>
        <w:rPr>
          <w:spacing w:val="-83"/>
        </w:rPr>
        <w:t> </w:t>
      </w:r>
      <w:r>
        <w:rPr>
          <w:spacing w:val="-83"/>
        </w:rPr>
      </w:r>
      <w:r>
        <w:rPr>
          <w:spacing w:val="-2"/>
        </w:rPr>
        <w:t>公司将按照“现金分红总额、送红股总额、转增股本总额固定不变”的原则，在利润分配实施公告中披露按公司最新总股本</w:t>
      </w:r>
      <w:r>
        <w:rPr>
          <w:spacing w:val="-66"/>
        </w:rPr>
        <w:t> </w:t>
      </w:r>
      <w:r>
        <w:rPr>
          <w:spacing w:val="-66"/>
        </w:rPr>
      </w:r>
      <w:r>
        <w:rPr/>
        <w:t>计算的分配比例。</w:t>
      </w:r>
    </w:p>
    <w:p>
      <w:pPr>
        <w:pStyle w:val="BodyText"/>
        <w:spacing w:line="316" w:lineRule="auto"/>
        <w:ind w:right="1042"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日召开公司</w:t>
      </w:r>
      <w:r>
        <w:rPr>
          <w:rFonts w:ascii="宋体" w:hAnsi="宋体" w:cs="宋体" w:eastAsia="宋体" w:hint="default"/>
          <w:spacing w:val="-2"/>
        </w:rPr>
        <w:t>2018</w:t>
      </w:r>
      <w:r>
        <w:rPr>
          <w:spacing w:val="-2"/>
        </w:rPr>
        <w:t>年第一次临时股东大会，审议通过了《关于</w:t>
      </w:r>
      <w:r>
        <w:rPr>
          <w:rFonts w:ascii="宋体" w:hAnsi="宋体" w:cs="宋体" w:eastAsia="宋体" w:hint="default"/>
          <w:spacing w:val="-2"/>
        </w:rPr>
        <w:t>&lt;</w:t>
      </w:r>
      <w:r>
        <w:rPr>
          <w:spacing w:val="-2"/>
        </w:rPr>
        <w:t>北京先进数通信息技术股份公司</w:t>
      </w:r>
      <w:r>
        <w:rPr>
          <w:rFonts w:ascii="宋体" w:hAnsi="宋体" w:cs="宋体" w:eastAsia="宋体" w:hint="default"/>
          <w:spacing w:val="-2"/>
        </w:rPr>
        <w:t>2018</w:t>
      </w:r>
      <w:r>
        <w:rPr>
          <w:spacing w:val="-2"/>
        </w:rPr>
        <w:t>年限制性</w:t>
      </w:r>
      <w:r>
        <w:rPr/>
        <w:t> </w:t>
      </w:r>
      <w:r>
        <w:rPr>
          <w:spacing w:val="-2"/>
        </w:rPr>
        <w:t>股票激励计划（草案）</w:t>
      </w:r>
      <w:r>
        <w:rPr>
          <w:rFonts w:ascii="宋体" w:hAnsi="宋体" w:cs="宋体" w:eastAsia="宋体" w:hint="default"/>
          <w:spacing w:val="-2"/>
        </w:rPr>
        <w:t>&gt;</w:t>
      </w:r>
      <w:r>
        <w:rPr>
          <w:spacing w:val="-2"/>
        </w:rPr>
        <w:t>及其摘要的议案》。</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日，公司第二届董事会</w:t>
      </w:r>
      <w:r>
        <w:rPr>
          <w:rFonts w:ascii="宋体" w:hAnsi="宋体" w:cs="宋体" w:eastAsia="宋体" w:hint="default"/>
          <w:spacing w:val="-2"/>
        </w:rPr>
        <w:t>2018</w:t>
      </w:r>
      <w:r>
        <w:rPr>
          <w:spacing w:val="-2"/>
        </w:rPr>
        <w:t>年第三次临时会议和第二届监事会</w:t>
      </w:r>
      <w:r>
        <w:rPr>
          <w:rFonts w:ascii="宋体" w:hAnsi="宋体" w:cs="宋体" w:eastAsia="宋体" w:hint="default"/>
          <w:spacing w:val="-2"/>
        </w:rPr>
        <w:t>2018</w:t>
      </w:r>
      <w:r>
        <w:rPr>
          <w:rFonts w:ascii="宋体" w:hAnsi="宋体" w:cs="宋体" w:eastAsia="宋体" w:hint="default"/>
          <w:spacing w:val="-49"/>
        </w:rPr>
        <w:t> </w:t>
      </w:r>
      <w:r>
        <w:rPr>
          <w:spacing w:val="-5"/>
        </w:rPr>
        <w:t>年第三次临时会议审议通过了《关于调整</w:t>
      </w:r>
      <w:r>
        <w:rPr>
          <w:rFonts w:ascii="宋体" w:hAnsi="宋体" w:cs="宋体" w:eastAsia="宋体" w:hint="default"/>
          <w:spacing w:val="-5"/>
        </w:rPr>
        <w:t>2018</w:t>
      </w:r>
      <w:r>
        <w:rPr>
          <w:spacing w:val="-5"/>
        </w:rPr>
        <w:t>年限制性股票激励计划激励对象名单及授予权益数量的议案》、《关于向激励对</w:t>
      </w:r>
      <w:r>
        <w:rPr>
          <w:spacing w:val="-67"/>
        </w:rPr>
        <w:t> </w:t>
      </w:r>
      <w:r>
        <w:rPr>
          <w:spacing w:val="-67"/>
        </w:rPr>
      </w:r>
      <w:r>
        <w:rPr>
          <w:spacing w:val="-2"/>
        </w:rPr>
        <w:t>象授予限制性股票的议案》，授予的激励对象共</w:t>
      </w:r>
      <w:r>
        <w:rPr>
          <w:rFonts w:ascii="宋体" w:hAnsi="宋体" w:cs="宋体" w:eastAsia="宋体" w:hint="default"/>
          <w:spacing w:val="-2"/>
        </w:rPr>
        <w:t>74</w:t>
      </w:r>
      <w:r>
        <w:rPr>
          <w:spacing w:val="-2"/>
        </w:rPr>
        <w:t>人，授予的价格为：</w:t>
      </w:r>
      <w:r>
        <w:rPr>
          <w:rFonts w:ascii="宋体" w:hAnsi="宋体" w:cs="宋体" w:eastAsia="宋体" w:hint="default"/>
          <w:spacing w:val="-2"/>
        </w:rPr>
        <w:t>11.19</w:t>
      </w:r>
      <w:r>
        <w:rPr>
          <w:spacing w:val="-2"/>
        </w:rPr>
        <w:t>元</w:t>
      </w:r>
      <w:r>
        <w:rPr>
          <w:rFonts w:ascii="宋体" w:hAnsi="宋体" w:cs="宋体" w:eastAsia="宋体" w:hint="default"/>
          <w:spacing w:val="-2"/>
        </w:rPr>
        <w:t>/</w:t>
      </w:r>
      <w:r>
        <w:rPr>
          <w:spacing w:val="-2"/>
        </w:rPr>
        <w:t>股，首次授予的限制性股票数量为</w:t>
      </w:r>
      <w:r>
        <w:rPr>
          <w:rFonts w:ascii="宋体" w:hAnsi="宋体" w:cs="宋体" w:eastAsia="宋体" w:hint="default"/>
          <w:spacing w:val="-2"/>
        </w:rPr>
        <w:t>116.70</w:t>
      </w:r>
      <w:r>
        <w:rPr>
          <w:spacing w:val="-2"/>
        </w:rPr>
        <w:t>万</w:t>
      </w:r>
      <w:r>
        <w:rPr>
          <w:spacing w:val="-51"/>
        </w:rPr>
        <w:t> </w:t>
      </w:r>
      <w:r>
        <w:rPr>
          <w:spacing w:val="-10"/>
        </w:rPr>
        <w:t>股。大信会计师事务所（特殊普通合伙）于</w:t>
      </w:r>
      <w:r>
        <w:rPr>
          <w:rFonts w:ascii="宋体" w:hAnsi="宋体" w:cs="宋体" w:eastAsia="宋体" w:hint="default"/>
          <w:spacing w:val="-10"/>
        </w:rPr>
        <w:t>2018</w:t>
      </w:r>
      <w:r>
        <w:rPr>
          <w:spacing w:val="-10"/>
        </w:rPr>
        <w:t>年</w:t>
      </w:r>
      <w:r>
        <w:rPr>
          <w:rFonts w:ascii="宋体" w:hAnsi="宋体" w:cs="宋体" w:eastAsia="宋体" w:hint="default"/>
          <w:spacing w:val="-10"/>
        </w:rPr>
        <w:t>5</w:t>
      </w:r>
      <w:r>
        <w:rPr>
          <w:spacing w:val="-10"/>
        </w:rPr>
        <w:t>月</w:t>
      </w:r>
      <w:r>
        <w:rPr>
          <w:rFonts w:ascii="宋体" w:hAnsi="宋体" w:cs="宋体" w:eastAsia="宋体" w:hint="default"/>
          <w:spacing w:val="-10"/>
        </w:rPr>
        <w:t>22</w:t>
      </w:r>
      <w:r>
        <w:rPr>
          <w:spacing w:val="-10"/>
        </w:rPr>
        <w:t>日出具了《北京先进数通信息技术股份公司验资报告》（大信验字［</w:t>
      </w:r>
      <w:r>
        <w:rPr>
          <w:rFonts w:ascii="宋体" w:hAnsi="宋体" w:cs="宋体" w:eastAsia="宋体" w:hint="default"/>
          <w:spacing w:val="-10"/>
        </w:rPr>
        <w:t>2018</w:t>
      </w:r>
      <w:r>
        <w:rPr>
          <w:spacing w:val="-10"/>
        </w:rPr>
        <w:t>］</w:t>
      </w:r>
      <w:r>
        <w:rPr>
          <w:spacing w:val="-84"/>
        </w:rPr>
        <w:t> </w:t>
      </w:r>
      <w:r>
        <w:rPr>
          <w:spacing w:val="-3"/>
        </w:rPr>
        <w:t>第</w:t>
      </w:r>
      <w:r>
        <w:rPr>
          <w:rFonts w:ascii="宋体" w:hAnsi="宋体" w:cs="宋体" w:eastAsia="宋体" w:hint="default"/>
          <w:spacing w:val="-3"/>
        </w:rPr>
        <w:t>1-00061</w:t>
      </w:r>
      <w:r>
        <w:rPr>
          <w:spacing w:val="-3"/>
        </w:rPr>
        <w:t>号），审验了公司截至</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日止新增注册资本实收情况，认为：截至</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日止，公司已收到股权激</w:t>
      </w:r>
      <w:r>
        <w:rPr>
          <w:spacing w:val="-70"/>
        </w:rPr>
        <w:t> </w:t>
      </w:r>
      <w:r>
        <w:rPr>
          <w:spacing w:val="-70"/>
        </w:rPr>
      </w:r>
      <w:r>
        <w:rPr>
          <w:spacing w:val="2"/>
        </w:rPr>
        <w:t>励对象缴入的出资款人民币</w:t>
      </w:r>
      <w:r>
        <w:rPr>
          <w:rFonts w:ascii="宋体" w:hAnsi="宋体" w:cs="宋体" w:eastAsia="宋体" w:hint="default"/>
          <w:spacing w:val="2"/>
        </w:rPr>
        <w:t>13,058,730.00</w:t>
      </w:r>
      <w:r>
        <w:rPr>
          <w:spacing w:val="2"/>
        </w:rPr>
        <w:t>元，其中计入“股本”人民币</w:t>
      </w:r>
      <w:r>
        <w:rPr>
          <w:rFonts w:ascii="宋体" w:hAnsi="宋体" w:cs="宋体" w:eastAsia="宋体" w:hint="default"/>
          <w:spacing w:val="2"/>
        </w:rPr>
        <w:t>1,167,000.00</w:t>
      </w:r>
      <w:r>
        <w:rPr>
          <w:spacing w:val="2"/>
        </w:rPr>
        <w:t>元，计入资本公积（股本溢价）为</w:t>
      </w:r>
      <w:r>
        <w:rPr>
          <w:spacing w:val="-59"/>
        </w:rPr>
        <w:t> </w:t>
      </w:r>
      <w:r>
        <w:rPr>
          <w:spacing w:val="-59"/>
        </w:rPr>
      </w:r>
      <w:r>
        <w:rPr>
          <w:rFonts w:ascii="宋体" w:hAnsi="宋体" w:cs="宋体" w:eastAsia="宋体" w:hint="default"/>
        </w:rPr>
        <w:t>11,891,730.00</w:t>
      </w:r>
      <w:r>
        <w:rPr/>
        <w:t>元。截至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22</w:t>
      </w:r>
      <w:r>
        <w:rPr/>
        <w:t>日止，公司变更后的累计注册资本实收金额为人民币</w:t>
      </w:r>
      <w:r>
        <w:rPr>
          <w:rFonts w:ascii="宋体" w:hAnsi="宋体" w:cs="宋体" w:eastAsia="宋体" w:hint="default"/>
        </w:rPr>
        <w:t>121,167,000.00</w:t>
      </w:r>
      <w:r>
        <w:rPr/>
        <w:t>元，实收股本为</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rFonts w:ascii="宋体" w:hAnsi="宋体" w:cs="宋体" w:eastAsia="宋体" w:hint="default"/>
        </w:rPr>
        <w:t>121,167,000.00</w:t>
      </w:r>
      <w:r>
        <w:rPr/>
        <w:t>元。</w:t>
      </w:r>
    </w:p>
    <w:p>
      <w:pPr>
        <w:pStyle w:val="BodyText"/>
        <w:spacing w:line="240" w:lineRule="auto" w:before="76"/>
        <w:ind w:left="474" w:right="0"/>
        <w:jc w:val="left"/>
      </w:pP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11</w:t>
      </w:r>
      <w:r>
        <w:rPr>
          <w:spacing w:val="4"/>
        </w:rPr>
        <w:t>日发布</w:t>
      </w:r>
      <w:r>
        <w:rPr>
          <w:rFonts w:ascii="宋体" w:hAnsi="宋体" w:cs="宋体" w:eastAsia="宋体" w:hint="default"/>
          <w:spacing w:val="4"/>
        </w:rPr>
        <w:t>2017</w:t>
      </w:r>
      <w:r>
        <w:rPr>
          <w:spacing w:val="4"/>
        </w:rPr>
        <w:t>年年度权益分派实施方案：以公司现有总股本</w:t>
      </w:r>
      <w:r>
        <w:rPr>
          <w:rFonts w:ascii="宋体" w:hAnsi="宋体" w:cs="宋体" w:eastAsia="宋体" w:hint="default"/>
          <w:spacing w:val="4"/>
        </w:rPr>
        <w:t>121,167,000</w:t>
      </w:r>
      <w:r>
        <w:rPr>
          <w:spacing w:val="4"/>
        </w:rPr>
        <w:t>股为基数，向全体股东每</w:t>
      </w:r>
      <w:r>
        <w:rPr>
          <w:rFonts w:ascii="宋体" w:hAnsi="宋体" w:cs="宋体" w:eastAsia="宋体" w:hint="default"/>
          <w:spacing w:val="4"/>
        </w:rPr>
        <w:t>10</w:t>
      </w:r>
      <w:r>
        <w:rPr>
          <w:spacing w:val="4"/>
        </w:rPr>
        <w:t>股派</w:t>
      </w:r>
      <w:r>
        <w:rPr/>
      </w:r>
    </w:p>
    <w:p>
      <w:pPr>
        <w:pStyle w:val="BodyText"/>
        <w:spacing w:line="240" w:lineRule="auto" w:before="76"/>
        <w:ind w:right="0"/>
        <w:jc w:val="left"/>
      </w:pPr>
      <w:r>
        <w:rPr>
          <w:rFonts w:ascii="宋体" w:hAnsi="宋体" w:cs="宋体" w:eastAsia="宋体" w:hint="default"/>
          <w:spacing w:val="5"/>
        </w:rPr>
        <w:t>0.990368</w:t>
      </w:r>
      <w:r>
        <w:rPr>
          <w:spacing w:val="5"/>
        </w:rPr>
        <w:t>元人民币现金，同时，以公司现有总股本</w:t>
      </w:r>
      <w:r>
        <w:rPr>
          <w:rFonts w:ascii="宋体" w:hAnsi="宋体" w:cs="宋体" w:eastAsia="宋体" w:hint="default"/>
          <w:spacing w:val="5"/>
        </w:rPr>
        <w:t>121,167,000</w:t>
      </w:r>
      <w:r>
        <w:rPr>
          <w:spacing w:val="5"/>
        </w:rPr>
        <w:t>股为基数，每</w:t>
      </w:r>
      <w:r>
        <w:rPr>
          <w:rFonts w:ascii="宋体" w:hAnsi="宋体" w:cs="宋体" w:eastAsia="宋体" w:hint="default"/>
          <w:spacing w:val="5"/>
        </w:rPr>
        <w:t>10</w:t>
      </w:r>
      <w:r>
        <w:rPr>
          <w:spacing w:val="5"/>
        </w:rPr>
        <w:t>股转增</w:t>
      </w:r>
      <w:r>
        <w:rPr>
          <w:rFonts w:ascii="宋体" w:hAnsi="宋体" w:cs="宋体" w:eastAsia="宋体" w:hint="default"/>
          <w:spacing w:val="5"/>
        </w:rPr>
        <w:t>4.951843</w:t>
      </w:r>
      <w:r>
        <w:rPr>
          <w:spacing w:val="5"/>
        </w:rPr>
        <w:t>股，分红后总股本增至</w:t>
      </w:r>
    </w:p>
    <w:p>
      <w:pPr>
        <w:pStyle w:val="BodyText"/>
        <w:spacing w:line="240" w:lineRule="auto" w:before="76"/>
        <w:ind w:right="0"/>
        <w:jc w:val="left"/>
      </w:pPr>
      <w:r>
        <w:rPr>
          <w:rFonts w:ascii="宋体" w:hAnsi="宋体" w:cs="宋体" w:eastAsia="宋体" w:hint="default"/>
        </w:rPr>
        <w:t>181,166,996</w:t>
      </w:r>
      <w:r>
        <w:rPr/>
        <w:t>股。上述</w:t>
      </w:r>
      <w:r>
        <w:rPr>
          <w:rFonts w:ascii="宋体" w:hAnsi="宋体" w:cs="宋体" w:eastAsia="宋体" w:hint="default"/>
        </w:rPr>
        <w:t>2017</w:t>
      </w:r>
      <w:r>
        <w:rPr/>
        <w:t>年年度利润分配方案于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19</w:t>
      </w:r>
      <w:r>
        <w:rPr/>
        <w:t>日实施完毕。</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514"/>
        <w:gridCol w:w="3078"/>
      </w:tblGrid>
      <w:tr>
        <w:trPr>
          <w:trHeight w:val="402" w:hRule="exact"/>
        </w:trPr>
        <w:tc>
          <w:tcPr>
            <w:tcW w:w="95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60" w:lineRule="auto" w:before="117"/>
        <w:ind w:right="4272"/>
        <w:jc w:val="left"/>
      </w:pPr>
      <w:r>
        <w:rPr/>
        <w:t>√ 是 □ 否 □ 不适用 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4466"/>
        <w:gridCol w:w="5073"/>
      </w:tblGrid>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181,166,996</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268,108,998.88</w:t>
            </w:r>
          </w:p>
        </w:tc>
      </w:tr>
      <w:tr>
        <w:trPr>
          <w:trHeight w:val="407" w:hRule="exact"/>
        </w:trPr>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公司董事会提出的利润分配预案为：以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181,166,996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0.6623 </w:t>
            </w:r>
            <w:r>
              <w:rPr>
                <w:rFonts w:ascii="宋体" w:hAnsi="宋体" w:cs="宋体" w:eastAsia="宋体" w:hint="default"/>
                <w:spacing w:val="-13"/>
                <w:sz w:val="18"/>
                <w:szCs w:val="18"/>
              </w:rPr>
              <w:t>元（含税），不</w:t>
            </w:r>
            <w:r>
              <w:rPr>
                <w:rFonts w:ascii="宋体" w:hAnsi="宋体" w:cs="宋体" w:eastAsia="宋体" w:hint="default"/>
                <w:sz w:val="18"/>
                <w:szCs w:val="18"/>
              </w:rPr>
              <w:t> 以公积金转增股本，不送红股。</w:t>
            </w:r>
          </w:p>
        </w:tc>
      </w:tr>
    </w:tbl>
    <w:p>
      <w:pPr>
        <w:pStyle w:val="BodyText"/>
        <w:spacing w:line="240" w:lineRule="auto" w:before="65"/>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57" w:lineRule="auto" w:before="0"/>
        <w:ind w:left="474" w:right="1122" w:hanging="360"/>
        <w:jc w:val="left"/>
      </w:pPr>
      <w:r>
        <w:rPr>
          <w:rFonts w:ascii="宋体" w:hAnsi="宋体" w:cs="宋体" w:eastAsia="宋体" w:hint="default"/>
        </w:rPr>
        <w:t>2016</w:t>
      </w:r>
      <w:r>
        <w:rPr/>
        <w:t>年度利润分配情况： 公司</w:t>
      </w:r>
      <w:r>
        <w:rPr>
          <w:rFonts w:ascii="宋体" w:hAnsi="宋体" w:cs="宋体" w:eastAsia="宋体" w:hint="default"/>
        </w:rPr>
        <w:t>2016</w:t>
      </w:r>
      <w:r>
        <w:rPr/>
        <w:t>年度实现的利润为</w:t>
      </w:r>
      <w:r>
        <w:rPr>
          <w:rFonts w:ascii="宋体" w:hAnsi="宋体" w:cs="宋体" w:eastAsia="宋体" w:hint="default"/>
        </w:rPr>
        <w:t>59,507,668.12</w:t>
      </w:r>
      <w:r>
        <w:rPr/>
        <w:t>元，提取</w:t>
      </w:r>
      <w:r>
        <w:rPr>
          <w:rFonts w:ascii="宋体" w:hAnsi="宋体" w:cs="宋体" w:eastAsia="宋体" w:hint="default"/>
        </w:rPr>
        <w:t>5,950,766.81</w:t>
      </w:r>
      <w:r>
        <w:rPr/>
        <w:t>元作为法定公积金，截至</w:t>
      </w:r>
      <w:r>
        <w:rPr>
          <w:rFonts w:ascii="宋体" w:hAnsi="宋体" w:cs="宋体" w:eastAsia="宋体" w:hint="default"/>
        </w:rPr>
        <w:t>2016</w:t>
      </w:r>
      <w:r>
        <w:rPr/>
        <w:t>年末公司未分配利润为</w:t>
      </w:r>
    </w:p>
    <w:p>
      <w:pPr>
        <w:pStyle w:val="BodyText"/>
        <w:spacing w:line="224" w:lineRule="exact" w:before="0"/>
        <w:ind w:right="0"/>
        <w:jc w:val="left"/>
      </w:pPr>
      <w:r>
        <w:rPr>
          <w:rFonts w:ascii="宋体" w:hAnsi="宋体" w:cs="宋体" w:eastAsia="宋体" w:hint="default"/>
        </w:rPr>
        <w:t>207,826,384.07</w:t>
      </w:r>
      <w:r>
        <w:rPr/>
        <w:t>元</w:t>
      </w:r>
      <w:r>
        <w:rPr>
          <w:spacing w:val="-58"/>
        </w:rPr>
        <w:t>。</w:t>
      </w:r>
      <w:r>
        <w:rPr/>
        <w:t>公司以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12000</w:t>
      </w:r>
      <w:r>
        <w:rPr/>
        <w:t>万股为基数</w:t>
      </w:r>
      <w:r>
        <w:rPr>
          <w:spacing w:val="-58"/>
        </w:rPr>
        <w:t>，</w:t>
      </w:r>
      <w:r>
        <w:rPr/>
        <w:t>向全体股东每</w:t>
      </w:r>
      <w:r>
        <w:rPr>
          <w:rFonts w:ascii="宋体" w:hAnsi="宋体" w:cs="宋体" w:eastAsia="宋体" w:hint="default"/>
        </w:rPr>
        <w:t>10</w:t>
      </w:r>
      <w:r>
        <w:rPr/>
        <w:t>股派发现金红利人民币</w:t>
      </w:r>
      <w:r>
        <w:rPr>
          <w:rFonts w:ascii="宋体" w:hAnsi="宋体" w:cs="宋体" w:eastAsia="宋体" w:hint="default"/>
        </w:rPr>
        <w:t>1.00</w:t>
      </w:r>
      <w:r>
        <w:rPr>
          <w:spacing w:val="-58"/>
        </w:rPr>
        <w:t>元</w:t>
      </w:r>
      <w:r>
        <w:rPr/>
        <w:t>（含税</w:t>
      </w:r>
      <w:r>
        <w:rPr>
          <w:spacing w:val="-90"/>
        </w:rPr>
        <w:t>）</w:t>
      </w:r>
      <w:r>
        <w:rPr/>
        <w:t>，</w:t>
      </w:r>
    </w:p>
    <w:p>
      <w:pPr>
        <w:pStyle w:val="BodyText"/>
        <w:spacing w:line="240" w:lineRule="auto" w:before="77"/>
        <w:ind w:right="0"/>
        <w:jc w:val="left"/>
      </w:pPr>
      <w:r>
        <w:rPr/>
        <w:t>共分配现金红利人民币</w:t>
      </w:r>
      <w:r>
        <w:rPr>
          <w:rFonts w:ascii="宋体" w:hAnsi="宋体" w:cs="宋体" w:eastAsia="宋体" w:hint="default"/>
        </w:rPr>
        <w:t>12,000,000</w:t>
      </w:r>
      <w:r>
        <w:rPr/>
        <w:t>元（含税</w:t>
      </w:r>
      <w:r>
        <w:rPr>
          <w:spacing w:val="-90"/>
        </w:rPr>
        <w:t>）</w:t>
      </w:r>
      <w:r>
        <w:rPr/>
        <w:t>。不以公积金转增股本，不送红股。</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1122" w:hanging="360"/>
        <w:jc w:val="left"/>
      </w:pPr>
      <w:r>
        <w:rPr>
          <w:rFonts w:ascii="宋体" w:hAnsi="宋体" w:cs="宋体" w:eastAsia="宋体" w:hint="default"/>
        </w:rPr>
        <w:t>2017</w:t>
      </w:r>
      <w:r>
        <w:rPr/>
        <w:t>年度利润分配情况： 公司</w:t>
      </w:r>
      <w:r>
        <w:rPr>
          <w:rFonts w:ascii="宋体" w:hAnsi="宋体" w:cs="宋体" w:eastAsia="宋体" w:hint="default"/>
        </w:rPr>
        <w:t>2017</w:t>
      </w:r>
      <w:r>
        <w:rPr/>
        <w:t>年度实现的利润为</w:t>
      </w:r>
      <w:r>
        <w:rPr>
          <w:rFonts w:ascii="宋体" w:hAnsi="宋体" w:cs="宋体" w:eastAsia="宋体" w:hint="default"/>
        </w:rPr>
        <w:t>42,930,074.35</w:t>
      </w:r>
      <w:r>
        <w:rPr/>
        <w:t>元，提取</w:t>
      </w:r>
      <w:r>
        <w:rPr>
          <w:rFonts w:ascii="宋体" w:hAnsi="宋体" w:cs="宋体" w:eastAsia="宋体" w:hint="default"/>
        </w:rPr>
        <w:t>4,478,165.30</w:t>
      </w:r>
      <w:r>
        <w:rPr/>
        <w:t>元作为法定公积金，截至</w:t>
      </w:r>
      <w:r>
        <w:rPr>
          <w:rFonts w:ascii="宋体" w:hAnsi="宋体" w:cs="宋体" w:eastAsia="宋体" w:hint="default"/>
        </w:rPr>
        <w:t>2017</w:t>
      </w:r>
      <w:r>
        <w:rPr/>
        <w:t>年末公司未分配利润为</w:t>
      </w:r>
    </w:p>
    <w:p>
      <w:pPr>
        <w:pStyle w:val="BodyText"/>
        <w:spacing w:line="224" w:lineRule="exact" w:before="0"/>
        <w:ind w:right="0"/>
        <w:jc w:val="left"/>
      </w:pPr>
      <w:r>
        <w:rPr>
          <w:rFonts w:ascii="宋体" w:hAnsi="宋体" w:cs="宋体" w:eastAsia="宋体" w:hint="default"/>
        </w:rPr>
        <w:t>234,278,293.12</w:t>
      </w:r>
      <w:r>
        <w:rPr/>
        <w:t>元，资本公积金</w:t>
      </w:r>
      <w:r>
        <w:rPr>
          <w:rFonts w:ascii="宋体" w:hAnsi="宋体" w:cs="宋体" w:eastAsia="宋体" w:hint="default"/>
        </w:rPr>
        <w:t>355,267,253.00</w:t>
      </w:r>
      <w:r>
        <w:rPr/>
        <w:t>元。公司</w:t>
      </w:r>
      <w:r>
        <w:rPr>
          <w:rFonts w:ascii="宋体" w:hAnsi="宋体" w:cs="宋体" w:eastAsia="宋体" w:hint="default"/>
        </w:rPr>
        <w:t>2017</w:t>
      </w:r>
      <w:r>
        <w:rPr/>
        <w:t>年度的利润分配方案为：以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12000</w:t>
      </w:r>
      <w:r>
        <w:rPr/>
        <w:t>万股</w:t>
      </w:r>
    </w:p>
    <w:p>
      <w:pPr>
        <w:pStyle w:val="BodyText"/>
        <w:spacing w:line="319" w:lineRule="auto" w:before="76"/>
        <w:ind w:right="1032"/>
        <w:jc w:val="left"/>
      </w:pPr>
      <w:r>
        <w:rPr>
          <w:spacing w:val="-5"/>
        </w:rPr>
        <w:t>为基数，每</w:t>
      </w:r>
      <w:r>
        <w:rPr>
          <w:rFonts w:ascii="宋体" w:hAnsi="宋体" w:cs="宋体" w:eastAsia="宋体" w:hint="default"/>
          <w:spacing w:val="-5"/>
        </w:rPr>
        <w:t>10</w:t>
      </w:r>
      <w:r>
        <w:rPr>
          <w:spacing w:val="-5"/>
        </w:rPr>
        <w:t>股派发现金红利人民币</w:t>
      </w:r>
      <w:r>
        <w:rPr>
          <w:rFonts w:ascii="宋体" w:hAnsi="宋体" w:cs="宋体" w:eastAsia="宋体" w:hint="default"/>
          <w:spacing w:val="-5"/>
        </w:rPr>
        <w:t>1.00</w:t>
      </w:r>
      <w:r>
        <w:rPr>
          <w:spacing w:val="-5"/>
        </w:rPr>
        <w:t>元（含税），共分配现金红利人民币</w:t>
      </w:r>
      <w:r>
        <w:rPr>
          <w:rFonts w:ascii="宋体" w:hAnsi="宋体" w:cs="宋体" w:eastAsia="宋体" w:hint="default"/>
          <w:spacing w:val="-5"/>
        </w:rPr>
        <w:t>12,000,000</w:t>
      </w:r>
      <w:r>
        <w:rPr>
          <w:spacing w:val="-5"/>
        </w:rPr>
        <w:t>元（含税），以资本公积金向全体股</w:t>
      </w:r>
      <w:r>
        <w:rPr>
          <w:spacing w:val="-38"/>
        </w:rPr>
        <w:t> </w:t>
      </w:r>
      <w:r>
        <w:rPr>
          <w:spacing w:val="-38"/>
        </w:rPr>
      </w:r>
      <w:r>
        <w:rPr/>
        <w:t>东每</w:t>
      </w:r>
      <w:r>
        <w:rPr>
          <w:rFonts w:ascii="宋体" w:hAnsi="宋体" w:cs="宋体" w:eastAsia="宋体" w:hint="default"/>
        </w:rPr>
        <w:t>10</w:t>
      </w:r>
      <w:r>
        <w:rPr/>
        <w:t>股转增</w:t>
      </w:r>
      <w:r>
        <w:rPr>
          <w:rFonts w:ascii="宋体" w:hAnsi="宋体" w:cs="宋体" w:eastAsia="宋体" w:hint="default"/>
        </w:rPr>
        <w:t>5</w:t>
      </w:r>
      <w:r>
        <w:rPr/>
        <w:t>股，若在分配方案实施前公司总股本由于股份回购、股权激励行权等原因而发生变化的，公司将按照“现金</w:t>
      </w:r>
      <w:r>
        <w:rPr>
          <w:spacing w:val="-82"/>
        </w:rPr>
        <w:t> </w:t>
      </w:r>
      <w:r>
        <w:rPr>
          <w:spacing w:val="-82"/>
        </w:rPr>
      </w:r>
      <w:r>
        <w:rPr/>
        <w:t>分红总额、送红股总额、转增股本总额固定不变”的原则，在利润分配实施公告中披露按公司最新总股本计算的分配比例。 由于利润分配方案实施前，公司实施了股权激励，公司股本变更为</w:t>
      </w:r>
      <w:r>
        <w:rPr>
          <w:rFonts w:ascii="宋体" w:hAnsi="宋体" w:cs="宋体" w:eastAsia="宋体" w:hint="default"/>
        </w:rPr>
        <w:t>121,167,000</w:t>
      </w:r>
      <w:r>
        <w:rPr/>
        <w:t>股，因此，</w:t>
      </w:r>
      <w:r>
        <w:rPr>
          <w:rFonts w:ascii="宋体" w:hAnsi="宋体" w:cs="宋体" w:eastAsia="宋体" w:hint="default"/>
        </w:rPr>
        <w:t>2017</w:t>
      </w:r>
      <w:r>
        <w:rPr/>
        <w:t>年年度权益分派最终实施方</w:t>
      </w:r>
      <w:r>
        <w:rPr>
          <w:spacing w:val="-84"/>
        </w:rPr>
        <w:t> </w:t>
      </w:r>
      <w:r>
        <w:rPr>
          <w:spacing w:val="-84"/>
        </w:rPr>
      </w:r>
      <w:r>
        <w:rPr>
          <w:spacing w:val="8"/>
        </w:rPr>
        <w:t>案为：以公司总股本</w:t>
      </w:r>
      <w:r>
        <w:rPr>
          <w:rFonts w:ascii="宋体" w:hAnsi="宋体" w:cs="宋体" w:eastAsia="宋体" w:hint="default"/>
          <w:spacing w:val="8"/>
        </w:rPr>
        <w:t>121,167,000</w:t>
      </w:r>
      <w:r>
        <w:rPr>
          <w:spacing w:val="8"/>
        </w:rPr>
        <w:t>股为基数，向全体股东每</w:t>
      </w:r>
      <w:r>
        <w:rPr>
          <w:rFonts w:ascii="宋体" w:hAnsi="宋体" w:cs="宋体" w:eastAsia="宋体" w:hint="default"/>
          <w:spacing w:val="8"/>
        </w:rPr>
        <w:t>10</w:t>
      </w:r>
      <w:r>
        <w:rPr>
          <w:spacing w:val="8"/>
        </w:rPr>
        <w:t>股派</w:t>
      </w:r>
      <w:r>
        <w:rPr>
          <w:rFonts w:ascii="宋体" w:hAnsi="宋体" w:cs="宋体" w:eastAsia="宋体" w:hint="default"/>
          <w:spacing w:val="8"/>
        </w:rPr>
        <w:t>0.990368</w:t>
      </w:r>
      <w:r>
        <w:rPr>
          <w:spacing w:val="8"/>
        </w:rPr>
        <w:t>元人民币现金，同时，以公司现有总股本</w:t>
      </w:r>
      <w:r>
        <w:rPr>
          <w:spacing w:val="-70"/>
        </w:rPr>
        <w:t> </w:t>
      </w:r>
      <w:r>
        <w:rPr>
          <w:spacing w:val="-70"/>
        </w:rPr>
      </w:r>
      <w:r>
        <w:rPr>
          <w:rFonts w:ascii="宋体" w:hAnsi="宋体" w:cs="宋体" w:eastAsia="宋体" w:hint="default"/>
        </w:rPr>
        <w:t>121,167,000</w:t>
      </w:r>
      <w:r>
        <w:rPr/>
        <w:t>股为基数，每</w:t>
      </w:r>
      <w:r>
        <w:rPr>
          <w:rFonts w:ascii="宋体" w:hAnsi="宋体" w:cs="宋体" w:eastAsia="宋体" w:hint="default"/>
        </w:rPr>
        <w:t>10</w:t>
      </w:r>
      <w:r>
        <w:rPr/>
        <w:t>股转增</w:t>
      </w:r>
      <w:r>
        <w:rPr>
          <w:rFonts w:ascii="宋体" w:hAnsi="宋体" w:cs="宋体" w:eastAsia="宋体" w:hint="default"/>
        </w:rPr>
        <w:t>4.951843</w:t>
      </w:r>
      <w:r>
        <w:rPr/>
        <w:t>股，分红后总股本增加至</w:t>
      </w:r>
      <w:r>
        <w:rPr>
          <w:rFonts w:ascii="宋体" w:hAnsi="宋体" w:cs="宋体" w:eastAsia="宋体" w:hint="default"/>
        </w:rPr>
        <w:t>181,166,996</w:t>
      </w:r>
      <w:r>
        <w:rPr/>
        <w:t>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57" w:lineRule="auto" w:before="0"/>
        <w:ind w:left="474" w:right="1122" w:hanging="360"/>
        <w:jc w:val="left"/>
      </w:pPr>
      <w:r>
        <w:rPr>
          <w:rFonts w:ascii="宋体" w:hAnsi="宋体" w:cs="宋体" w:eastAsia="宋体" w:hint="default"/>
        </w:rPr>
        <w:t>2018</w:t>
      </w:r>
      <w:r>
        <w:rPr/>
        <w:t>年度利润分配情况： 公司</w:t>
      </w:r>
      <w:r>
        <w:rPr>
          <w:rFonts w:ascii="宋体" w:hAnsi="宋体" w:cs="宋体" w:eastAsia="宋体" w:hint="default"/>
        </w:rPr>
        <w:t>2018</w:t>
      </w:r>
      <w:r>
        <w:rPr/>
        <w:t>年度实现的利润为</w:t>
      </w:r>
      <w:r>
        <w:rPr>
          <w:rFonts w:ascii="宋体" w:hAnsi="宋体" w:cs="宋体" w:eastAsia="宋体" w:hint="default"/>
        </w:rPr>
        <w:t>51,188,116.34</w:t>
      </w:r>
      <w:r>
        <w:rPr/>
        <w:t>元，提取</w:t>
      </w:r>
      <w:r>
        <w:rPr>
          <w:rFonts w:ascii="宋体" w:hAnsi="宋体" w:cs="宋体" w:eastAsia="宋体" w:hint="default"/>
        </w:rPr>
        <w:t>5,357,418.64</w:t>
      </w:r>
      <w:r>
        <w:rPr/>
        <w:t>元作为法定公积金，截至</w:t>
      </w:r>
      <w:r>
        <w:rPr>
          <w:rFonts w:ascii="宋体" w:hAnsi="宋体" w:cs="宋体" w:eastAsia="宋体" w:hint="default"/>
        </w:rPr>
        <w:t>2018</w:t>
      </w:r>
      <w:r>
        <w:rPr/>
        <w:t>年末公司未分配利润为</w:t>
      </w:r>
    </w:p>
    <w:p>
      <w:pPr>
        <w:pStyle w:val="BodyText"/>
        <w:spacing w:line="224" w:lineRule="exact" w:before="0"/>
        <w:ind w:right="0"/>
        <w:jc w:val="left"/>
      </w:pPr>
      <w:r>
        <w:rPr>
          <w:rFonts w:ascii="宋体" w:hAnsi="宋体" w:cs="宋体" w:eastAsia="宋体" w:hint="default"/>
        </w:rPr>
        <w:t>268,108,998.88</w:t>
      </w:r>
      <w:r>
        <w:rPr/>
        <w:t>元，资本公积金</w:t>
      </w:r>
      <w:r>
        <w:rPr>
          <w:rFonts w:ascii="宋体" w:hAnsi="宋体" w:cs="宋体" w:eastAsia="宋体" w:hint="default"/>
        </w:rPr>
        <w:t>313,052,012.83</w:t>
      </w:r>
      <w:r>
        <w:rPr/>
        <w:t>元。公司拟以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181,166,996</w:t>
      </w:r>
      <w:r>
        <w:rPr/>
        <w:t>股为基数，每</w:t>
      </w:r>
      <w:r>
        <w:rPr>
          <w:rFonts w:ascii="宋体" w:hAnsi="宋体" w:cs="宋体" w:eastAsia="宋体" w:hint="default"/>
        </w:rPr>
        <w:t>10</w:t>
      </w:r>
      <w:r>
        <w:rPr/>
        <w:t>股派发现</w:t>
      </w:r>
    </w:p>
    <w:p>
      <w:pPr>
        <w:pStyle w:val="BodyText"/>
        <w:spacing w:line="240" w:lineRule="auto" w:before="77"/>
        <w:ind w:right="0"/>
        <w:jc w:val="left"/>
      </w:pPr>
      <w:r>
        <w:rPr/>
        <w:t>金红利人民币</w:t>
      </w:r>
      <w:r>
        <w:rPr>
          <w:rFonts w:ascii="宋体" w:hAnsi="宋体" w:cs="宋体" w:eastAsia="宋体" w:hint="default"/>
        </w:rPr>
        <w:t>0.6623</w:t>
      </w:r>
      <w:r>
        <w:rPr/>
        <w:t>元（含税</w:t>
      </w:r>
      <w:r>
        <w:rPr>
          <w:spacing w:val="-90"/>
        </w:rPr>
        <w:t>）</w:t>
      </w:r>
      <w:r>
        <w:rPr/>
        <w:t>，共分配现金红利不超过人民币</w:t>
      </w:r>
      <w:r>
        <w:rPr>
          <w:rFonts w:ascii="宋体" w:hAnsi="宋体" w:cs="宋体" w:eastAsia="宋体" w:hint="default"/>
        </w:rPr>
        <w:t>12,000,000</w:t>
      </w:r>
      <w:r>
        <w:rPr/>
        <w:t>元（含税</w:t>
      </w:r>
      <w:r>
        <w:rPr>
          <w:spacing w:val="-90"/>
        </w:rPr>
        <w:t>）</w:t>
      </w:r>
      <w:r>
        <w:rPr/>
        <w:t>，不以公积金转增股本，不送红股。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0"/>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51,188,116.34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 w:right="0"/>
              <w:jc w:val="center"/>
              <w:rPr>
                <w:rFonts w:ascii="Times New Roman" w:hAnsi="Times New Roman" w:cs="Times New Roman" w:eastAsia="Times New Roman" w:hint="default"/>
                <w:sz w:val="16"/>
                <w:szCs w:val="16"/>
              </w:rPr>
            </w:pPr>
            <w:r>
              <w:rPr>
                <w:rFonts w:ascii="Times New Roman"/>
                <w:sz w:val="16"/>
              </w:rPr>
              <w:t>12,000,000.00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42,930,074.35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 w:right="0"/>
              <w:jc w:val="center"/>
              <w:rPr>
                <w:rFonts w:ascii="Times New Roman" w:hAnsi="Times New Roman" w:cs="Times New Roman" w:eastAsia="Times New Roman" w:hint="default"/>
                <w:sz w:val="16"/>
                <w:szCs w:val="16"/>
              </w:rPr>
            </w:pPr>
            <w:r>
              <w:rPr>
                <w:rFonts w:ascii="Times New Roman"/>
                <w:sz w:val="16"/>
              </w:rPr>
              <w:t>12,000,000.00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27.95%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59,507,668.12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 w:right="0"/>
              <w:jc w:val="center"/>
              <w:rPr>
                <w:rFonts w:ascii="Times New Roman" w:hAnsi="Times New Roman" w:cs="Times New Roman" w:eastAsia="Times New Roman" w:hint="default"/>
                <w:sz w:val="16"/>
                <w:szCs w:val="16"/>
              </w:rPr>
            </w:pPr>
            <w:r>
              <w:rPr>
                <w:rFonts w:ascii="Times New Roman"/>
                <w:sz w:val="16"/>
              </w:rPr>
              <w:t>12,000,000.00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20.17%</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4"/>
      </w:tblGrid>
      <w:tr>
        <w:trPr>
          <w:trHeight w:val="401"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37"/>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116"/>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21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、自先进数通首次向社会公开发行的股 </w:t>
            </w:r>
            <w:r>
              <w:rPr>
                <w:rFonts w:ascii="宋体" w:hAnsi="宋体" w:cs="宋体" w:eastAsia="宋体" w:hint="default"/>
                <w:spacing w:val="-4"/>
                <w:sz w:val="18"/>
                <w:szCs w:val="18"/>
              </w:rPr>
              <w:t>票上市之日起三十六个月内，本人不转让</w:t>
            </w:r>
            <w:r>
              <w:rPr>
                <w:rFonts w:ascii="宋体" w:hAnsi="宋体" w:cs="宋体" w:eastAsia="宋体" w:hint="default"/>
                <w:sz w:val="18"/>
                <w:szCs w:val="18"/>
              </w:rPr>
              <w:t> 或者委托他人管理本人所持有的公司股 份，也不由公司回购本人所持有的股份。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、前述锁定期满后，在本人仍担任公司 </w:t>
            </w:r>
            <w:r>
              <w:rPr>
                <w:rFonts w:ascii="宋体" w:hAnsi="宋体" w:cs="宋体" w:eastAsia="宋体" w:hint="default"/>
                <w:spacing w:val="-4"/>
                <w:sz w:val="18"/>
                <w:szCs w:val="18"/>
              </w:rPr>
              <w:t>董事、监事、高级管理人员期间，每年转</w:t>
            </w:r>
            <w:r>
              <w:rPr>
                <w:rFonts w:ascii="宋体" w:hAnsi="宋体" w:cs="宋体" w:eastAsia="宋体" w:hint="default"/>
                <w:sz w:val="18"/>
                <w:szCs w:val="18"/>
              </w:rPr>
              <w:t> 让的股份不超过本人按照有关法律法规 可以转让的所持公司股份总数的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35"/>
                <w:sz w:val="18"/>
                <w:szCs w:val="18"/>
              </w:rPr>
              <w:t>25%</w:t>
            </w:r>
            <w:r>
              <w:rPr>
                <w:rFonts w:ascii="宋体" w:hAnsi="宋体" w:cs="宋体" w:eastAsia="宋体" w:hint="default"/>
                <w:spacing w:val="-35"/>
                <w:sz w:val="18"/>
                <w:szCs w:val="18"/>
              </w:rPr>
              <w:t>；在</w:t>
            </w:r>
            <w:r>
              <w:rPr>
                <w:rFonts w:ascii="宋体" w:hAnsi="宋体" w:cs="宋体" w:eastAsia="宋体" w:hint="default"/>
                <w:spacing w:val="-87"/>
                <w:sz w:val="18"/>
                <w:szCs w:val="18"/>
              </w:rPr>
              <w:t> </w:t>
            </w:r>
            <w:r>
              <w:rPr>
                <w:rFonts w:ascii="宋体" w:hAnsi="宋体" w:cs="宋体" w:eastAsia="宋体" w:hint="default"/>
                <w:spacing w:val="-4"/>
                <w:sz w:val="18"/>
                <w:szCs w:val="18"/>
              </w:rPr>
              <w:t>本人离职后半年内，不转让本人所持有的</w:t>
            </w:r>
            <w:r>
              <w:rPr>
                <w:rFonts w:ascii="宋体" w:hAnsi="宋体" w:cs="宋体" w:eastAsia="宋体" w:hint="default"/>
                <w:sz w:val="18"/>
                <w:szCs w:val="18"/>
              </w:rPr>
              <w:t> </w:t>
            </w:r>
            <w:r>
              <w:rPr>
                <w:rFonts w:ascii="宋体" w:hAnsi="宋体" w:cs="宋体" w:eastAsia="宋体" w:hint="default"/>
                <w:spacing w:val="-4"/>
                <w:sz w:val="18"/>
                <w:szCs w:val="18"/>
              </w:rPr>
              <w:t>公司股份；在申报离任六个月后的十二个</w:t>
            </w:r>
            <w:r>
              <w:rPr>
                <w:rFonts w:ascii="宋体" w:hAnsi="宋体" w:cs="宋体" w:eastAsia="宋体" w:hint="default"/>
                <w:sz w:val="18"/>
                <w:szCs w:val="18"/>
              </w:rPr>
              <w:t> 月内通过证券交易所挂牌交易出售公司 股票数量占本人所持有公司股票总数的 比例不超过</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。若本人在首次公开发行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股票上市之日起六个月内申报离职，自申</w:t>
            </w:r>
            <w:r>
              <w:rPr>
                <w:rFonts w:ascii="宋体" w:hAnsi="宋体" w:cs="宋体" w:eastAsia="宋体" w:hint="default"/>
                <w:sz w:val="18"/>
                <w:szCs w:val="18"/>
              </w:rPr>
              <w:t> 报离职之日起十八个月内不转让其直接 </w:t>
            </w:r>
            <w:r>
              <w:rPr>
                <w:rFonts w:ascii="宋体" w:hAnsi="宋体" w:cs="宋体" w:eastAsia="宋体" w:hint="default"/>
                <w:spacing w:val="-4"/>
                <w:sz w:val="18"/>
                <w:szCs w:val="18"/>
              </w:rPr>
              <w:t>持有的公司股份；在首次公开发行股票上</w:t>
            </w:r>
            <w:r>
              <w:rPr>
                <w:rFonts w:ascii="宋体" w:hAnsi="宋体" w:cs="宋体" w:eastAsia="宋体" w:hint="default"/>
                <w:sz w:val="18"/>
                <w:szCs w:val="18"/>
              </w:rPr>
              <w:t> 市之日起第七个月至第十二个月之间申 </w:t>
            </w:r>
            <w:r>
              <w:rPr>
                <w:rFonts w:ascii="宋体" w:hAnsi="宋体" w:cs="宋体" w:eastAsia="宋体" w:hint="default"/>
                <w:spacing w:val="-4"/>
                <w:sz w:val="18"/>
                <w:szCs w:val="18"/>
              </w:rPr>
              <w:t>报离职，自申报离职之日起十二个月内不</w:t>
            </w:r>
            <w:r>
              <w:rPr>
                <w:rFonts w:ascii="宋体" w:hAnsi="宋体" w:cs="宋体" w:eastAsia="宋体" w:hint="default"/>
                <w:sz w:val="18"/>
                <w:szCs w:val="18"/>
              </w:rPr>
              <w:t> 转让其直接持有的公司股份。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、本人所 持公司股票在前述锁定期满后两年内减 </w:t>
            </w:r>
            <w:r>
              <w:rPr>
                <w:rFonts w:ascii="宋体" w:hAnsi="宋体" w:cs="宋体" w:eastAsia="宋体" w:hint="default"/>
                <w:spacing w:val="-4"/>
                <w:sz w:val="18"/>
                <w:szCs w:val="18"/>
              </w:rPr>
              <w:t>持的，其减持价格不低于发行价（自公司</w:t>
            </w:r>
            <w:r>
              <w:rPr>
                <w:rFonts w:ascii="宋体" w:hAnsi="宋体" w:cs="宋体" w:eastAsia="宋体" w:hint="default"/>
                <w:sz w:val="18"/>
                <w:szCs w:val="18"/>
              </w:rPr>
              <w:t> 股票上市至本人减持期间，公司如有派 </w:t>
            </w:r>
            <w:r>
              <w:rPr>
                <w:rFonts w:ascii="宋体" w:hAnsi="宋体" w:cs="宋体" w:eastAsia="宋体" w:hint="default"/>
                <w:spacing w:val="-4"/>
                <w:sz w:val="18"/>
                <w:szCs w:val="18"/>
              </w:rPr>
              <w:t>息、送股、资本公积金转增股本、配股等</w:t>
            </w:r>
            <w:r>
              <w:rPr>
                <w:rFonts w:ascii="宋体" w:hAnsi="宋体" w:cs="宋体" w:eastAsia="宋体" w:hint="default"/>
                <w:sz w:val="18"/>
                <w:szCs w:val="18"/>
              </w:rPr>
              <w:t> </w:t>
            </w:r>
            <w:r>
              <w:rPr>
                <w:rFonts w:ascii="宋体" w:hAnsi="宋体" w:cs="宋体" w:eastAsia="宋体" w:hint="default"/>
                <w:spacing w:val="-9"/>
                <w:sz w:val="18"/>
                <w:szCs w:val="18"/>
              </w:rPr>
              <w:t>除权除息事项，发行价将相应进行调整）；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个交易日的收盘价均低于发行价，或者上</w:t>
            </w:r>
            <w:r>
              <w:rPr>
                <w:rFonts w:ascii="宋体" w:hAnsi="宋体" w:cs="宋体" w:eastAsia="宋体" w:hint="default"/>
                <w:sz w:val="18"/>
                <w:szCs w:val="18"/>
              </w:rPr>
              <w:t> 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个月期末收盘价低于发行价，则本</w:t>
            </w:r>
          </w:p>
          <w:p>
            <w:pPr>
              <w:pStyle w:val="TableParagraph"/>
              <w:spacing w:line="309" w:lineRule="auto" w:before="1"/>
              <w:ind w:left="103" w:right="102"/>
              <w:jc w:val="left"/>
              <w:rPr>
                <w:rFonts w:ascii="宋体" w:hAnsi="宋体" w:cs="宋体" w:eastAsia="宋体" w:hint="default"/>
                <w:sz w:val="18"/>
                <w:szCs w:val="18"/>
              </w:rPr>
            </w:pPr>
            <w:r>
              <w:rPr>
                <w:rFonts w:ascii="宋体" w:hAnsi="宋体" w:cs="宋体" w:eastAsia="宋体" w:hint="default"/>
                <w:sz w:val="18"/>
                <w:szCs w:val="18"/>
              </w:rPr>
              <w:t>人持有公司股票的锁定期限自动延长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个月；本人承诺不因职务变更、离职等原</w:t>
            </w:r>
            <w:r>
              <w:rPr>
                <w:rFonts w:ascii="宋体" w:hAnsi="宋体" w:cs="宋体" w:eastAsia="宋体" w:hint="default"/>
                <w:sz w:val="18"/>
                <w:szCs w:val="18"/>
              </w:rPr>
              <w:t> 因不担任相关职务而放弃前述承诺。</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7"/>
      </w:tblGrid>
      <w:tr>
        <w:trPr>
          <w:trHeight w:val="1298"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如《公司法》、《证券法》、中国证监会和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证券交易所对本人持有的公司股份之锁 </w:t>
            </w:r>
            <w:r>
              <w:rPr>
                <w:rFonts w:ascii="宋体" w:hAnsi="宋体" w:cs="宋体" w:eastAsia="宋体" w:hint="default"/>
                <w:spacing w:val="-4"/>
                <w:sz w:val="18"/>
                <w:szCs w:val="18"/>
              </w:rPr>
              <w:t>定有更严格的要求的，本人将按此等要求</w:t>
            </w:r>
            <w:r>
              <w:rPr>
                <w:rFonts w:ascii="宋体" w:hAnsi="宋体" w:cs="宋体" w:eastAsia="宋体" w:hint="default"/>
                <w:sz w:val="18"/>
                <w:szCs w:val="18"/>
              </w:rPr>
              <w:t> 执行。</w:t>
            </w: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332" w:type="dxa"/>
            <w:vMerge/>
            <w:tcBorders>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陈东辉</w:t>
            </w:r>
            <w:r>
              <w:rPr>
                <w:rFonts w:ascii="Times New Roman" w:hAnsi="Times New Roman" w:cs="Times New Roman" w:eastAsia="Times New Roman" w:hint="default"/>
                <w:sz w:val="18"/>
                <w:szCs w:val="18"/>
              </w:rPr>
              <w:t>;</w:t>
            </w:r>
            <w:r>
              <w:rPr>
                <w:rFonts w:ascii="宋体" w:hAnsi="宋体" w:cs="宋体" w:eastAsia="宋体" w:hint="default"/>
                <w:sz w:val="18"/>
                <w:szCs w:val="18"/>
              </w:rPr>
              <w:t>韩 燕婴</w:t>
            </w:r>
            <w:r>
              <w:rPr>
                <w:rFonts w:ascii="Times New Roman" w:hAnsi="Times New Roman" w:cs="Times New Roman" w:eastAsia="Times New Roman" w:hint="default"/>
                <w:sz w:val="18"/>
                <w:szCs w:val="18"/>
              </w:rPr>
              <w:t>;</w:t>
            </w:r>
            <w:r>
              <w:rPr>
                <w:rFonts w:ascii="宋体" w:hAnsi="宋体" w:cs="宋体" w:eastAsia="宋体" w:hint="default"/>
                <w:sz w:val="18"/>
                <w:szCs w:val="18"/>
              </w:rPr>
              <w:t>洪沈 平</w:t>
            </w:r>
            <w:r>
              <w:rPr>
                <w:rFonts w:ascii="Times New Roman" w:hAnsi="Times New Roman" w:cs="Times New Roman" w:eastAsia="Times New Roman" w:hint="default"/>
                <w:sz w:val="18"/>
                <w:szCs w:val="18"/>
              </w:rPr>
              <w:t>;</w:t>
            </w:r>
            <w:r>
              <w:rPr>
                <w:rFonts w:ascii="宋体" w:hAnsi="宋体" w:cs="宋体" w:eastAsia="宋体" w:hint="default"/>
                <w:sz w:val="18"/>
                <w:szCs w:val="18"/>
              </w:rPr>
              <w:t>王先进</w:t>
            </w:r>
            <w:r>
              <w:rPr>
                <w:rFonts w:ascii="Times New Roman" w:hAnsi="Times New Roman" w:cs="Times New Roman" w:eastAsia="Times New Roman" w:hint="default"/>
                <w:sz w:val="18"/>
                <w:szCs w:val="18"/>
              </w:rPr>
              <w:t>; </w:t>
            </w:r>
            <w:r>
              <w:rPr>
                <w:rFonts w:ascii="宋体" w:hAnsi="宋体" w:cs="宋体" w:eastAsia="宋体" w:hint="default"/>
                <w:sz w:val="18"/>
                <w:szCs w:val="18"/>
              </w:rPr>
              <w:t>谢智勇</w:t>
            </w:r>
            <w:r>
              <w:rPr>
                <w:rFonts w:ascii="Times New Roman" w:hAnsi="Times New Roman" w:cs="Times New Roman" w:eastAsia="Times New Roman" w:hint="default"/>
                <w:sz w:val="18"/>
                <w:szCs w:val="18"/>
              </w:rPr>
              <w:t>;</w:t>
            </w:r>
            <w:r>
              <w:rPr>
                <w:rFonts w:ascii="宋体" w:hAnsi="宋体" w:cs="宋体" w:eastAsia="宋体" w:hint="default"/>
                <w:sz w:val="18"/>
                <w:szCs w:val="18"/>
              </w:rPr>
              <w:t>北 京银汉创 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京致远天 成科技中 </w:t>
            </w:r>
            <w:r>
              <w:rPr>
                <w:rFonts w:ascii="宋体" w:hAnsi="宋体" w:cs="宋体" w:eastAsia="宋体" w:hint="default"/>
                <w:spacing w:val="-13"/>
                <w:sz w:val="18"/>
                <w:szCs w:val="18"/>
              </w:rPr>
              <w:t>心（有限合</w:t>
            </w:r>
            <w:r>
              <w:rPr>
                <w:rFonts w:ascii="宋体" w:hAnsi="宋体" w:cs="宋体" w:eastAsia="宋体" w:hint="default"/>
                <w:sz w:val="18"/>
                <w:szCs w:val="18"/>
              </w:rPr>
              <w:t> 伙）</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6"/>
              <w:ind w:left="10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、自先进数通首次向社会公开发行的股 票上市之日起三十六个月内，本公司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人不转让或者委托他人管理本公司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w:t>
            </w:r>
            <w:r>
              <w:rPr>
                <w:rFonts w:ascii="宋体" w:hAnsi="宋体" w:cs="宋体" w:eastAsia="宋体" w:hint="default"/>
                <w:spacing w:val="-4"/>
                <w:sz w:val="18"/>
                <w:szCs w:val="18"/>
              </w:rPr>
              <w:t>所持有的公司股份，也不由公司回购本公</w:t>
            </w:r>
            <w:r>
              <w:rPr>
                <w:rFonts w:ascii="宋体" w:hAnsi="宋体" w:cs="宋体" w:eastAsia="宋体" w:hint="default"/>
                <w:sz w:val="18"/>
                <w:szCs w:val="18"/>
              </w:rPr>
              <w:t> </w:t>
            </w:r>
            <w:r>
              <w:rPr>
                <w:rFonts w:ascii="宋体" w:hAnsi="宋体" w:cs="宋体" w:eastAsia="宋体" w:hint="default"/>
                <w:spacing w:val="-7"/>
                <w:sz w:val="18"/>
                <w:szCs w:val="18"/>
              </w:rPr>
              <w:t>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本人所持有的股份。</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、如《公司法》、</w:t>
            </w:r>
          </w:p>
          <w:p>
            <w:pPr>
              <w:pStyle w:val="TableParagraph"/>
              <w:spacing w:line="307" w:lineRule="auto" w:before="9"/>
              <w:ind w:left="103" w:right="120"/>
              <w:jc w:val="both"/>
              <w:rPr>
                <w:rFonts w:ascii="宋体" w:hAnsi="宋体" w:cs="宋体" w:eastAsia="宋体" w:hint="default"/>
                <w:sz w:val="18"/>
                <w:szCs w:val="18"/>
              </w:rPr>
            </w:pPr>
            <w:r>
              <w:rPr>
                <w:rFonts w:ascii="宋体" w:hAnsi="宋体" w:cs="宋体" w:eastAsia="宋体" w:hint="default"/>
                <w:spacing w:val="-5"/>
                <w:sz w:val="18"/>
                <w:szCs w:val="18"/>
              </w:rPr>
              <w:t>《证券法》、中国证监会和证券交易所对</w:t>
            </w:r>
            <w:r>
              <w:rPr>
                <w:rFonts w:ascii="宋体" w:hAnsi="宋体" w:cs="宋体" w:eastAsia="宋体" w:hint="default"/>
                <w:sz w:val="18"/>
                <w:szCs w:val="18"/>
              </w:rPr>
              <w:t>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本人持有的公司股份之锁定有更 严格的要求的，本公司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本人将按此等要 求执行。</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r>
        <w:trPr>
          <w:trHeight w:val="9099"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0" w:lineRule="auto"/>
              <w:ind w:left="103" w:right="116"/>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103" w:right="21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、本人将严格根据相关监管部门颁布的 相关法律法规及规范性文件的有关规定 以及本人就持股锁定事项出具的相关承 </w:t>
            </w:r>
            <w:r>
              <w:rPr>
                <w:rFonts w:ascii="宋体" w:hAnsi="宋体" w:cs="宋体" w:eastAsia="宋体" w:hint="default"/>
                <w:spacing w:val="-4"/>
                <w:sz w:val="18"/>
                <w:szCs w:val="18"/>
              </w:rPr>
              <w:t>诺执行有关股份限售事项，在本人所持股</w:t>
            </w:r>
            <w:r>
              <w:rPr>
                <w:rFonts w:ascii="宋体" w:hAnsi="宋体" w:cs="宋体" w:eastAsia="宋体" w:hint="default"/>
                <w:sz w:val="18"/>
                <w:szCs w:val="18"/>
              </w:rPr>
              <w:t> </w:t>
            </w:r>
            <w:r>
              <w:rPr>
                <w:rFonts w:ascii="宋体" w:hAnsi="宋体" w:cs="宋体" w:eastAsia="宋体" w:hint="default"/>
                <w:spacing w:val="-4"/>
                <w:sz w:val="18"/>
                <w:szCs w:val="18"/>
              </w:rPr>
              <w:t>份的锁定期内，本人不会进行任何违反相</w:t>
            </w:r>
            <w:r>
              <w:rPr>
                <w:rFonts w:ascii="宋体" w:hAnsi="宋体" w:cs="宋体" w:eastAsia="宋体" w:hint="default"/>
                <w:sz w:val="18"/>
                <w:szCs w:val="18"/>
              </w:rPr>
              <w:t> 关规定及股份锁定承诺的股份减持行为。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、除承诺自公司股票上市后三十六个月 </w:t>
            </w:r>
            <w:r>
              <w:rPr>
                <w:rFonts w:ascii="宋体" w:hAnsi="宋体" w:cs="宋体" w:eastAsia="宋体" w:hint="default"/>
                <w:spacing w:val="-4"/>
                <w:sz w:val="18"/>
                <w:szCs w:val="18"/>
              </w:rPr>
              <w:t>内不减持公司股票外，本人在前述锁定期</w:t>
            </w:r>
            <w:r>
              <w:rPr>
                <w:rFonts w:ascii="宋体" w:hAnsi="宋体" w:cs="宋体" w:eastAsia="宋体" w:hint="default"/>
                <w:sz w:val="18"/>
                <w:szCs w:val="18"/>
              </w:rPr>
              <w:t> 满后两年内累计减持公司股票不超过上 市时持有公司股票数量的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，如本人确</w:t>
            </w:r>
            <w:r>
              <w:rPr>
                <w:rFonts w:ascii="宋体" w:hAnsi="宋体" w:cs="宋体" w:eastAsia="宋体" w:hint="default"/>
                <w:sz w:val="18"/>
                <w:szCs w:val="18"/>
              </w:rPr>
              <w:t> </w:t>
            </w:r>
            <w:r>
              <w:rPr>
                <w:rFonts w:ascii="宋体" w:hAnsi="宋体" w:cs="宋体" w:eastAsia="宋体" w:hint="default"/>
                <w:spacing w:val="-4"/>
                <w:sz w:val="18"/>
                <w:szCs w:val="18"/>
              </w:rPr>
              <w:t>定依法减持公司股份的，将在满足以下条</w:t>
            </w:r>
            <w:r>
              <w:rPr>
                <w:rFonts w:ascii="宋体" w:hAnsi="宋体" w:cs="宋体" w:eastAsia="宋体" w:hint="default"/>
                <w:sz w:val="18"/>
                <w:szCs w:val="18"/>
              </w:rPr>
              <w:t> </w:t>
            </w:r>
            <w:r>
              <w:rPr>
                <w:rFonts w:ascii="宋体" w:hAnsi="宋体" w:cs="宋体" w:eastAsia="宋体" w:hint="default"/>
                <w:spacing w:val="-9"/>
                <w:sz w:val="18"/>
                <w:szCs w:val="18"/>
              </w:rPr>
              <w:t>件后减持：（</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）公司股价不低于最近一期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经审计的每股净资产；（</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）公司运营正常，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减持公司股票对其二级市场价格不构成 </w:t>
            </w:r>
            <w:r>
              <w:rPr>
                <w:rFonts w:ascii="宋体" w:hAnsi="宋体" w:cs="宋体" w:eastAsia="宋体" w:hint="default"/>
                <w:spacing w:val="-5"/>
                <w:sz w:val="18"/>
                <w:szCs w:val="18"/>
              </w:rPr>
              <w:t>重大干扰；（</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）减持价格不低于发行价。</w:t>
            </w:r>
            <w:r>
              <w:rPr>
                <w:rFonts w:ascii="宋体" w:hAnsi="宋体" w:cs="宋体" w:eastAsia="宋体" w:hint="default"/>
                <w:spacing w:val="-85"/>
                <w:sz w:val="18"/>
                <w:szCs w:val="18"/>
              </w:rPr>
              <w:t> </w:t>
            </w:r>
            <w:r>
              <w:rPr>
                <w:rFonts w:ascii="宋体" w:hAnsi="宋体" w:cs="宋体" w:eastAsia="宋体" w:hint="default"/>
                <w:spacing w:val="-4"/>
                <w:sz w:val="18"/>
                <w:szCs w:val="18"/>
              </w:rPr>
              <w:t>自公司股票上市至本人减持期间，公司如</w:t>
            </w:r>
            <w:r>
              <w:rPr>
                <w:rFonts w:ascii="宋体" w:hAnsi="宋体" w:cs="宋体" w:eastAsia="宋体" w:hint="default"/>
                <w:sz w:val="18"/>
                <w:szCs w:val="18"/>
              </w:rPr>
              <w:t> </w:t>
            </w:r>
            <w:r>
              <w:rPr>
                <w:rFonts w:ascii="宋体" w:hAnsi="宋体" w:cs="宋体" w:eastAsia="宋体" w:hint="default"/>
                <w:spacing w:val="-4"/>
                <w:sz w:val="18"/>
                <w:szCs w:val="18"/>
              </w:rPr>
              <w:t>有派息、送股、资本公积金转增股本、配</w:t>
            </w:r>
            <w:r>
              <w:rPr>
                <w:rFonts w:ascii="宋体" w:hAnsi="宋体" w:cs="宋体" w:eastAsia="宋体" w:hint="default"/>
                <w:sz w:val="18"/>
                <w:szCs w:val="18"/>
              </w:rPr>
              <w:t> </w:t>
            </w:r>
            <w:r>
              <w:rPr>
                <w:rFonts w:ascii="宋体" w:hAnsi="宋体" w:cs="宋体" w:eastAsia="宋体" w:hint="default"/>
                <w:spacing w:val="-4"/>
                <w:sz w:val="18"/>
                <w:szCs w:val="18"/>
              </w:rPr>
              <w:t>股等除权除息事项，发行价和股份数量将</w:t>
            </w:r>
            <w:r>
              <w:rPr>
                <w:rFonts w:ascii="宋体" w:hAnsi="宋体" w:cs="宋体" w:eastAsia="宋体" w:hint="default"/>
                <w:sz w:val="18"/>
                <w:szCs w:val="18"/>
              </w:rPr>
              <w:t> 相应进行调整。</w:t>
            </w:r>
            <w:r>
              <w:rPr>
                <w:rFonts w:ascii="Times New Roman" w:hAnsi="Times New Roman" w:cs="Times New Roman" w:eastAsia="Times New Roman" w:hint="default"/>
                <w:sz w:val="18"/>
                <w:szCs w:val="18"/>
              </w:rPr>
              <w:t>3</w:t>
            </w:r>
            <w:r>
              <w:rPr>
                <w:rFonts w:ascii="宋体" w:hAnsi="宋体" w:cs="宋体" w:eastAsia="宋体" w:hint="default"/>
                <w:sz w:val="18"/>
                <w:szCs w:val="18"/>
              </w:rPr>
              <w:t>、所持股票在锁定期满 </w:t>
            </w:r>
            <w:r>
              <w:rPr>
                <w:rFonts w:ascii="宋体" w:hAnsi="宋体" w:cs="宋体" w:eastAsia="宋体" w:hint="default"/>
                <w:spacing w:val="-4"/>
                <w:sz w:val="18"/>
                <w:szCs w:val="18"/>
              </w:rPr>
              <w:t>后，如本人确定依法减持公司股份的，将</w:t>
            </w:r>
            <w:r>
              <w:rPr>
                <w:rFonts w:ascii="宋体" w:hAnsi="宋体" w:cs="宋体" w:eastAsia="宋体" w:hint="default"/>
                <w:sz w:val="18"/>
                <w:szCs w:val="18"/>
              </w:rPr>
              <w:t> </w:t>
            </w:r>
            <w:r>
              <w:rPr>
                <w:rFonts w:ascii="宋体" w:hAnsi="宋体" w:cs="宋体" w:eastAsia="宋体" w:hint="default"/>
                <w:spacing w:val="-4"/>
                <w:sz w:val="18"/>
                <w:szCs w:val="18"/>
              </w:rPr>
              <w:t>提前三个交易日公告减持计划。在遵守股</w:t>
            </w:r>
            <w:r>
              <w:rPr>
                <w:rFonts w:ascii="宋体" w:hAnsi="宋体" w:cs="宋体" w:eastAsia="宋体" w:hint="default"/>
                <w:sz w:val="18"/>
                <w:szCs w:val="18"/>
              </w:rPr>
              <w:t> 份转让相关法律法规及证券交易所相关 </w:t>
            </w:r>
            <w:r>
              <w:rPr>
                <w:rFonts w:ascii="宋体" w:hAnsi="宋体" w:cs="宋体" w:eastAsia="宋体" w:hint="default"/>
                <w:spacing w:val="-4"/>
                <w:sz w:val="18"/>
                <w:szCs w:val="18"/>
              </w:rPr>
              <w:t>规定的条件下，本人将在减持公告中明确</w:t>
            </w:r>
            <w:r>
              <w:rPr>
                <w:rFonts w:ascii="宋体" w:hAnsi="宋体" w:cs="宋体" w:eastAsia="宋体" w:hint="default"/>
                <w:sz w:val="18"/>
                <w:szCs w:val="18"/>
              </w:rPr>
              <w:t> </w:t>
            </w:r>
            <w:r>
              <w:rPr>
                <w:rFonts w:ascii="宋体" w:hAnsi="宋体" w:cs="宋体" w:eastAsia="宋体" w:hint="default"/>
                <w:spacing w:val="-4"/>
                <w:sz w:val="18"/>
                <w:szCs w:val="18"/>
              </w:rPr>
              <w:t>减持的具体数量或区间、减持的执行期限</w:t>
            </w:r>
            <w:r>
              <w:rPr>
                <w:rFonts w:ascii="宋体" w:hAnsi="宋体" w:cs="宋体" w:eastAsia="宋体" w:hint="default"/>
                <w:sz w:val="18"/>
                <w:szCs w:val="18"/>
              </w:rPr>
              <w:t> </w:t>
            </w:r>
            <w:r>
              <w:rPr>
                <w:rFonts w:ascii="宋体" w:hAnsi="宋体" w:cs="宋体" w:eastAsia="宋体" w:hint="default"/>
                <w:spacing w:val="-4"/>
                <w:sz w:val="18"/>
                <w:szCs w:val="18"/>
              </w:rPr>
              <w:t>等信息；本人将在公告的减持期限内以相</w:t>
            </w:r>
            <w:r>
              <w:rPr>
                <w:rFonts w:ascii="宋体" w:hAnsi="宋体" w:cs="宋体" w:eastAsia="宋体" w:hint="default"/>
                <w:sz w:val="18"/>
                <w:szCs w:val="18"/>
              </w:rPr>
              <w:t> </w:t>
            </w:r>
            <w:r>
              <w:rPr>
                <w:rFonts w:ascii="宋体" w:hAnsi="宋体" w:cs="宋体" w:eastAsia="宋体" w:hint="default"/>
                <w:spacing w:val="-4"/>
                <w:sz w:val="18"/>
                <w:szCs w:val="18"/>
              </w:rPr>
              <w:t>关监管部门允许的方式进行减持，具体方</w:t>
            </w:r>
            <w:r>
              <w:rPr>
                <w:rFonts w:ascii="宋体" w:hAnsi="宋体" w:cs="宋体" w:eastAsia="宋体" w:hint="default"/>
                <w:sz w:val="18"/>
                <w:szCs w:val="18"/>
              </w:rPr>
              <w:t> 式包括但不限于交易所集中竞价交易方 </w:t>
            </w:r>
            <w:r>
              <w:rPr>
                <w:rFonts w:ascii="宋体" w:hAnsi="宋体" w:cs="宋体" w:eastAsia="宋体" w:hint="default"/>
                <w:spacing w:val="-4"/>
                <w:sz w:val="18"/>
                <w:szCs w:val="18"/>
              </w:rPr>
              <w:t>式、大宗交易方式、协议转让方式等。</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如本人未来依法发生任何增持或减持公</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7"/>
      </w:tblGrid>
      <w:tr>
        <w:trPr>
          <w:trHeight w:val="4419"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30"/>
              <w:jc w:val="left"/>
              <w:rPr>
                <w:rFonts w:ascii="宋体" w:hAnsi="宋体" w:cs="宋体" w:eastAsia="宋体" w:hint="default"/>
                <w:sz w:val="18"/>
                <w:szCs w:val="18"/>
              </w:rPr>
            </w:pPr>
            <w:r>
              <w:rPr>
                <w:rFonts w:ascii="宋体" w:hAnsi="宋体" w:cs="宋体" w:eastAsia="宋体" w:hint="default"/>
                <w:spacing w:val="-4"/>
                <w:sz w:val="18"/>
                <w:szCs w:val="18"/>
              </w:rPr>
              <w:t>司股份情形的，本人将严格按照相关监管</w:t>
            </w:r>
            <w:r>
              <w:rPr>
                <w:rFonts w:ascii="宋体" w:hAnsi="宋体" w:cs="宋体" w:eastAsia="宋体" w:hint="default"/>
                <w:sz w:val="18"/>
                <w:szCs w:val="18"/>
              </w:rPr>
              <w:t> 部门颁布的相关法律法规及规范性文件 </w:t>
            </w:r>
            <w:r>
              <w:rPr>
                <w:rFonts w:ascii="宋体" w:hAnsi="宋体" w:cs="宋体" w:eastAsia="宋体" w:hint="default"/>
                <w:spacing w:val="-4"/>
                <w:sz w:val="18"/>
                <w:szCs w:val="18"/>
              </w:rPr>
              <w:t>的规定进行相应增持或减持操作，并及时</w:t>
            </w:r>
            <w:r>
              <w:rPr>
                <w:rFonts w:ascii="宋体" w:hAnsi="宋体" w:cs="宋体" w:eastAsia="宋体" w:hint="default"/>
                <w:sz w:val="18"/>
                <w:szCs w:val="18"/>
              </w:rPr>
              <w:t> 履行有关信息披露义务。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、若本人未履 </w:t>
            </w:r>
            <w:r>
              <w:rPr>
                <w:rFonts w:ascii="宋体" w:hAnsi="宋体" w:cs="宋体" w:eastAsia="宋体" w:hint="default"/>
                <w:spacing w:val="-4"/>
                <w:sz w:val="18"/>
                <w:szCs w:val="18"/>
              </w:rPr>
              <w:t>行上述关于股份减持的承诺减持意向，则</w:t>
            </w:r>
            <w:r>
              <w:rPr>
                <w:rFonts w:ascii="宋体" w:hAnsi="宋体" w:cs="宋体" w:eastAsia="宋体" w:hint="default"/>
                <w:sz w:val="18"/>
                <w:szCs w:val="18"/>
              </w:rPr>
              <w:t> 减持公司股份所得收益归先进数通所有， 本人将在股东大会及相关监管部门指定 的披露媒体上公开说明未履行承诺的具 体原因并向公司股东和社会公众投资者 </w:t>
            </w:r>
            <w:r>
              <w:rPr>
                <w:rFonts w:ascii="宋体" w:hAnsi="宋体" w:cs="宋体" w:eastAsia="宋体" w:hint="default"/>
                <w:spacing w:val="-4"/>
                <w:sz w:val="18"/>
                <w:szCs w:val="18"/>
              </w:rPr>
              <w:t>道歉，并自愿接受相关监管部门依据相关</w:t>
            </w:r>
            <w:r>
              <w:rPr>
                <w:rFonts w:ascii="宋体" w:hAnsi="宋体" w:cs="宋体" w:eastAsia="宋体" w:hint="default"/>
                <w:sz w:val="18"/>
                <w:szCs w:val="18"/>
              </w:rPr>
              <w:t> 规定给予的监管措施或处罚。</w:t>
            </w:r>
            <w:r>
              <w:rPr>
                <w:rFonts w:ascii="Times New Roman" w:hAnsi="Times New Roman" w:cs="Times New Roman" w:eastAsia="Times New Roman" w:hint="default"/>
                <w:sz w:val="18"/>
                <w:szCs w:val="18"/>
              </w:rPr>
              <w:t>6</w:t>
            </w:r>
            <w:r>
              <w:rPr>
                <w:rFonts w:ascii="宋体" w:hAnsi="宋体" w:cs="宋体" w:eastAsia="宋体" w:hint="default"/>
                <w:sz w:val="18"/>
                <w:szCs w:val="18"/>
              </w:rPr>
              <w:t>、若本人 </w:t>
            </w:r>
            <w:r>
              <w:rPr>
                <w:rFonts w:ascii="宋体" w:hAnsi="宋体" w:cs="宋体" w:eastAsia="宋体" w:hint="default"/>
                <w:spacing w:val="-4"/>
                <w:sz w:val="18"/>
                <w:szCs w:val="18"/>
              </w:rPr>
              <w:t>未履行上述减持意向，本人持有的公司股</w:t>
            </w:r>
            <w:r>
              <w:rPr>
                <w:rFonts w:ascii="宋体" w:hAnsi="宋体" w:cs="宋体" w:eastAsia="宋体" w:hint="default"/>
                <w:sz w:val="18"/>
                <w:szCs w:val="18"/>
              </w:rPr>
              <w:t> 份自本人未履行上述减持意向之日起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个月内不得减持。</w:t>
            </w: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3" w:right="167"/>
              <w:jc w:val="both"/>
              <w:rPr>
                <w:rFonts w:ascii="宋体" w:hAnsi="宋体" w:cs="宋体" w:eastAsia="宋体" w:hint="default"/>
                <w:sz w:val="18"/>
                <w:szCs w:val="18"/>
              </w:rPr>
            </w:pPr>
            <w:r>
              <w:rPr>
                <w:rFonts w:ascii="宋体" w:hAnsi="宋体" w:cs="宋体" w:eastAsia="宋体" w:hint="default"/>
                <w:sz w:val="18"/>
                <w:szCs w:val="18"/>
              </w:rPr>
              <w:t>北京银汉 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陈东辉</w:t>
            </w:r>
            <w:r>
              <w:rPr>
                <w:rFonts w:ascii="Times New Roman" w:hAnsi="Times New Roman" w:cs="Times New Roman" w:eastAsia="Times New Roman" w:hint="default"/>
                <w:sz w:val="18"/>
                <w:szCs w:val="18"/>
              </w:rPr>
              <w:t>;</w:t>
            </w:r>
            <w:r>
              <w:rPr>
                <w:rFonts w:ascii="宋体" w:hAnsi="宋体" w:cs="宋体" w:eastAsia="宋体" w:hint="default"/>
                <w:sz w:val="18"/>
                <w:szCs w:val="18"/>
              </w:rPr>
              <w:t>韩 燕婴</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本人将严格根据相关监管部门 颁布的相关法律法规及规范性文件的有 关规定以及本公司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本人就持股锁定事项 出具的相关承诺执行有关股份限售事项， 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本人所持股份的锁定期内，本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本人不会进行任何违反相关规定及 股份锁定承诺的股份减持行为。</w:t>
            </w:r>
            <w:r>
              <w:rPr>
                <w:rFonts w:ascii="Times New Roman" w:hAnsi="Times New Roman" w:cs="Times New Roman" w:eastAsia="Times New Roman" w:hint="default"/>
                <w:sz w:val="18"/>
                <w:szCs w:val="18"/>
              </w:rPr>
              <w:t>2</w:t>
            </w:r>
            <w:r>
              <w:rPr>
                <w:rFonts w:ascii="宋体" w:hAnsi="宋体" w:cs="宋体" w:eastAsia="宋体" w:hint="default"/>
                <w:sz w:val="18"/>
                <w:szCs w:val="18"/>
              </w:rPr>
              <w:t>、除承 诺自先进数通股票上市后三十六个月内 不减持公司股票外，本公司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本人在前述 锁定期满后两年内减持价格不低于发行 价的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，两年内累计减持数量可能达到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上市时持有的先进数通股票数量的 </w:t>
            </w:r>
            <w:r>
              <w:rPr>
                <w:rFonts w:ascii="Times New Roman" w:hAnsi="Times New Roman" w:cs="Times New Roman" w:eastAsia="Times New Roman" w:hint="default"/>
                <w:sz w:val="18"/>
                <w:szCs w:val="18"/>
              </w:rPr>
              <w:t>100%</w:t>
            </w:r>
            <w:r>
              <w:rPr>
                <w:rFonts w:ascii="宋体" w:hAnsi="宋体" w:cs="宋体" w:eastAsia="宋体" w:hint="default"/>
                <w:sz w:val="18"/>
                <w:szCs w:val="18"/>
              </w:rPr>
              <w:t>。自先进数通股票上市至本公司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人减持期间，先进数通如有派息、送股、 </w:t>
            </w:r>
            <w:r>
              <w:rPr>
                <w:rFonts w:ascii="宋体" w:hAnsi="宋体" w:cs="宋体" w:eastAsia="宋体" w:hint="default"/>
                <w:spacing w:val="-4"/>
                <w:sz w:val="18"/>
                <w:szCs w:val="18"/>
              </w:rPr>
              <w:t>资本公积金转增股本、配股等除权除息事</w:t>
            </w:r>
            <w:r>
              <w:rPr>
                <w:rFonts w:ascii="宋体" w:hAnsi="宋体" w:cs="宋体" w:eastAsia="宋体" w:hint="default"/>
                <w:sz w:val="18"/>
                <w:szCs w:val="18"/>
              </w:rPr>
              <w:t> 项，发行价和股份数量将相应进行调整。 </w:t>
            </w:r>
            <w:r>
              <w:rPr>
                <w:rFonts w:ascii="Times New Roman" w:hAnsi="Times New Roman" w:cs="Times New Roman" w:eastAsia="Times New Roman" w:hint="default"/>
                <w:sz w:val="18"/>
                <w:szCs w:val="18"/>
              </w:rPr>
              <w:t>3</w:t>
            </w:r>
            <w:r>
              <w:rPr>
                <w:rFonts w:ascii="宋体" w:hAnsi="宋体" w:cs="宋体" w:eastAsia="宋体" w:hint="default"/>
                <w:sz w:val="18"/>
                <w:szCs w:val="18"/>
              </w:rPr>
              <w:t>、所持股票在锁定期满后，如本公司</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本人确定依法减持公司股份的，将提前三</w:t>
            </w:r>
            <w:r>
              <w:rPr>
                <w:rFonts w:ascii="宋体" w:hAnsi="宋体" w:cs="宋体" w:eastAsia="宋体" w:hint="default"/>
                <w:sz w:val="18"/>
                <w:szCs w:val="18"/>
              </w:rPr>
              <w:t> </w:t>
            </w:r>
            <w:r>
              <w:rPr>
                <w:rFonts w:ascii="宋体" w:hAnsi="宋体" w:cs="宋体" w:eastAsia="宋体" w:hint="default"/>
                <w:spacing w:val="-4"/>
                <w:sz w:val="18"/>
                <w:szCs w:val="18"/>
              </w:rPr>
              <w:t>个交易日公告减持计划。在遵守股份转让</w:t>
            </w:r>
            <w:r>
              <w:rPr>
                <w:rFonts w:ascii="宋体" w:hAnsi="宋体" w:cs="宋体" w:eastAsia="宋体" w:hint="default"/>
                <w:sz w:val="18"/>
                <w:szCs w:val="18"/>
              </w:rPr>
              <w:t> 相关法律法规及证券交易所相关规定的 条件下，本公司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本人将在减持公告中明 </w:t>
            </w:r>
            <w:r>
              <w:rPr>
                <w:rFonts w:ascii="宋体" w:hAnsi="宋体" w:cs="宋体" w:eastAsia="宋体" w:hint="default"/>
                <w:spacing w:val="-4"/>
                <w:sz w:val="18"/>
                <w:szCs w:val="18"/>
              </w:rPr>
              <w:t>确减持的具体数量或区间、减持的执行期</w:t>
            </w:r>
            <w:r>
              <w:rPr>
                <w:rFonts w:ascii="宋体" w:hAnsi="宋体" w:cs="宋体" w:eastAsia="宋体" w:hint="default"/>
                <w:sz w:val="18"/>
                <w:szCs w:val="18"/>
              </w:rPr>
              <w:t> 限等信息；本公司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本人将在公告的减持 期限内以相关监管部门允许的方式进行 </w:t>
            </w:r>
            <w:r>
              <w:rPr>
                <w:rFonts w:ascii="宋体" w:hAnsi="宋体" w:cs="宋体" w:eastAsia="宋体" w:hint="default"/>
                <w:spacing w:val="-4"/>
                <w:sz w:val="18"/>
                <w:szCs w:val="18"/>
              </w:rPr>
              <w:t>减持，具体方式包括但不限于交易所集中</w:t>
            </w:r>
            <w:r>
              <w:rPr>
                <w:rFonts w:ascii="宋体" w:hAnsi="宋体" w:cs="宋体" w:eastAsia="宋体" w:hint="default"/>
                <w:sz w:val="18"/>
                <w:szCs w:val="18"/>
              </w:rPr>
              <w:t> </w:t>
            </w:r>
            <w:r>
              <w:rPr>
                <w:rFonts w:ascii="宋体" w:hAnsi="宋体" w:cs="宋体" w:eastAsia="宋体" w:hint="default"/>
                <w:spacing w:val="-4"/>
                <w:sz w:val="18"/>
                <w:szCs w:val="18"/>
              </w:rPr>
              <w:t>竞价交易方式、大宗交易方式、协议转让</w:t>
            </w:r>
            <w:r>
              <w:rPr>
                <w:rFonts w:ascii="宋体" w:hAnsi="宋体" w:cs="宋体" w:eastAsia="宋体" w:hint="default"/>
                <w:sz w:val="18"/>
                <w:szCs w:val="18"/>
              </w:rPr>
              <w:t> 方式等。</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本人未来依法发生 </w:t>
            </w:r>
            <w:r>
              <w:rPr>
                <w:rFonts w:ascii="宋体" w:hAnsi="宋体" w:cs="宋体" w:eastAsia="宋体" w:hint="default"/>
                <w:spacing w:val="-4"/>
                <w:sz w:val="18"/>
                <w:szCs w:val="18"/>
              </w:rPr>
              <w:t>任何增持或减持公司股份情形的，本公司</w:t>
            </w:r>
          </w:p>
          <w:p>
            <w:pPr>
              <w:pStyle w:val="TableParagraph"/>
              <w:spacing w:line="300" w:lineRule="auto" w:before="24"/>
              <w:ind w:left="103"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本人将严格按照相关监管部门颁布的相 关法律法规及规范性文件的规定进行相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7"/>
      </w:tblGrid>
      <w:tr>
        <w:trPr>
          <w:trHeight w:val="3795"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1"/>
              <w:jc w:val="left"/>
              <w:rPr>
                <w:rFonts w:ascii="宋体" w:hAnsi="宋体" w:cs="宋体" w:eastAsia="宋体" w:hint="default"/>
                <w:sz w:val="18"/>
                <w:szCs w:val="18"/>
              </w:rPr>
            </w:pPr>
            <w:r>
              <w:rPr>
                <w:rFonts w:ascii="宋体" w:hAnsi="宋体" w:cs="宋体" w:eastAsia="宋体" w:hint="default"/>
                <w:spacing w:val="-4"/>
                <w:sz w:val="18"/>
                <w:szCs w:val="18"/>
              </w:rPr>
              <w:t>应增持或减持操作，并及时履行有关信息</w:t>
            </w:r>
            <w:r>
              <w:rPr>
                <w:rFonts w:ascii="宋体" w:hAnsi="宋体" w:cs="宋体" w:eastAsia="宋体" w:hint="default"/>
                <w:sz w:val="18"/>
                <w:szCs w:val="18"/>
              </w:rPr>
              <w:t> 披露义务。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本人未履行上述 </w:t>
            </w:r>
            <w:r>
              <w:rPr>
                <w:rFonts w:ascii="宋体" w:hAnsi="宋体" w:cs="宋体" w:eastAsia="宋体" w:hint="default"/>
                <w:spacing w:val="-4"/>
                <w:sz w:val="18"/>
                <w:szCs w:val="18"/>
              </w:rPr>
              <w:t>关于股份减持的承诺减持意向，则减持先</w:t>
            </w:r>
            <w:r>
              <w:rPr>
                <w:rFonts w:ascii="宋体" w:hAnsi="宋体" w:cs="宋体" w:eastAsia="宋体" w:hint="default"/>
                <w:sz w:val="18"/>
                <w:szCs w:val="18"/>
              </w:rPr>
              <w:t> </w:t>
            </w:r>
            <w:r>
              <w:rPr>
                <w:rFonts w:ascii="宋体" w:hAnsi="宋体" w:cs="宋体" w:eastAsia="宋体" w:hint="default"/>
                <w:spacing w:val="-4"/>
                <w:sz w:val="18"/>
                <w:szCs w:val="18"/>
              </w:rPr>
              <w:t>进数通股份所得收益归先进数通所有，本</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本人将在股东大会及相关监管部门 指定的披露媒体上公开说明未履行承诺 的具体原因并向先进数通股东和社会公 </w:t>
            </w:r>
            <w:r>
              <w:rPr>
                <w:rFonts w:ascii="宋体" w:hAnsi="宋体" w:cs="宋体" w:eastAsia="宋体" w:hint="default"/>
                <w:spacing w:val="-4"/>
                <w:sz w:val="18"/>
                <w:szCs w:val="18"/>
              </w:rPr>
              <w:t>众投资者道歉，并自愿接受相关监管部门</w:t>
            </w:r>
            <w:r>
              <w:rPr>
                <w:rFonts w:ascii="宋体" w:hAnsi="宋体" w:cs="宋体" w:eastAsia="宋体" w:hint="default"/>
                <w:sz w:val="18"/>
                <w:szCs w:val="18"/>
              </w:rPr>
              <w:t> </w:t>
            </w:r>
            <w:r>
              <w:rPr>
                <w:rFonts w:ascii="宋体" w:hAnsi="宋体" w:cs="宋体" w:eastAsia="宋体" w:hint="default"/>
                <w:spacing w:val="-4"/>
                <w:sz w:val="18"/>
                <w:szCs w:val="18"/>
              </w:rPr>
              <w:t>依据相关规定给予的监管措施或处罚。</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本人未履行上述减持意向，本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本人持有的先进数通股份自未履行 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1332" w:type="dxa"/>
            <w:vMerge/>
            <w:tcBorders>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103" w:right="116"/>
              <w:jc w:val="both"/>
              <w:rPr>
                <w:rFonts w:ascii="宋体" w:hAnsi="宋体" w:cs="宋体" w:eastAsia="宋体" w:hint="default"/>
                <w:sz w:val="18"/>
                <w:szCs w:val="18"/>
              </w:rPr>
            </w:pPr>
            <w:r>
              <w:rPr>
                <w:rFonts w:ascii="宋体" w:hAnsi="宋体" w:cs="宋体" w:eastAsia="宋体" w:hint="default"/>
                <w:sz w:val="18"/>
                <w:szCs w:val="18"/>
              </w:rPr>
              <w:t>北京先进 数通信息 技术股份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范丽 明</w:t>
            </w:r>
            <w:r>
              <w:rPr>
                <w:rFonts w:ascii="Times New Roman" w:hAnsi="Times New Roman" w:cs="Times New Roman" w:eastAsia="Times New Roman" w:hint="default"/>
                <w:sz w:val="18"/>
                <w:szCs w:val="18"/>
              </w:rPr>
              <w:t>;</w:t>
            </w:r>
            <w:r>
              <w:rPr>
                <w:rFonts w:ascii="宋体" w:hAnsi="宋体" w:cs="宋体" w:eastAsia="宋体" w:hint="default"/>
                <w:sz w:val="18"/>
                <w:szCs w:val="18"/>
              </w:rPr>
              <w:t>李铠</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p>
            <w:pPr>
              <w:pStyle w:val="TableParagraph"/>
              <w:spacing w:line="300" w:lineRule="auto" w:before="1"/>
              <w:ind w:left="103" w:right="116"/>
              <w:jc w:val="both"/>
              <w:rPr>
                <w:rFonts w:ascii="宋体" w:hAnsi="宋体" w:cs="宋体" w:eastAsia="宋体" w:hint="default"/>
                <w:sz w:val="18"/>
                <w:szCs w:val="18"/>
              </w:rPr>
            </w:pPr>
            <w:r>
              <w:rPr>
                <w:rFonts w:ascii="宋体" w:hAnsi="宋体" w:cs="宋体" w:eastAsia="宋体" w:hint="default"/>
                <w:sz w:val="18"/>
                <w:szCs w:val="18"/>
              </w:rPr>
              <w:t>鸿</w:t>
            </w:r>
            <w:r>
              <w:rPr>
                <w:rFonts w:ascii="Times New Roman" w:hAnsi="Times New Roman" w:cs="Times New Roman" w:eastAsia="Times New Roman" w:hint="default"/>
                <w:sz w:val="18"/>
                <w:szCs w:val="18"/>
              </w:rPr>
              <w:t>;</w:t>
            </w:r>
            <w:r>
              <w:rPr>
                <w:rFonts w:ascii="宋体" w:hAnsi="宋体" w:cs="宋体" w:eastAsia="宋体" w:hint="default"/>
                <w:sz w:val="18"/>
                <w:szCs w:val="18"/>
              </w:rPr>
              <w:t>朱胡勇</w:t>
            </w:r>
            <w:r>
              <w:rPr>
                <w:rFonts w:ascii="Times New Roman" w:hAnsi="Times New Roman" w:cs="Times New Roman" w:eastAsia="Times New Roman" w:hint="default"/>
                <w:sz w:val="18"/>
                <w:szCs w:val="18"/>
              </w:rPr>
              <w:t>; </w:t>
            </w:r>
            <w:r>
              <w:rPr>
                <w:rFonts w:ascii="宋体" w:hAnsi="宋体" w:cs="宋体" w:eastAsia="宋体" w:hint="default"/>
                <w:sz w:val="18"/>
                <w:szCs w:val="18"/>
              </w:rPr>
              <w:t>罗云波</w:t>
            </w:r>
            <w:r>
              <w:rPr>
                <w:rFonts w:ascii="Times New Roman" w:hAnsi="Times New Roman" w:cs="Times New Roman" w:eastAsia="Times New Roman" w:hint="default"/>
                <w:sz w:val="18"/>
                <w:szCs w:val="18"/>
              </w:rPr>
              <w:t>;</w:t>
            </w:r>
            <w:r>
              <w:rPr>
                <w:rFonts w:ascii="宋体" w:hAnsi="宋体" w:cs="宋体" w:eastAsia="宋体" w:hint="default"/>
                <w:sz w:val="18"/>
                <w:szCs w:val="18"/>
              </w:rPr>
              <w:t>庄 云江</w:t>
            </w:r>
            <w:r>
              <w:rPr>
                <w:rFonts w:ascii="Times New Roman" w:hAnsi="Times New Roman" w:cs="Times New Roman" w:eastAsia="Times New Roman" w:hint="default"/>
                <w:sz w:val="18"/>
                <w:szCs w:val="18"/>
              </w:rPr>
              <w:t>;</w:t>
            </w:r>
            <w:r>
              <w:rPr>
                <w:rFonts w:ascii="宋体" w:hAnsi="宋体" w:cs="宋体" w:eastAsia="宋体" w:hint="default"/>
                <w:sz w:val="18"/>
                <w:szCs w:val="18"/>
              </w:rPr>
              <w:t>杨格 平</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p>
            <w:pPr>
              <w:pStyle w:val="TableParagraph"/>
              <w:spacing w:line="302" w:lineRule="auto" w:before="13"/>
              <w:ind w:left="103" w:right="117"/>
              <w:jc w:val="both"/>
              <w:rPr>
                <w:rFonts w:ascii="宋体" w:hAnsi="宋体" w:cs="宋体" w:eastAsia="宋体" w:hint="default"/>
                <w:sz w:val="18"/>
                <w:szCs w:val="18"/>
              </w:rPr>
            </w:pPr>
            <w:r>
              <w:rPr>
                <w:rFonts w:ascii="宋体" w:hAnsi="宋体" w:cs="宋体" w:eastAsia="宋体" w:hint="default"/>
                <w:sz w:val="18"/>
                <w:szCs w:val="18"/>
              </w:rPr>
              <w:t>文胜</w:t>
            </w:r>
            <w:r>
              <w:rPr>
                <w:rFonts w:ascii="Times New Roman" w:hAnsi="Times New Roman" w:cs="Times New Roman" w:eastAsia="Times New Roman" w:hint="default"/>
                <w:sz w:val="18"/>
                <w:szCs w:val="18"/>
              </w:rPr>
              <w:t>;</w:t>
            </w:r>
            <w:r>
              <w:rPr>
                <w:rFonts w:ascii="宋体" w:hAnsi="宋体" w:cs="宋体" w:eastAsia="宋体" w:hint="default"/>
                <w:sz w:val="18"/>
                <w:szCs w:val="18"/>
              </w:rPr>
              <w:t>林波</w:t>
            </w:r>
            <w:r>
              <w:rPr>
                <w:rFonts w:ascii="Times New Roman" w:hAnsi="Times New Roman" w:cs="Times New Roman" w:eastAsia="Times New Roman" w:hint="default"/>
                <w:sz w:val="18"/>
                <w:szCs w:val="18"/>
              </w:rPr>
              <w:t>; </w:t>
            </w:r>
            <w:r>
              <w:rPr>
                <w:rFonts w:ascii="宋体" w:hAnsi="宋体" w:cs="宋体" w:eastAsia="宋体" w:hint="default"/>
                <w:sz w:val="18"/>
                <w:szCs w:val="18"/>
              </w:rPr>
              <w:t>凡心伟</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4"/>
              <w:ind w:left="103" w:right="21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、公司关于稳定公司股价的承诺。在本 </w:t>
            </w:r>
            <w:r>
              <w:rPr>
                <w:rFonts w:ascii="宋体" w:hAnsi="宋体" w:cs="宋体" w:eastAsia="宋体" w:hint="default"/>
                <w:spacing w:val="-4"/>
                <w:sz w:val="18"/>
                <w:szCs w:val="18"/>
              </w:rPr>
              <w:t>公司上市后三年内股价达到《关于稳定北</w:t>
            </w:r>
            <w:r>
              <w:rPr>
                <w:rFonts w:ascii="宋体" w:hAnsi="宋体" w:cs="宋体" w:eastAsia="宋体" w:hint="default"/>
                <w:sz w:val="18"/>
                <w:szCs w:val="18"/>
              </w:rPr>
              <w:t> 京先进数通信息技术股份公司股价的预 </w:t>
            </w:r>
            <w:r>
              <w:rPr>
                <w:rFonts w:ascii="宋体" w:hAnsi="宋体" w:cs="宋体" w:eastAsia="宋体" w:hint="default"/>
                <w:spacing w:val="-4"/>
                <w:sz w:val="18"/>
                <w:szCs w:val="18"/>
              </w:rPr>
              <w:t>案》规定的启动股价稳定措施的具体条件</w:t>
            </w:r>
            <w:r>
              <w:rPr>
                <w:rFonts w:ascii="宋体" w:hAnsi="宋体" w:cs="宋体" w:eastAsia="宋体" w:hint="default"/>
                <w:sz w:val="18"/>
                <w:szCs w:val="18"/>
              </w:rPr>
              <w:t> </w:t>
            </w:r>
            <w:r>
              <w:rPr>
                <w:rFonts w:ascii="宋体" w:hAnsi="宋体" w:cs="宋体" w:eastAsia="宋体" w:hint="default"/>
                <w:spacing w:val="-4"/>
                <w:sz w:val="18"/>
                <w:szCs w:val="18"/>
              </w:rPr>
              <w:t>后，将遵守本公司董事会作出的稳定股价</w:t>
            </w:r>
            <w:r>
              <w:rPr>
                <w:rFonts w:ascii="宋体" w:hAnsi="宋体" w:cs="宋体" w:eastAsia="宋体" w:hint="default"/>
                <w:sz w:val="18"/>
                <w:szCs w:val="18"/>
              </w:rPr>
              <w:t> </w:t>
            </w:r>
            <w:r>
              <w:rPr>
                <w:rFonts w:ascii="宋体" w:hAnsi="宋体" w:cs="宋体" w:eastAsia="宋体" w:hint="default"/>
                <w:spacing w:val="-4"/>
                <w:sz w:val="18"/>
                <w:szCs w:val="18"/>
              </w:rPr>
              <w:t>的具体实施方案，并根据该具体实施方案</w:t>
            </w:r>
            <w:r>
              <w:rPr>
                <w:rFonts w:ascii="宋体" w:hAnsi="宋体" w:cs="宋体" w:eastAsia="宋体" w:hint="default"/>
                <w:sz w:val="18"/>
                <w:szCs w:val="18"/>
              </w:rPr>
              <w:t> 采取包括但不限于回购本公司股票或董 事会作出的其他稳定股价的具体实施措 </w:t>
            </w:r>
            <w:r>
              <w:rPr>
                <w:rFonts w:ascii="宋体" w:hAnsi="宋体" w:cs="宋体" w:eastAsia="宋体" w:hint="default"/>
                <w:spacing w:val="-4"/>
                <w:sz w:val="18"/>
                <w:szCs w:val="18"/>
              </w:rPr>
              <w:t>施。同时，对于本承诺出具之后新聘的董</w:t>
            </w:r>
            <w:r>
              <w:rPr>
                <w:rFonts w:ascii="宋体" w:hAnsi="宋体" w:cs="宋体" w:eastAsia="宋体" w:hint="default"/>
                <w:sz w:val="18"/>
                <w:szCs w:val="18"/>
              </w:rPr>
              <w:t> </w:t>
            </w:r>
            <w:r>
              <w:rPr>
                <w:rFonts w:ascii="宋体" w:hAnsi="宋体" w:cs="宋体" w:eastAsia="宋体" w:hint="default"/>
                <w:spacing w:val="-4"/>
                <w:sz w:val="18"/>
                <w:szCs w:val="18"/>
              </w:rPr>
              <w:t>事、高级管理人员，本公司将要求该等新</w:t>
            </w:r>
            <w:r>
              <w:rPr>
                <w:rFonts w:ascii="宋体" w:hAnsi="宋体" w:cs="宋体" w:eastAsia="宋体" w:hint="default"/>
                <w:sz w:val="18"/>
                <w:szCs w:val="18"/>
              </w:rPr>
              <w:t> </w:t>
            </w:r>
            <w:r>
              <w:rPr>
                <w:rFonts w:ascii="宋体" w:hAnsi="宋体" w:cs="宋体" w:eastAsia="宋体" w:hint="default"/>
                <w:spacing w:val="-4"/>
                <w:sz w:val="18"/>
                <w:szCs w:val="18"/>
              </w:rPr>
              <w:t>聘的董事、高级管理人员履行《关于稳定</w:t>
            </w:r>
            <w:r>
              <w:rPr>
                <w:rFonts w:ascii="宋体" w:hAnsi="宋体" w:cs="宋体" w:eastAsia="宋体" w:hint="default"/>
                <w:sz w:val="18"/>
                <w:szCs w:val="18"/>
              </w:rPr>
              <w:t> 北京先进数通信息技术股份公司股价的 </w:t>
            </w:r>
            <w:r>
              <w:rPr>
                <w:rFonts w:ascii="宋体" w:hAnsi="宋体" w:cs="宋体" w:eastAsia="宋体" w:hint="default"/>
                <w:spacing w:val="-4"/>
                <w:sz w:val="18"/>
                <w:szCs w:val="18"/>
              </w:rPr>
              <w:t>预案》中应由“新聘的董事、高管”作出</w:t>
            </w:r>
            <w:r>
              <w:rPr>
                <w:rFonts w:ascii="宋体" w:hAnsi="宋体" w:cs="宋体" w:eastAsia="宋体" w:hint="default"/>
                <w:sz w:val="18"/>
                <w:szCs w:val="18"/>
              </w:rPr>
              <w:t> 的相应承诺要求。</w:t>
            </w:r>
            <w:r>
              <w:rPr>
                <w:rFonts w:ascii="Times New Roman" w:hAnsi="Times New Roman" w:cs="Times New Roman" w:eastAsia="Times New Roman" w:hint="default"/>
                <w:sz w:val="18"/>
                <w:szCs w:val="18"/>
              </w:rPr>
              <w:t>2</w:t>
            </w:r>
            <w:r>
              <w:rPr>
                <w:rFonts w:ascii="宋体" w:hAnsi="宋体" w:cs="宋体" w:eastAsia="宋体" w:hint="default"/>
                <w:sz w:val="18"/>
                <w:szCs w:val="18"/>
              </w:rPr>
              <w:t>、发行前担任董事、 监事和高级管理人员的股东关于稳定公 </w:t>
            </w:r>
            <w:r>
              <w:rPr>
                <w:rFonts w:ascii="宋体" w:hAnsi="宋体" w:cs="宋体" w:eastAsia="宋体" w:hint="default"/>
                <w:spacing w:val="-4"/>
                <w:sz w:val="18"/>
                <w:szCs w:val="18"/>
              </w:rPr>
              <w:t>司股价的承诺。在公司上市后三年内股价</w:t>
            </w:r>
            <w:r>
              <w:rPr>
                <w:rFonts w:ascii="宋体" w:hAnsi="宋体" w:cs="宋体" w:eastAsia="宋体" w:hint="default"/>
                <w:sz w:val="18"/>
                <w:szCs w:val="18"/>
              </w:rPr>
              <w:t> </w:t>
            </w:r>
            <w:r>
              <w:rPr>
                <w:rFonts w:ascii="宋体" w:hAnsi="宋体" w:cs="宋体" w:eastAsia="宋体" w:hint="default"/>
                <w:spacing w:val="-4"/>
                <w:sz w:val="18"/>
                <w:szCs w:val="18"/>
              </w:rPr>
              <w:t>达到《关于稳定北京先进数通信息技术股</w:t>
            </w:r>
            <w:r>
              <w:rPr>
                <w:rFonts w:ascii="宋体" w:hAnsi="宋体" w:cs="宋体" w:eastAsia="宋体" w:hint="default"/>
                <w:sz w:val="18"/>
                <w:szCs w:val="18"/>
              </w:rPr>
              <w:t> </w:t>
            </w:r>
            <w:r>
              <w:rPr>
                <w:rFonts w:ascii="宋体" w:hAnsi="宋体" w:cs="宋体" w:eastAsia="宋体" w:hint="default"/>
                <w:spacing w:val="-4"/>
                <w:sz w:val="18"/>
                <w:szCs w:val="18"/>
              </w:rPr>
              <w:t>份公司股价的预案》规定的启动股价稳定</w:t>
            </w:r>
            <w:r>
              <w:rPr>
                <w:rFonts w:ascii="宋体" w:hAnsi="宋体" w:cs="宋体" w:eastAsia="宋体" w:hint="default"/>
                <w:sz w:val="18"/>
                <w:szCs w:val="18"/>
              </w:rPr>
              <w:t> </w:t>
            </w:r>
            <w:r>
              <w:rPr>
                <w:rFonts w:ascii="宋体" w:hAnsi="宋体" w:cs="宋体" w:eastAsia="宋体" w:hint="default"/>
                <w:spacing w:val="-4"/>
                <w:sz w:val="18"/>
                <w:szCs w:val="18"/>
              </w:rPr>
              <w:t>措施的具体条件后，本人将遵守公司董事</w:t>
            </w:r>
            <w:r>
              <w:rPr>
                <w:rFonts w:ascii="宋体" w:hAnsi="宋体" w:cs="宋体" w:eastAsia="宋体" w:hint="default"/>
                <w:sz w:val="18"/>
                <w:szCs w:val="18"/>
              </w:rPr>
              <w:t> </w:t>
            </w:r>
            <w:r>
              <w:rPr>
                <w:rFonts w:ascii="宋体" w:hAnsi="宋体" w:cs="宋体" w:eastAsia="宋体" w:hint="default"/>
                <w:spacing w:val="-4"/>
                <w:sz w:val="18"/>
                <w:szCs w:val="18"/>
              </w:rPr>
              <w:t>会作出的稳定股价的具体实施方案，该具</w:t>
            </w:r>
            <w:r>
              <w:rPr>
                <w:rFonts w:ascii="宋体" w:hAnsi="宋体" w:cs="宋体" w:eastAsia="宋体" w:hint="default"/>
                <w:sz w:val="18"/>
                <w:szCs w:val="18"/>
              </w:rPr>
              <w:t> </w:t>
            </w:r>
            <w:r>
              <w:rPr>
                <w:rFonts w:ascii="宋体" w:hAnsi="宋体" w:cs="宋体" w:eastAsia="宋体" w:hint="default"/>
                <w:spacing w:val="-4"/>
                <w:sz w:val="18"/>
                <w:szCs w:val="18"/>
              </w:rPr>
              <w:t>体实施方案涉及股东大会表决的，在股东</w:t>
            </w:r>
            <w:r>
              <w:rPr>
                <w:rFonts w:ascii="宋体" w:hAnsi="宋体" w:cs="宋体" w:eastAsia="宋体" w:hint="default"/>
                <w:sz w:val="18"/>
                <w:szCs w:val="18"/>
              </w:rPr>
              <w:t> </w:t>
            </w:r>
            <w:r>
              <w:rPr>
                <w:rFonts w:ascii="宋体" w:hAnsi="宋体" w:cs="宋体" w:eastAsia="宋体" w:hint="default"/>
                <w:spacing w:val="-4"/>
                <w:sz w:val="18"/>
                <w:szCs w:val="18"/>
              </w:rPr>
              <w:t>大会表决时投赞成票，并采取包括但不限</w:t>
            </w:r>
            <w:r>
              <w:rPr>
                <w:rFonts w:ascii="宋体" w:hAnsi="宋体" w:cs="宋体" w:eastAsia="宋体" w:hint="default"/>
                <w:sz w:val="18"/>
                <w:szCs w:val="18"/>
              </w:rPr>
              <w:t> 于增持公司股票或董事会作出的其他稳 </w:t>
            </w:r>
            <w:r>
              <w:rPr>
                <w:rFonts w:ascii="宋体" w:hAnsi="宋体" w:cs="宋体" w:eastAsia="宋体" w:hint="default"/>
                <w:spacing w:val="-4"/>
                <w:sz w:val="18"/>
                <w:szCs w:val="18"/>
              </w:rPr>
              <w:t>定股价的具体实施措施，每年度用于增持</w:t>
            </w:r>
            <w:r>
              <w:rPr>
                <w:rFonts w:ascii="宋体" w:hAnsi="宋体" w:cs="宋体" w:eastAsia="宋体" w:hint="default"/>
                <w:sz w:val="18"/>
                <w:szCs w:val="18"/>
              </w:rPr>
              <w:t> 公司股份的货币资金累计不少于其上年 度从公司直接获取的税后薪酬及税后现 金分红总额的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，但以增持股票不导致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公司不满足法定上市条件为限，增持计划</w:t>
            </w:r>
            <w:r>
              <w:rPr>
                <w:rFonts w:ascii="宋体" w:hAnsi="宋体" w:cs="宋体" w:eastAsia="宋体" w:hint="default"/>
                <w:sz w:val="18"/>
                <w:szCs w:val="18"/>
              </w:rPr>
              <w:t> 完成的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个月内将不出售所增持的股份。</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r>
        <w:trPr>
          <w:trHeight w:val="986"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both"/>
              <w:rPr>
                <w:rFonts w:ascii="宋体" w:hAnsi="宋体" w:cs="宋体" w:eastAsia="宋体" w:hint="default"/>
                <w:sz w:val="18"/>
                <w:szCs w:val="18"/>
              </w:rPr>
            </w:pPr>
            <w:r>
              <w:rPr>
                <w:rFonts w:ascii="宋体" w:hAnsi="宋体" w:cs="宋体" w:eastAsia="宋体" w:hint="default"/>
                <w:sz w:val="18"/>
                <w:szCs w:val="18"/>
              </w:rPr>
              <w:t>北京先进 数通信息 技术股份</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、公司关于股份回购的承诺。如果本公 </w:t>
            </w:r>
            <w:r>
              <w:rPr>
                <w:rFonts w:ascii="宋体" w:hAnsi="宋体" w:cs="宋体" w:eastAsia="宋体" w:hint="default"/>
                <w:spacing w:val="-4"/>
                <w:sz w:val="18"/>
                <w:szCs w:val="18"/>
              </w:rPr>
              <w:t>司招股说明书存在虚假记载、误导性陈述</w:t>
            </w:r>
            <w:r>
              <w:rPr>
                <w:rFonts w:ascii="宋体" w:hAnsi="宋体" w:cs="宋体" w:eastAsia="宋体" w:hint="default"/>
                <w:sz w:val="18"/>
                <w:szCs w:val="18"/>
              </w:rPr>
              <w:t> </w:t>
            </w:r>
            <w:r>
              <w:rPr>
                <w:rFonts w:ascii="宋体" w:hAnsi="宋体" w:cs="宋体" w:eastAsia="宋体" w:hint="default"/>
                <w:spacing w:val="-4"/>
                <w:sz w:val="18"/>
                <w:szCs w:val="18"/>
              </w:rPr>
              <w:t>或者重大遗漏，对判断本公司是否符合法</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7"/>
      </w:tblGrid>
      <w:tr>
        <w:trPr>
          <w:trHeight w:val="7227"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16"/>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范丽 明</w:t>
            </w:r>
            <w:r>
              <w:rPr>
                <w:rFonts w:ascii="Times New Roman" w:hAnsi="Times New Roman" w:cs="Times New Roman" w:eastAsia="Times New Roman" w:hint="default"/>
                <w:sz w:val="18"/>
                <w:szCs w:val="18"/>
              </w:rPr>
              <w:t>;</w:t>
            </w:r>
            <w:r>
              <w:rPr>
                <w:rFonts w:ascii="宋体" w:hAnsi="宋体" w:cs="宋体" w:eastAsia="宋体" w:hint="default"/>
                <w:sz w:val="18"/>
                <w:szCs w:val="18"/>
              </w:rPr>
              <w:t>李铠</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p>
            <w:pPr>
              <w:pStyle w:val="TableParagraph"/>
              <w:spacing w:line="300" w:lineRule="auto" w:before="13"/>
              <w:ind w:left="103" w:right="116"/>
              <w:jc w:val="both"/>
              <w:rPr>
                <w:rFonts w:ascii="宋体" w:hAnsi="宋体" w:cs="宋体" w:eastAsia="宋体" w:hint="default"/>
                <w:sz w:val="18"/>
                <w:szCs w:val="18"/>
              </w:rPr>
            </w:pPr>
            <w:r>
              <w:rPr>
                <w:rFonts w:ascii="宋体" w:hAnsi="宋体" w:cs="宋体" w:eastAsia="宋体" w:hint="default"/>
                <w:sz w:val="18"/>
                <w:szCs w:val="18"/>
              </w:rPr>
              <w:t>鸿</w:t>
            </w:r>
            <w:r>
              <w:rPr>
                <w:rFonts w:ascii="Times New Roman" w:hAnsi="Times New Roman" w:cs="Times New Roman" w:eastAsia="Times New Roman" w:hint="default"/>
                <w:sz w:val="18"/>
                <w:szCs w:val="18"/>
              </w:rPr>
              <w:t>;</w:t>
            </w:r>
            <w:r>
              <w:rPr>
                <w:rFonts w:ascii="宋体" w:hAnsi="宋体" w:cs="宋体" w:eastAsia="宋体" w:hint="default"/>
                <w:sz w:val="18"/>
                <w:szCs w:val="18"/>
              </w:rPr>
              <w:t>朱胡勇</w:t>
            </w:r>
            <w:r>
              <w:rPr>
                <w:rFonts w:ascii="Times New Roman" w:hAnsi="Times New Roman" w:cs="Times New Roman" w:eastAsia="Times New Roman" w:hint="default"/>
                <w:sz w:val="18"/>
                <w:szCs w:val="18"/>
              </w:rPr>
              <w:t>; </w:t>
            </w:r>
            <w:r>
              <w:rPr>
                <w:rFonts w:ascii="宋体" w:hAnsi="宋体" w:cs="宋体" w:eastAsia="宋体" w:hint="default"/>
                <w:sz w:val="18"/>
                <w:szCs w:val="18"/>
              </w:rPr>
              <w:t>罗云波</w:t>
            </w:r>
            <w:r>
              <w:rPr>
                <w:rFonts w:ascii="Times New Roman" w:hAnsi="Times New Roman" w:cs="Times New Roman" w:eastAsia="Times New Roman" w:hint="default"/>
                <w:sz w:val="18"/>
                <w:szCs w:val="18"/>
              </w:rPr>
              <w:t>;</w:t>
            </w:r>
            <w:r>
              <w:rPr>
                <w:rFonts w:ascii="宋体" w:hAnsi="宋体" w:cs="宋体" w:eastAsia="宋体" w:hint="default"/>
                <w:sz w:val="18"/>
                <w:szCs w:val="18"/>
              </w:rPr>
              <w:t>庄 云江</w:t>
            </w:r>
            <w:r>
              <w:rPr>
                <w:rFonts w:ascii="Times New Roman" w:hAnsi="Times New Roman" w:cs="Times New Roman" w:eastAsia="Times New Roman" w:hint="default"/>
                <w:sz w:val="18"/>
                <w:szCs w:val="18"/>
              </w:rPr>
              <w:t>;</w:t>
            </w:r>
            <w:r>
              <w:rPr>
                <w:rFonts w:ascii="宋体" w:hAnsi="宋体" w:cs="宋体" w:eastAsia="宋体" w:hint="default"/>
                <w:sz w:val="18"/>
                <w:szCs w:val="18"/>
              </w:rPr>
              <w:t>杨格 平</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p>
            <w:pPr>
              <w:pStyle w:val="TableParagraph"/>
              <w:spacing w:line="302" w:lineRule="auto" w:before="13"/>
              <w:ind w:left="103" w:right="117"/>
              <w:jc w:val="both"/>
              <w:rPr>
                <w:rFonts w:ascii="宋体" w:hAnsi="宋体" w:cs="宋体" w:eastAsia="宋体" w:hint="default"/>
                <w:sz w:val="18"/>
                <w:szCs w:val="18"/>
              </w:rPr>
            </w:pPr>
            <w:r>
              <w:rPr>
                <w:rFonts w:ascii="宋体" w:hAnsi="宋体" w:cs="宋体" w:eastAsia="宋体" w:hint="default"/>
                <w:sz w:val="18"/>
                <w:szCs w:val="18"/>
              </w:rPr>
              <w:t>文胜</w:t>
            </w:r>
            <w:r>
              <w:rPr>
                <w:rFonts w:ascii="Times New Roman" w:hAnsi="Times New Roman" w:cs="Times New Roman" w:eastAsia="Times New Roman" w:hint="default"/>
                <w:sz w:val="18"/>
                <w:szCs w:val="18"/>
              </w:rPr>
              <w:t>;</w:t>
            </w:r>
            <w:r>
              <w:rPr>
                <w:rFonts w:ascii="宋体" w:hAnsi="宋体" w:cs="宋体" w:eastAsia="宋体" w:hint="default"/>
                <w:sz w:val="18"/>
                <w:szCs w:val="18"/>
              </w:rPr>
              <w:t>林波</w:t>
            </w:r>
            <w:r>
              <w:rPr>
                <w:rFonts w:ascii="Times New Roman" w:hAnsi="Times New Roman" w:cs="Times New Roman" w:eastAsia="Times New Roman" w:hint="default"/>
                <w:sz w:val="18"/>
                <w:szCs w:val="18"/>
              </w:rPr>
              <w:t>; </w:t>
            </w:r>
            <w:r>
              <w:rPr>
                <w:rFonts w:ascii="宋体" w:hAnsi="宋体" w:cs="宋体" w:eastAsia="宋体" w:hint="default"/>
                <w:sz w:val="18"/>
                <w:szCs w:val="18"/>
              </w:rPr>
              <w:t>凡心伟</w:t>
            </w: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律规定的发行条件构成重大、实质影响 </w:t>
            </w:r>
            <w:r>
              <w:rPr>
                <w:rFonts w:ascii="宋体" w:hAnsi="宋体" w:cs="宋体" w:eastAsia="宋体" w:hint="default"/>
                <w:spacing w:val="-4"/>
                <w:sz w:val="18"/>
                <w:szCs w:val="18"/>
              </w:rPr>
              <w:t>的，本公司董事会将在证券监管部门依法</w:t>
            </w:r>
            <w:r>
              <w:rPr>
                <w:rFonts w:ascii="宋体" w:hAnsi="宋体" w:cs="宋体" w:eastAsia="宋体" w:hint="default"/>
                <w:sz w:val="18"/>
                <w:szCs w:val="18"/>
              </w:rPr>
              <w:t> 对上述事实作出认定或处罚决定后十个 </w:t>
            </w:r>
            <w:r>
              <w:rPr>
                <w:rFonts w:ascii="宋体" w:hAnsi="宋体" w:cs="宋体" w:eastAsia="宋体" w:hint="default"/>
                <w:spacing w:val="-4"/>
                <w:sz w:val="18"/>
                <w:szCs w:val="18"/>
              </w:rPr>
              <w:t>工作日内，制订股份回购方案并提交股东</w:t>
            </w:r>
            <w:r>
              <w:rPr>
                <w:rFonts w:ascii="宋体" w:hAnsi="宋体" w:cs="宋体" w:eastAsia="宋体" w:hint="default"/>
                <w:sz w:val="18"/>
                <w:szCs w:val="18"/>
              </w:rPr>
              <w:t> </w:t>
            </w:r>
            <w:r>
              <w:rPr>
                <w:rFonts w:ascii="宋体" w:hAnsi="宋体" w:cs="宋体" w:eastAsia="宋体" w:hint="default"/>
                <w:spacing w:val="-4"/>
                <w:sz w:val="18"/>
                <w:szCs w:val="18"/>
              </w:rPr>
              <w:t>大会审议批准，本公司将依法回购首次公</w:t>
            </w:r>
            <w:r>
              <w:rPr>
                <w:rFonts w:ascii="宋体" w:hAnsi="宋体" w:cs="宋体" w:eastAsia="宋体" w:hint="default"/>
                <w:sz w:val="18"/>
                <w:szCs w:val="18"/>
              </w:rPr>
              <w:t> </w:t>
            </w:r>
            <w:r>
              <w:rPr>
                <w:rFonts w:ascii="宋体" w:hAnsi="宋体" w:cs="宋体" w:eastAsia="宋体" w:hint="default"/>
                <w:spacing w:val="-4"/>
                <w:sz w:val="18"/>
                <w:szCs w:val="18"/>
              </w:rPr>
              <w:t>开发行的全部新股，回购价格为发行价加</w:t>
            </w:r>
            <w:r>
              <w:rPr>
                <w:rFonts w:ascii="宋体" w:hAnsi="宋体" w:cs="宋体" w:eastAsia="宋体" w:hint="default"/>
                <w:sz w:val="18"/>
                <w:szCs w:val="18"/>
              </w:rPr>
              <w:t> </w:t>
            </w:r>
            <w:r>
              <w:rPr>
                <w:rFonts w:ascii="宋体" w:hAnsi="宋体" w:cs="宋体" w:eastAsia="宋体" w:hint="default"/>
                <w:spacing w:val="-4"/>
                <w:sz w:val="18"/>
                <w:szCs w:val="18"/>
              </w:rPr>
              <w:t>上同期银行存款利息。自公司股票上市至</w:t>
            </w:r>
            <w:r>
              <w:rPr>
                <w:rFonts w:ascii="宋体" w:hAnsi="宋体" w:cs="宋体" w:eastAsia="宋体" w:hint="default"/>
                <w:sz w:val="18"/>
                <w:szCs w:val="18"/>
              </w:rPr>
              <w:t> </w:t>
            </w:r>
            <w:r>
              <w:rPr>
                <w:rFonts w:ascii="宋体" w:hAnsi="宋体" w:cs="宋体" w:eastAsia="宋体" w:hint="default"/>
                <w:spacing w:val="-4"/>
                <w:sz w:val="18"/>
                <w:szCs w:val="18"/>
              </w:rPr>
              <w:t>回购期间，公司如有派息、送股、资本公</w:t>
            </w:r>
            <w:r>
              <w:rPr>
                <w:rFonts w:ascii="宋体" w:hAnsi="宋体" w:cs="宋体" w:eastAsia="宋体" w:hint="default"/>
                <w:sz w:val="18"/>
                <w:szCs w:val="18"/>
              </w:rPr>
              <w:t> </w:t>
            </w:r>
            <w:r>
              <w:rPr>
                <w:rFonts w:ascii="宋体" w:hAnsi="宋体" w:cs="宋体" w:eastAsia="宋体" w:hint="default"/>
                <w:spacing w:val="-4"/>
                <w:sz w:val="18"/>
                <w:szCs w:val="18"/>
              </w:rPr>
              <w:t>积金转增股本、配股等除权除息事项，发</w:t>
            </w:r>
            <w:r>
              <w:rPr>
                <w:rFonts w:ascii="宋体" w:hAnsi="宋体" w:cs="宋体" w:eastAsia="宋体" w:hint="default"/>
                <w:sz w:val="18"/>
                <w:szCs w:val="18"/>
              </w:rPr>
              <w:t> </w:t>
            </w:r>
            <w:r>
              <w:rPr>
                <w:rFonts w:ascii="宋体" w:hAnsi="宋体" w:cs="宋体" w:eastAsia="宋体" w:hint="default"/>
                <w:spacing w:val="-4"/>
                <w:sz w:val="18"/>
                <w:szCs w:val="18"/>
              </w:rPr>
              <w:t>行价将相应进行调整，回购的股份包括原</w:t>
            </w:r>
            <w:r>
              <w:rPr>
                <w:rFonts w:ascii="宋体" w:hAnsi="宋体" w:cs="宋体" w:eastAsia="宋体" w:hint="default"/>
                <w:sz w:val="18"/>
                <w:szCs w:val="18"/>
              </w:rPr>
              <w:t> </w:t>
            </w:r>
            <w:r>
              <w:rPr>
                <w:rFonts w:ascii="宋体" w:hAnsi="宋体" w:cs="宋体" w:eastAsia="宋体" w:hint="default"/>
                <w:spacing w:val="-4"/>
                <w:sz w:val="18"/>
                <w:szCs w:val="18"/>
              </w:rPr>
              <w:t>限售股份及其派生股份。对于首次公开发</w:t>
            </w:r>
            <w:r>
              <w:rPr>
                <w:rFonts w:ascii="宋体" w:hAnsi="宋体" w:cs="宋体" w:eastAsia="宋体" w:hint="default"/>
                <w:sz w:val="18"/>
                <w:szCs w:val="18"/>
              </w:rPr>
              <w:t> </w:t>
            </w:r>
            <w:r>
              <w:rPr>
                <w:rFonts w:ascii="宋体" w:hAnsi="宋体" w:cs="宋体" w:eastAsia="宋体" w:hint="default"/>
                <w:spacing w:val="-4"/>
                <w:sz w:val="18"/>
                <w:szCs w:val="18"/>
              </w:rPr>
              <w:t>行股票时公司股东发售的原限售股份（如</w:t>
            </w:r>
            <w:r>
              <w:rPr>
                <w:rFonts w:ascii="宋体" w:hAnsi="宋体" w:cs="宋体" w:eastAsia="宋体" w:hint="default"/>
                <w:sz w:val="18"/>
                <w:szCs w:val="18"/>
              </w:rPr>
              <w:t> </w:t>
            </w:r>
            <w:r>
              <w:rPr>
                <w:rFonts w:ascii="宋体" w:hAnsi="宋体" w:cs="宋体" w:eastAsia="宋体" w:hint="default"/>
                <w:spacing w:val="-5"/>
                <w:sz w:val="18"/>
                <w:szCs w:val="18"/>
              </w:rPr>
              <w:t>有），本公司将在证券监管部门依法对上</w:t>
            </w:r>
            <w:r>
              <w:rPr>
                <w:rFonts w:ascii="宋体" w:hAnsi="宋体" w:cs="宋体" w:eastAsia="宋体" w:hint="default"/>
                <w:sz w:val="18"/>
                <w:szCs w:val="18"/>
              </w:rPr>
              <w:t> 述事实作出认定或处罚决定后五个工作 </w:t>
            </w:r>
            <w:r>
              <w:rPr>
                <w:rFonts w:ascii="宋体" w:hAnsi="宋体" w:cs="宋体" w:eastAsia="宋体" w:hint="default"/>
                <w:spacing w:val="-4"/>
                <w:sz w:val="18"/>
                <w:szCs w:val="18"/>
              </w:rPr>
              <w:t>日内，要求相关股东制订股份回购方案并</w:t>
            </w:r>
            <w:r>
              <w:rPr>
                <w:rFonts w:ascii="宋体" w:hAnsi="宋体" w:cs="宋体" w:eastAsia="宋体" w:hint="default"/>
                <w:sz w:val="18"/>
                <w:szCs w:val="18"/>
              </w:rPr>
              <w:t> 予以公告。</w:t>
            </w:r>
            <w:r>
              <w:rPr>
                <w:rFonts w:ascii="Times New Roman" w:hAnsi="Times New Roman" w:cs="Times New Roman" w:eastAsia="Times New Roman" w:hint="default"/>
                <w:sz w:val="18"/>
                <w:szCs w:val="18"/>
              </w:rPr>
              <w:t>2</w:t>
            </w:r>
            <w:r>
              <w:rPr>
                <w:rFonts w:ascii="宋体" w:hAnsi="宋体" w:cs="宋体" w:eastAsia="宋体" w:hint="default"/>
                <w:sz w:val="18"/>
                <w:szCs w:val="18"/>
              </w:rPr>
              <w:t>、发行前担任董事、监事、 高级管理人员的股东关于股份回购的承 </w:t>
            </w:r>
            <w:r>
              <w:rPr>
                <w:rFonts w:ascii="宋体" w:hAnsi="宋体" w:cs="宋体" w:eastAsia="宋体" w:hint="default"/>
                <w:spacing w:val="-4"/>
                <w:sz w:val="18"/>
                <w:szCs w:val="18"/>
              </w:rPr>
              <w:t>诺。如果先进数通的招股说明书存在虚假</w:t>
            </w:r>
            <w:r>
              <w:rPr>
                <w:rFonts w:ascii="宋体" w:hAnsi="宋体" w:cs="宋体" w:eastAsia="宋体" w:hint="default"/>
                <w:sz w:val="18"/>
                <w:szCs w:val="18"/>
              </w:rPr>
              <w:t> </w:t>
            </w:r>
            <w:r>
              <w:rPr>
                <w:rFonts w:ascii="宋体" w:hAnsi="宋体" w:cs="宋体" w:eastAsia="宋体" w:hint="default"/>
                <w:spacing w:val="-4"/>
                <w:sz w:val="18"/>
                <w:szCs w:val="18"/>
              </w:rPr>
              <w:t>记载、误导性陈述或者重大遗漏，对判断</w:t>
            </w:r>
            <w:r>
              <w:rPr>
                <w:rFonts w:ascii="宋体" w:hAnsi="宋体" w:cs="宋体" w:eastAsia="宋体" w:hint="default"/>
                <w:sz w:val="18"/>
                <w:szCs w:val="18"/>
              </w:rPr>
              <w:t> 先进数通是否符合法律规定的发行条件 </w:t>
            </w:r>
            <w:r>
              <w:rPr>
                <w:rFonts w:ascii="宋体" w:hAnsi="宋体" w:cs="宋体" w:eastAsia="宋体" w:hint="default"/>
                <w:spacing w:val="-4"/>
                <w:sz w:val="18"/>
                <w:szCs w:val="18"/>
              </w:rPr>
              <w:t>构成重大、实质影响的，本人作为先进数</w:t>
            </w:r>
            <w:r>
              <w:rPr>
                <w:rFonts w:ascii="宋体" w:hAnsi="宋体" w:cs="宋体" w:eastAsia="宋体" w:hint="default"/>
                <w:sz w:val="18"/>
                <w:szCs w:val="18"/>
              </w:rPr>
              <w:t> </w:t>
            </w:r>
            <w:r>
              <w:rPr>
                <w:rFonts w:ascii="宋体" w:hAnsi="宋体" w:cs="宋体" w:eastAsia="宋体" w:hint="default"/>
                <w:spacing w:val="-4"/>
                <w:sz w:val="18"/>
                <w:szCs w:val="18"/>
              </w:rPr>
              <w:t>通的股东，将督促先进数通依法回购首次</w:t>
            </w:r>
            <w:r>
              <w:rPr>
                <w:rFonts w:ascii="宋体" w:hAnsi="宋体" w:cs="宋体" w:eastAsia="宋体" w:hint="default"/>
                <w:sz w:val="18"/>
                <w:szCs w:val="18"/>
              </w:rPr>
              <w:t> 公开发行的全部新股。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常履行中</w:t>
            </w:r>
          </w:p>
        </w:tc>
      </w:tr>
      <w:tr>
        <w:trPr>
          <w:trHeight w:val="6603"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6"/>
              <w:jc w:val="both"/>
              <w:rPr>
                <w:rFonts w:ascii="宋体" w:hAnsi="宋体" w:cs="宋体" w:eastAsia="宋体" w:hint="default"/>
                <w:sz w:val="18"/>
                <w:szCs w:val="18"/>
              </w:rPr>
            </w:pPr>
            <w:r>
              <w:rPr>
                <w:rFonts w:ascii="宋体" w:hAnsi="宋体" w:cs="宋体" w:eastAsia="宋体" w:hint="default"/>
                <w:sz w:val="18"/>
                <w:szCs w:val="18"/>
              </w:rPr>
              <w:t>北京先进 数通信息 技术股份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范丽 明</w:t>
            </w:r>
            <w:r>
              <w:rPr>
                <w:rFonts w:ascii="Times New Roman" w:hAnsi="Times New Roman" w:cs="Times New Roman" w:eastAsia="Times New Roman" w:hint="default"/>
                <w:sz w:val="18"/>
                <w:szCs w:val="18"/>
              </w:rPr>
              <w:t>;</w:t>
            </w:r>
            <w:r>
              <w:rPr>
                <w:rFonts w:ascii="宋体" w:hAnsi="宋体" w:cs="宋体" w:eastAsia="宋体" w:hint="default"/>
                <w:sz w:val="18"/>
                <w:szCs w:val="18"/>
              </w:rPr>
              <w:t>李铠</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p>
            <w:pPr>
              <w:pStyle w:val="TableParagraph"/>
              <w:spacing w:line="304"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鸿</w:t>
            </w:r>
            <w:r>
              <w:rPr>
                <w:rFonts w:ascii="Times New Roman" w:hAnsi="Times New Roman" w:cs="Times New Roman" w:eastAsia="Times New Roman" w:hint="default"/>
                <w:sz w:val="18"/>
                <w:szCs w:val="18"/>
              </w:rPr>
              <w:t>;</w:t>
            </w:r>
            <w:r>
              <w:rPr>
                <w:rFonts w:ascii="宋体" w:hAnsi="宋体" w:cs="宋体" w:eastAsia="宋体" w:hint="default"/>
                <w:sz w:val="18"/>
                <w:szCs w:val="18"/>
              </w:rPr>
              <w:t>朱胡勇</w:t>
            </w:r>
            <w:r>
              <w:rPr>
                <w:rFonts w:ascii="Times New Roman" w:hAnsi="Times New Roman" w:cs="Times New Roman" w:eastAsia="Times New Roman" w:hint="default"/>
                <w:sz w:val="18"/>
                <w:szCs w:val="18"/>
              </w:rPr>
              <w:t>; </w:t>
            </w:r>
            <w:r>
              <w:rPr>
                <w:rFonts w:ascii="宋体" w:hAnsi="宋体" w:cs="宋体" w:eastAsia="宋体" w:hint="default"/>
                <w:sz w:val="18"/>
                <w:szCs w:val="18"/>
              </w:rPr>
              <w:t>罗云波</w:t>
            </w:r>
            <w:r>
              <w:rPr>
                <w:rFonts w:ascii="Times New Roman" w:hAnsi="Times New Roman" w:cs="Times New Roman" w:eastAsia="Times New Roman" w:hint="default"/>
                <w:sz w:val="18"/>
                <w:szCs w:val="18"/>
              </w:rPr>
              <w:t>;</w:t>
            </w:r>
            <w:r>
              <w:rPr>
                <w:rFonts w:ascii="宋体" w:hAnsi="宋体" w:cs="宋体" w:eastAsia="宋体" w:hint="default"/>
                <w:sz w:val="18"/>
                <w:szCs w:val="18"/>
              </w:rPr>
              <w:t>庄 云江</w:t>
            </w:r>
            <w:r>
              <w:rPr>
                <w:rFonts w:ascii="Times New Roman" w:hAnsi="Times New Roman" w:cs="Times New Roman" w:eastAsia="Times New Roman" w:hint="default"/>
                <w:sz w:val="18"/>
                <w:szCs w:val="18"/>
              </w:rPr>
              <w:t>;</w:t>
            </w:r>
            <w:r>
              <w:rPr>
                <w:rFonts w:ascii="宋体" w:hAnsi="宋体" w:cs="宋体" w:eastAsia="宋体" w:hint="default"/>
                <w:sz w:val="18"/>
                <w:szCs w:val="18"/>
              </w:rPr>
              <w:t>单怀 光</w:t>
            </w:r>
            <w:r>
              <w:rPr>
                <w:rFonts w:ascii="Times New Roman" w:hAnsi="Times New Roman" w:cs="Times New Roman" w:eastAsia="Times New Roman" w:hint="default"/>
                <w:sz w:val="18"/>
                <w:szCs w:val="18"/>
              </w:rPr>
              <w:t>;</w:t>
            </w:r>
            <w:r>
              <w:rPr>
                <w:rFonts w:ascii="宋体" w:hAnsi="宋体" w:cs="宋体" w:eastAsia="宋体" w:hint="default"/>
                <w:sz w:val="18"/>
                <w:szCs w:val="18"/>
              </w:rPr>
              <w:t>肖淑芳</w:t>
            </w:r>
            <w:r>
              <w:rPr>
                <w:rFonts w:ascii="Times New Roman" w:hAnsi="Times New Roman" w:cs="Times New Roman" w:eastAsia="Times New Roman" w:hint="default"/>
                <w:sz w:val="18"/>
                <w:szCs w:val="18"/>
              </w:rPr>
              <w:t>; </w:t>
            </w:r>
            <w:r>
              <w:rPr>
                <w:rFonts w:ascii="宋体" w:hAnsi="宋体" w:cs="宋体" w:eastAsia="宋体" w:hint="default"/>
                <w:sz w:val="18"/>
                <w:szCs w:val="18"/>
              </w:rPr>
              <w:t>李纪军</w:t>
            </w:r>
            <w:r>
              <w:rPr>
                <w:rFonts w:ascii="Times New Roman" w:hAnsi="Times New Roman" w:cs="Times New Roman" w:eastAsia="Times New Roman" w:hint="default"/>
                <w:sz w:val="18"/>
                <w:szCs w:val="18"/>
              </w:rPr>
              <w:t>;</w:t>
            </w:r>
            <w:r>
              <w:rPr>
                <w:rFonts w:ascii="宋体" w:hAnsi="宋体" w:cs="宋体" w:eastAsia="宋体" w:hint="default"/>
                <w:sz w:val="18"/>
                <w:szCs w:val="18"/>
              </w:rPr>
              <w:t>杨 格平</w:t>
            </w:r>
            <w:r>
              <w:rPr>
                <w:rFonts w:ascii="Times New Roman" w:hAnsi="Times New Roman" w:cs="Times New Roman" w:eastAsia="Times New Roman" w:hint="default"/>
                <w:sz w:val="18"/>
                <w:szCs w:val="18"/>
              </w:rPr>
              <w:t>;</w:t>
            </w:r>
            <w:r>
              <w:rPr>
                <w:rFonts w:ascii="宋体" w:hAnsi="宋体" w:cs="宋体" w:eastAsia="宋体" w:hint="default"/>
                <w:sz w:val="18"/>
                <w:szCs w:val="18"/>
              </w:rPr>
              <w:t>赵宏 亮</w:t>
            </w:r>
            <w:r>
              <w:rPr>
                <w:rFonts w:ascii="Times New Roman" w:hAnsi="Times New Roman" w:cs="Times New Roman" w:eastAsia="Times New Roman" w:hint="default"/>
                <w:sz w:val="18"/>
                <w:szCs w:val="18"/>
              </w:rPr>
              <w:t>;</w:t>
            </w:r>
            <w:r>
              <w:rPr>
                <w:rFonts w:ascii="宋体" w:hAnsi="宋体" w:cs="宋体" w:eastAsia="宋体" w:hint="default"/>
                <w:sz w:val="18"/>
                <w:szCs w:val="18"/>
              </w:rPr>
              <w:t>李宏亮</w:t>
            </w:r>
            <w:r>
              <w:rPr>
                <w:rFonts w:ascii="Times New Roman" w:hAnsi="Times New Roman" w:cs="Times New Roman" w:eastAsia="Times New Roman" w:hint="default"/>
                <w:sz w:val="18"/>
                <w:szCs w:val="18"/>
              </w:rPr>
              <w:t>; </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 胜</w:t>
            </w:r>
            <w:r>
              <w:rPr>
                <w:rFonts w:ascii="Times New Roman" w:hAnsi="Times New Roman" w:cs="Times New Roman" w:eastAsia="Times New Roman" w:hint="default"/>
                <w:sz w:val="18"/>
                <w:szCs w:val="18"/>
              </w:rPr>
              <w:t>;</w:t>
            </w:r>
            <w:r>
              <w:rPr>
                <w:rFonts w:ascii="宋体" w:hAnsi="宋体" w:cs="宋体" w:eastAsia="宋体" w:hint="default"/>
                <w:sz w:val="18"/>
                <w:szCs w:val="18"/>
              </w:rPr>
              <w:t>国泰君 安证券股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 天元律师 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大 信会计师 </w:t>
            </w:r>
            <w:r>
              <w:rPr>
                <w:rFonts w:ascii="宋体" w:hAnsi="宋体" w:cs="宋体" w:eastAsia="宋体" w:hint="default"/>
                <w:spacing w:val="-13"/>
                <w:sz w:val="18"/>
                <w:szCs w:val="18"/>
              </w:rPr>
              <w:t>事务所（特</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、公司关于依法承担赔偿或者补偿责任 </w:t>
            </w:r>
            <w:r>
              <w:rPr>
                <w:rFonts w:ascii="宋体" w:hAnsi="宋体" w:cs="宋体" w:eastAsia="宋体" w:hint="default"/>
                <w:spacing w:val="-4"/>
                <w:sz w:val="18"/>
                <w:szCs w:val="18"/>
              </w:rPr>
              <w:t>的承诺。如果本公司招股说明书存在虚假</w:t>
            </w:r>
            <w:r>
              <w:rPr>
                <w:rFonts w:ascii="宋体" w:hAnsi="宋体" w:cs="宋体" w:eastAsia="宋体" w:hint="default"/>
                <w:sz w:val="18"/>
                <w:szCs w:val="18"/>
              </w:rPr>
              <w:t> </w:t>
            </w:r>
            <w:r>
              <w:rPr>
                <w:rFonts w:ascii="宋体" w:hAnsi="宋体" w:cs="宋体" w:eastAsia="宋体" w:hint="default"/>
                <w:spacing w:val="-4"/>
                <w:sz w:val="18"/>
                <w:szCs w:val="18"/>
              </w:rPr>
              <w:t>记载、误导性陈述或者重大遗漏，致使投</w:t>
            </w:r>
            <w:r>
              <w:rPr>
                <w:rFonts w:ascii="宋体" w:hAnsi="宋体" w:cs="宋体" w:eastAsia="宋体" w:hint="default"/>
                <w:sz w:val="18"/>
                <w:szCs w:val="18"/>
              </w:rPr>
              <w:t> </w:t>
            </w:r>
            <w:r>
              <w:rPr>
                <w:rFonts w:ascii="宋体" w:hAnsi="宋体" w:cs="宋体" w:eastAsia="宋体" w:hint="default"/>
                <w:spacing w:val="-4"/>
                <w:sz w:val="18"/>
                <w:szCs w:val="18"/>
              </w:rPr>
              <w:t>资者在证券交易中遭受损失的，将依法赔</w:t>
            </w:r>
            <w:r>
              <w:rPr>
                <w:rFonts w:ascii="宋体" w:hAnsi="宋体" w:cs="宋体" w:eastAsia="宋体" w:hint="default"/>
                <w:sz w:val="18"/>
                <w:szCs w:val="18"/>
              </w:rPr>
              <w:t> </w:t>
            </w:r>
            <w:r>
              <w:rPr>
                <w:rFonts w:ascii="宋体" w:hAnsi="宋体" w:cs="宋体" w:eastAsia="宋体" w:hint="default"/>
                <w:spacing w:val="-4"/>
                <w:sz w:val="18"/>
                <w:szCs w:val="18"/>
              </w:rPr>
              <w:t>偿投资者损失，按照司法程序履行相关义</w:t>
            </w:r>
            <w:r>
              <w:rPr>
                <w:rFonts w:ascii="宋体" w:hAnsi="宋体" w:cs="宋体" w:eastAsia="宋体" w:hint="default"/>
                <w:sz w:val="18"/>
                <w:szCs w:val="18"/>
              </w:rPr>
              <w:t> 务。</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、公司董事、监事、高级管理人员 关于依法承担赔偿或者补偿责任的承诺。 如果先进数通的招股说明书存在虚假记 </w:t>
            </w:r>
            <w:r>
              <w:rPr>
                <w:rFonts w:ascii="宋体" w:hAnsi="宋体" w:cs="宋体" w:eastAsia="宋体" w:hint="default"/>
                <w:spacing w:val="-4"/>
                <w:sz w:val="18"/>
                <w:szCs w:val="18"/>
              </w:rPr>
              <w:t>载、误导性陈述或者重大遗漏，致使投资</w:t>
            </w:r>
            <w:r>
              <w:rPr>
                <w:rFonts w:ascii="宋体" w:hAnsi="宋体" w:cs="宋体" w:eastAsia="宋体" w:hint="default"/>
                <w:sz w:val="18"/>
                <w:szCs w:val="18"/>
              </w:rPr>
              <w:t> </w:t>
            </w:r>
            <w:r>
              <w:rPr>
                <w:rFonts w:ascii="宋体" w:hAnsi="宋体" w:cs="宋体" w:eastAsia="宋体" w:hint="default"/>
                <w:spacing w:val="-4"/>
                <w:sz w:val="18"/>
                <w:szCs w:val="18"/>
              </w:rPr>
              <w:t>者在证券交易中遭受损失的，本人将依法</w:t>
            </w:r>
            <w:r>
              <w:rPr>
                <w:rFonts w:ascii="宋体" w:hAnsi="宋体" w:cs="宋体" w:eastAsia="宋体" w:hint="default"/>
                <w:sz w:val="18"/>
                <w:szCs w:val="18"/>
              </w:rPr>
              <w:t> </w:t>
            </w:r>
            <w:r>
              <w:rPr>
                <w:rFonts w:ascii="宋体" w:hAnsi="宋体" w:cs="宋体" w:eastAsia="宋体" w:hint="default"/>
                <w:spacing w:val="-4"/>
                <w:sz w:val="18"/>
                <w:szCs w:val="18"/>
              </w:rPr>
              <w:t>赔偿投资者损失，按照司法程序履行相关</w:t>
            </w:r>
            <w:r>
              <w:rPr>
                <w:rFonts w:ascii="宋体" w:hAnsi="宋体" w:cs="宋体" w:eastAsia="宋体" w:hint="default"/>
                <w:sz w:val="18"/>
                <w:szCs w:val="18"/>
              </w:rPr>
              <w:t> 义务。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、保荐人及证券服务机构作出的 </w:t>
            </w:r>
            <w:r>
              <w:rPr>
                <w:rFonts w:ascii="宋体" w:hAnsi="宋体" w:cs="宋体" w:eastAsia="宋体" w:hint="default"/>
                <w:spacing w:val="-4"/>
                <w:sz w:val="18"/>
                <w:szCs w:val="18"/>
              </w:rPr>
              <w:t>重要承诺。国泰君安证券股份有限公司承</w:t>
            </w:r>
            <w:r>
              <w:rPr>
                <w:rFonts w:ascii="宋体" w:hAnsi="宋体" w:cs="宋体" w:eastAsia="宋体" w:hint="default"/>
                <w:sz w:val="18"/>
                <w:szCs w:val="18"/>
              </w:rPr>
              <w:t> </w:t>
            </w:r>
            <w:r>
              <w:rPr>
                <w:rFonts w:ascii="宋体" w:hAnsi="宋体" w:cs="宋体" w:eastAsia="宋体" w:hint="default"/>
                <w:spacing w:val="-4"/>
                <w:sz w:val="18"/>
                <w:szCs w:val="18"/>
              </w:rPr>
              <w:t>诺：由于本公司为发行人首次公开发行并</w:t>
            </w:r>
            <w:r>
              <w:rPr>
                <w:rFonts w:ascii="宋体" w:hAnsi="宋体" w:cs="宋体" w:eastAsia="宋体" w:hint="default"/>
                <w:sz w:val="18"/>
                <w:szCs w:val="18"/>
              </w:rPr>
              <w:t> </w:t>
            </w:r>
            <w:r>
              <w:rPr>
                <w:rFonts w:ascii="宋体" w:hAnsi="宋体" w:cs="宋体" w:eastAsia="宋体" w:hint="default"/>
                <w:spacing w:val="-4"/>
                <w:sz w:val="18"/>
                <w:szCs w:val="18"/>
              </w:rPr>
              <w:t>在创业板上市制作、出具的文件有虚假记</w:t>
            </w:r>
            <w:r>
              <w:rPr>
                <w:rFonts w:ascii="宋体" w:hAnsi="宋体" w:cs="宋体" w:eastAsia="宋体" w:hint="default"/>
                <w:sz w:val="18"/>
                <w:szCs w:val="18"/>
              </w:rPr>
              <w:t> </w:t>
            </w:r>
            <w:r>
              <w:rPr>
                <w:rFonts w:ascii="宋体" w:hAnsi="宋体" w:cs="宋体" w:eastAsia="宋体" w:hint="default"/>
                <w:spacing w:val="-4"/>
                <w:sz w:val="18"/>
                <w:szCs w:val="18"/>
              </w:rPr>
              <w:t>载、误导性陈述或者重大遗漏，给投资者</w:t>
            </w:r>
            <w:r>
              <w:rPr>
                <w:rFonts w:ascii="宋体" w:hAnsi="宋体" w:cs="宋体" w:eastAsia="宋体" w:hint="default"/>
                <w:sz w:val="18"/>
                <w:szCs w:val="18"/>
              </w:rPr>
              <w:t> </w:t>
            </w:r>
            <w:r>
              <w:rPr>
                <w:rFonts w:ascii="宋体" w:hAnsi="宋体" w:cs="宋体" w:eastAsia="宋体" w:hint="default"/>
                <w:spacing w:val="-4"/>
                <w:sz w:val="18"/>
                <w:szCs w:val="18"/>
              </w:rPr>
              <w:t>造成损失的，本公司将依法赔偿投资者损</w:t>
            </w:r>
            <w:r>
              <w:rPr>
                <w:rFonts w:ascii="宋体" w:hAnsi="宋体" w:cs="宋体" w:eastAsia="宋体" w:hint="default"/>
                <w:sz w:val="18"/>
                <w:szCs w:val="18"/>
              </w:rPr>
              <w:t> </w:t>
            </w:r>
            <w:r>
              <w:rPr>
                <w:rFonts w:ascii="宋体" w:hAnsi="宋体" w:cs="宋体" w:eastAsia="宋体" w:hint="default"/>
                <w:spacing w:val="-4"/>
                <w:sz w:val="18"/>
                <w:szCs w:val="18"/>
              </w:rPr>
              <w:t>失，但本公司没有过错的除外。保荐人承</w:t>
            </w:r>
            <w:r>
              <w:rPr>
                <w:rFonts w:ascii="宋体" w:hAnsi="宋体" w:cs="宋体" w:eastAsia="宋体" w:hint="default"/>
                <w:sz w:val="18"/>
                <w:szCs w:val="18"/>
              </w:rPr>
              <w:t> 诺因其为发行人首次公开发行股票制作、 </w:t>
            </w:r>
            <w:r>
              <w:rPr>
                <w:rFonts w:ascii="宋体" w:hAnsi="宋体" w:cs="宋体" w:eastAsia="宋体" w:hint="default"/>
                <w:spacing w:val="-4"/>
                <w:sz w:val="18"/>
                <w:szCs w:val="18"/>
              </w:rPr>
              <w:t>出具的文件有虚假记载、误导性陈述或者</w:t>
            </w:r>
            <w:r>
              <w:rPr>
                <w:rFonts w:ascii="宋体" w:hAnsi="宋体" w:cs="宋体" w:eastAsia="宋体" w:hint="default"/>
                <w:sz w:val="18"/>
                <w:szCs w:val="18"/>
              </w:rPr>
              <w:t> </w:t>
            </w:r>
            <w:r>
              <w:rPr>
                <w:rFonts w:ascii="宋体" w:hAnsi="宋体" w:cs="宋体" w:eastAsia="宋体" w:hint="default"/>
                <w:spacing w:val="-4"/>
                <w:sz w:val="18"/>
                <w:szCs w:val="18"/>
              </w:rPr>
              <w:t>重大遗漏，给投资者造成损失的，将先行</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7"/>
      </w:tblGrid>
      <w:tr>
        <w:trPr>
          <w:trHeight w:val="8475" w:hRule="exact"/>
        </w:trPr>
        <w:tc>
          <w:tcPr>
            <w:tcW w:w="133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殊普通合 伙）</w:t>
            </w:r>
            <w:r>
              <w:rPr>
                <w:rFonts w:ascii="Times New Roman" w:hAnsi="Times New Roman" w:cs="Times New Roman" w:eastAsia="Times New Roman" w:hint="default"/>
                <w:sz w:val="18"/>
                <w:szCs w:val="18"/>
              </w:rPr>
              <w:t>;</w:t>
            </w:r>
            <w:r>
              <w:rPr>
                <w:rFonts w:ascii="宋体" w:hAnsi="宋体" w:cs="宋体" w:eastAsia="宋体" w:hint="default"/>
                <w:sz w:val="18"/>
                <w:szCs w:val="18"/>
              </w:rPr>
              <w:t>中京 民信（北 </w:t>
            </w:r>
            <w:r>
              <w:rPr>
                <w:rFonts w:ascii="宋体" w:hAnsi="宋体" w:cs="宋体" w:eastAsia="宋体" w:hint="default"/>
                <w:spacing w:val="-13"/>
                <w:sz w:val="18"/>
                <w:szCs w:val="18"/>
              </w:rPr>
              <w:t>京）资产评</w:t>
            </w:r>
            <w:r>
              <w:rPr>
                <w:rFonts w:ascii="宋体" w:hAnsi="宋体" w:cs="宋体" w:eastAsia="宋体" w:hint="default"/>
                <w:sz w:val="18"/>
                <w:szCs w:val="18"/>
              </w:rPr>
              <w:t> 估有限公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北京科 勤会计师 事务所有 限责任公 司</w:t>
            </w: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0"/>
              <w:jc w:val="left"/>
              <w:rPr>
                <w:rFonts w:ascii="宋体" w:hAnsi="宋体" w:cs="宋体" w:eastAsia="宋体" w:hint="default"/>
                <w:sz w:val="18"/>
                <w:szCs w:val="18"/>
              </w:rPr>
            </w:pPr>
            <w:r>
              <w:rPr>
                <w:rFonts w:ascii="宋体" w:hAnsi="宋体" w:cs="宋体" w:eastAsia="宋体" w:hint="default"/>
                <w:spacing w:val="-4"/>
                <w:sz w:val="18"/>
                <w:szCs w:val="18"/>
              </w:rPr>
              <w:t>赔偿投资者损失。北京市天元律师事务所</w:t>
            </w:r>
            <w:r>
              <w:rPr>
                <w:rFonts w:ascii="宋体" w:hAnsi="宋体" w:cs="宋体" w:eastAsia="宋体" w:hint="default"/>
                <w:sz w:val="18"/>
                <w:szCs w:val="18"/>
              </w:rPr>
              <w:t> </w:t>
            </w:r>
            <w:r>
              <w:rPr>
                <w:rFonts w:ascii="宋体" w:hAnsi="宋体" w:cs="宋体" w:eastAsia="宋体" w:hint="default"/>
                <w:spacing w:val="-4"/>
                <w:sz w:val="18"/>
                <w:szCs w:val="18"/>
              </w:rPr>
              <w:t>承诺：如因本律师事务所为北京先进数通</w:t>
            </w:r>
            <w:r>
              <w:rPr>
                <w:rFonts w:ascii="宋体" w:hAnsi="宋体" w:cs="宋体" w:eastAsia="宋体" w:hint="default"/>
                <w:sz w:val="18"/>
                <w:szCs w:val="18"/>
              </w:rPr>
              <w:t> 信息技术股份公司首次公开发行股票并 </w:t>
            </w:r>
            <w:r>
              <w:rPr>
                <w:rFonts w:ascii="宋体" w:hAnsi="宋体" w:cs="宋体" w:eastAsia="宋体" w:hint="default"/>
                <w:spacing w:val="-4"/>
                <w:sz w:val="18"/>
                <w:szCs w:val="18"/>
              </w:rPr>
              <w:t>在创业板上市而制作、出具的文件有虚假</w:t>
            </w:r>
            <w:r>
              <w:rPr>
                <w:rFonts w:ascii="宋体" w:hAnsi="宋体" w:cs="宋体" w:eastAsia="宋体" w:hint="default"/>
                <w:sz w:val="18"/>
                <w:szCs w:val="18"/>
              </w:rPr>
              <w:t> </w:t>
            </w:r>
            <w:r>
              <w:rPr>
                <w:rFonts w:ascii="宋体" w:hAnsi="宋体" w:cs="宋体" w:eastAsia="宋体" w:hint="default"/>
                <w:spacing w:val="-4"/>
                <w:sz w:val="18"/>
                <w:szCs w:val="18"/>
              </w:rPr>
              <w:t>记载、误导性陈述或者重大遗漏，给投资</w:t>
            </w:r>
            <w:r>
              <w:rPr>
                <w:rFonts w:ascii="宋体" w:hAnsi="宋体" w:cs="宋体" w:eastAsia="宋体" w:hint="default"/>
                <w:sz w:val="18"/>
                <w:szCs w:val="18"/>
              </w:rPr>
              <w:t> 者造成损失的，将依法赔偿投资者损失， </w:t>
            </w:r>
            <w:r>
              <w:rPr>
                <w:rFonts w:ascii="宋体" w:hAnsi="宋体" w:cs="宋体" w:eastAsia="宋体" w:hint="default"/>
                <w:spacing w:val="-4"/>
                <w:sz w:val="18"/>
                <w:szCs w:val="18"/>
              </w:rPr>
              <w:t>按照司法程序履行相关义务。大信会计师</w:t>
            </w:r>
            <w:r>
              <w:rPr>
                <w:rFonts w:ascii="宋体" w:hAnsi="宋体" w:cs="宋体" w:eastAsia="宋体" w:hint="default"/>
                <w:sz w:val="18"/>
                <w:szCs w:val="18"/>
              </w:rPr>
              <w:t> </w:t>
            </w:r>
            <w:r>
              <w:rPr>
                <w:rFonts w:ascii="宋体" w:hAnsi="宋体" w:cs="宋体" w:eastAsia="宋体" w:hint="default"/>
                <w:spacing w:val="-4"/>
                <w:sz w:val="18"/>
                <w:szCs w:val="18"/>
              </w:rPr>
              <w:t>事务所（特殊普通合伙）承诺：如因本会</w:t>
            </w:r>
            <w:r>
              <w:rPr>
                <w:rFonts w:ascii="宋体" w:hAnsi="宋体" w:cs="宋体" w:eastAsia="宋体" w:hint="default"/>
                <w:sz w:val="18"/>
                <w:szCs w:val="18"/>
              </w:rPr>
              <w:t> 计师事务所为北京先进数通信息技术股 份公司首次公开发行股票并在创业板上 </w:t>
            </w:r>
            <w:r>
              <w:rPr>
                <w:rFonts w:ascii="宋体" w:hAnsi="宋体" w:cs="宋体" w:eastAsia="宋体" w:hint="default"/>
                <w:spacing w:val="-4"/>
                <w:sz w:val="18"/>
                <w:szCs w:val="18"/>
              </w:rPr>
              <w:t>市而制作、出具的文件有虚假记载、误导</w:t>
            </w:r>
            <w:r>
              <w:rPr>
                <w:rFonts w:ascii="宋体" w:hAnsi="宋体" w:cs="宋体" w:eastAsia="宋体" w:hint="default"/>
                <w:sz w:val="18"/>
                <w:szCs w:val="18"/>
              </w:rPr>
              <w:t> </w:t>
            </w:r>
            <w:r>
              <w:rPr>
                <w:rFonts w:ascii="宋体" w:hAnsi="宋体" w:cs="宋体" w:eastAsia="宋体" w:hint="default"/>
                <w:spacing w:val="-4"/>
                <w:sz w:val="18"/>
                <w:szCs w:val="18"/>
              </w:rPr>
              <w:t>性陈述或者重大遗漏，给投资者造成损失</w:t>
            </w:r>
            <w:r>
              <w:rPr>
                <w:rFonts w:ascii="宋体" w:hAnsi="宋体" w:cs="宋体" w:eastAsia="宋体" w:hint="default"/>
                <w:sz w:val="18"/>
                <w:szCs w:val="18"/>
              </w:rPr>
              <w:t> </w:t>
            </w:r>
            <w:r>
              <w:rPr>
                <w:rFonts w:ascii="宋体" w:hAnsi="宋体" w:cs="宋体" w:eastAsia="宋体" w:hint="default"/>
                <w:spacing w:val="-4"/>
                <w:sz w:val="18"/>
                <w:szCs w:val="18"/>
              </w:rPr>
              <w:t>的，将依法赔偿投资者损失，按照司法程</w:t>
            </w:r>
            <w:r>
              <w:rPr>
                <w:rFonts w:ascii="宋体" w:hAnsi="宋体" w:cs="宋体" w:eastAsia="宋体" w:hint="default"/>
                <w:sz w:val="18"/>
                <w:szCs w:val="18"/>
              </w:rPr>
              <w:t> </w:t>
            </w:r>
            <w:r>
              <w:rPr>
                <w:rFonts w:ascii="宋体" w:hAnsi="宋体" w:cs="宋体" w:eastAsia="宋体" w:hint="default"/>
                <w:spacing w:val="-4"/>
                <w:sz w:val="18"/>
                <w:szCs w:val="18"/>
              </w:rPr>
              <w:t>序履行相关义务。中京民信（北京）资产</w:t>
            </w:r>
            <w:r>
              <w:rPr>
                <w:rFonts w:ascii="宋体" w:hAnsi="宋体" w:cs="宋体" w:eastAsia="宋体" w:hint="default"/>
                <w:sz w:val="18"/>
                <w:szCs w:val="18"/>
              </w:rPr>
              <w:t> </w:t>
            </w:r>
            <w:r>
              <w:rPr>
                <w:rFonts w:ascii="宋体" w:hAnsi="宋体" w:cs="宋体" w:eastAsia="宋体" w:hint="default"/>
                <w:spacing w:val="-4"/>
                <w:sz w:val="18"/>
                <w:szCs w:val="18"/>
              </w:rPr>
              <w:t>评估有限公司承诺：如因本公司为北京先</w:t>
            </w:r>
            <w:r>
              <w:rPr>
                <w:rFonts w:ascii="宋体" w:hAnsi="宋体" w:cs="宋体" w:eastAsia="宋体" w:hint="default"/>
                <w:sz w:val="18"/>
                <w:szCs w:val="18"/>
              </w:rPr>
              <w:t> 进数通信息技术股份公司首次公开发行 </w:t>
            </w:r>
            <w:r>
              <w:rPr>
                <w:rFonts w:ascii="宋体" w:hAnsi="宋体" w:cs="宋体" w:eastAsia="宋体" w:hint="default"/>
                <w:spacing w:val="-4"/>
                <w:sz w:val="18"/>
                <w:szCs w:val="18"/>
              </w:rPr>
              <w:t>股票并在创业板上市而制作、出具的文件</w:t>
            </w:r>
            <w:r>
              <w:rPr>
                <w:rFonts w:ascii="宋体" w:hAnsi="宋体" w:cs="宋体" w:eastAsia="宋体" w:hint="default"/>
                <w:sz w:val="18"/>
                <w:szCs w:val="18"/>
              </w:rPr>
              <w:t> 有虚假记载、误导性陈述或者重大遗漏， </w:t>
            </w:r>
            <w:r>
              <w:rPr>
                <w:rFonts w:ascii="宋体" w:hAnsi="宋体" w:cs="宋体" w:eastAsia="宋体" w:hint="default"/>
                <w:spacing w:val="-4"/>
                <w:sz w:val="18"/>
                <w:szCs w:val="18"/>
              </w:rPr>
              <w:t>给投资者造成损失的，将依法赔偿投资者</w:t>
            </w:r>
            <w:r>
              <w:rPr>
                <w:rFonts w:ascii="宋体" w:hAnsi="宋体" w:cs="宋体" w:eastAsia="宋体" w:hint="default"/>
                <w:sz w:val="18"/>
                <w:szCs w:val="18"/>
              </w:rPr>
              <w:t> </w:t>
            </w:r>
            <w:r>
              <w:rPr>
                <w:rFonts w:ascii="宋体" w:hAnsi="宋体" w:cs="宋体" w:eastAsia="宋体" w:hint="default"/>
                <w:spacing w:val="-4"/>
                <w:sz w:val="18"/>
                <w:szCs w:val="18"/>
              </w:rPr>
              <w:t>损失，按照司法程序履行相关义务。北京</w:t>
            </w:r>
            <w:r>
              <w:rPr>
                <w:rFonts w:ascii="宋体" w:hAnsi="宋体" w:cs="宋体" w:eastAsia="宋体" w:hint="default"/>
                <w:sz w:val="18"/>
                <w:szCs w:val="18"/>
              </w:rPr>
              <w:t> </w:t>
            </w:r>
            <w:r>
              <w:rPr>
                <w:rFonts w:ascii="宋体" w:hAnsi="宋体" w:cs="宋体" w:eastAsia="宋体" w:hint="default"/>
                <w:spacing w:val="-4"/>
                <w:sz w:val="18"/>
                <w:szCs w:val="18"/>
              </w:rPr>
              <w:t>科勤会计师事务所有限责任公司承诺：如</w:t>
            </w:r>
            <w:r>
              <w:rPr>
                <w:rFonts w:ascii="宋体" w:hAnsi="宋体" w:cs="宋体" w:eastAsia="宋体" w:hint="default"/>
                <w:sz w:val="18"/>
                <w:szCs w:val="18"/>
              </w:rPr>
              <w:t> 因本会计师事务所为北京先进数通信息 技术股份公司首次公开发行股票并在创 业板上市而制作、出具的文件有虚假记 </w:t>
            </w:r>
            <w:r>
              <w:rPr>
                <w:rFonts w:ascii="宋体" w:hAnsi="宋体" w:cs="宋体" w:eastAsia="宋体" w:hint="default"/>
                <w:spacing w:val="-4"/>
                <w:sz w:val="18"/>
                <w:szCs w:val="18"/>
              </w:rPr>
              <w:t>载、误导性陈述或者重大遗漏，给投资者</w:t>
            </w:r>
            <w:r>
              <w:rPr>
                <w:rFonts w:ascii="宋体" w:hAnsi="宋体" w:cs="宋体" w:eastAsia="宋体" w:hint="default"/>
                <w:sz w:val="18"/>
                <w:szCs w:val="18"/>
              </w:rPr>
              <w:t> </w:t>
            </w:r>
            <w:r>
              <w:rPr>
                <w:rFonts w:ascii="宋体" w:hAnsi="宋体" w:cs="宋体" w:eastAsia="宋体" w:hint="default"/>
                <w:spacing w:val="-4"/>
                <w:sz w:val="18"/>
                <w:szCs w:val="18"/>
              </w:rPr>
              <w:t>造成损失的，将依法赔偿投资者损失，按</w:t>
            </w:r>
            <w:r>
              <w:rPr>
                <w:rFonts w:ascii="宋体" w:hAnsi="宋体" w:cs="宋体" w:eastAsia="宋体" w:hint="default"/>
                <w:sz w:val="18"/>
                <w:szCs w:val="18"/>
              </w:rPr>
              <w:t> 照司法程序履行相关义务。</w:t>
            </w: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4" w:lineRule="auto"/>
              <w:ind w:left="103" w:right="116"/>
              <w:jc w:val="both"/>
              <w:rPr>
                <w:rFonts w:ascii="宋体" w:hAnsi="宋体" w:cs="宋体" w:eastAsia="宋体" w:hint="default"/>
                <w:sz w:val="18"/>
                <w:szCs w:val="18"/>
              </w:rPr>
            </w:pPr>
            <w:r>
              <w:rPr>
                <w:rFonts w:ascii="宋体" w:hAnsi="宋体" w:cs="宋体" w:eastAsia="宋体" w:hint="default"/>
                <w:sz w:val="18"/>
                <w:szCs w:val="18"/>
              </w:rPr>
              <w:t>北京先进 数通信息 技术股份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范丽 明</w:t>
            </w:r>
            <w:r>
              <w:rPr>
                <w:rFonts w:ascii="Times New Roman" w:hAnsi="Times New Roman" w:cs="Times New Roman" w:eastAsia="Times New Roman" w:hint="default"/>
                <w:sz w:val="18"/>
                <w:szCs w:val="18"/>
              </w:rPr>
              <w:t>;</w:t>
            </w:r>
            <w:r>
              <w:rPr>
                <w:rFonts w:ascii="宋体" w:hAnsi="宋体" w:cs="宋体" w:eastAsia="宋体" w:hint="default"/>
                <w:sz w:val="18"/>
                <w:szCs w:val="18"/>
              </w:rPr>
              <w:t>李铠</w:t>
            </w:r>
            <w:r>
              <w:rPr>
                <w:rFonts w:ascii="Times New Roman" w:hAnsi="Times New Roman" w:cs="Times New Roman" w:eastAsia="Times New Roman" w:hint="default"/>
                <w:sz w:val="18"/>
                <w:szCs w:val="18"/>
              </w:rPr>
              <w:t>;</w:t>
            </w:r>
            <w:r>
              <w:rPr>
                <w:rFonts w:ascii="宋体" w:hAnsi="宋体" w:cs="宋体" w:eastAsia="宋体" w:hint="default"/>
                <w:sz w:val="18"/>
                <w:szCs w:val="18"/>
              </w:rPr>
              <w:t>林</w:t>
            </w:r>
          </w:p>
          <w:p>
            <w:pPr>
              <w:pStyle w:val="TableParagraph"/>
              <w:spacing w:line="300" w:lineRule="auto" w:before="1"/>
              <w:ind w:left="103" w:right="117"/>
              <w:jc w:val="both"/>
              <w:rPr>
                <w:rFonts w:ascii="宋体" w:hAnsi="宋体" w:cs="宋体" w:eastAsia="宋体" w:hint="default"/>
                <w:sz w:val="18"/>
                <w:szCs w:val="18"/>
              </w:rPr>
            </w:pPr>
            <w:r>
              <w:rPr>
                <w:rFonts w:ascii="宋体" w:hAnsi="宋体" w:cs="宋体" w:eastAsia="宋体" w:hint="default"/>
                <w:sz w:val="18"/>
                <w:szCs w:val="18"/>
              </w:rPr>
              <w:t>鸿</w:t>
            </w:r>
            <w:r>
              <w:rPr>
                <w:rFonts w:ascii="Times New Roman" w:hAnsi="Times New Roman" w:cs="Times New Roman" w:eastAsia="Times New Roman" w:hint="default"/>
                <w:sz w:val="18"/>
                <w:szCs w:val="18"/>
              </w:rPr>
              <w:t>;</w:t>
            </w:r>
            <w:r>
              <w:rPr>
                <w:rFonts w:ascii="宋体" w:hAnsi="宋体" w:cs="宋体" w:eastAsia="宋体" w:hint="default"/>
                <w:sz w:val="18"/>
                <w:szCs w:val="18"/>
              </w:rPr>
              <w:t>朱胡勇</w:t>
            </w:r>
            <w:r>
              <w:rPr>
                <w:rFonts w:ascii="Times New Roman" w:hAnsi="Times New Roman" w:cs="Times New Roman" w:eastAsia="Times New Roman" w:hint="default"/>
                <w:sz w:val="18"/>
                <w:szCs w:val="18"/>
              </w:rPr>
              <w:t>; </w:t>
            </w:r>
            <w:r>
              <w:rPr>
                <w:rFonts w:ascii="宋体" w:hAnsi="宋体" w:cs="宋体" w:eastAsia="宋体" w:hint="default"/>
                <w:sz w:val="18"/>
                <w:szCs w:val="18"/>
              </w:rPr>
              <w:t>罗云波</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苏文力</w:t>
            </w:r>
            <w:r>
              <w:rPr>
                <w:rFonts w:ascii="Times New Roman" w:hAnsi="Times New Roman" w:cs="Times New Roman" w:eastAsia="Times New Roman" w:hint="default"/>
                <w:sz w:val="18"/>
                <w:szCs w:val="18"/>
              </w:rPr>
              <w:t>; </w:t>
            </w:r>
            <w:r>
              <w:rPr>
                <w:rFonts w:ascii="宋体" w:hAnsi="宋体" w:cs="宋体" w:eastAsia="宋体" w:hint="default"/>
                <w:sz w:val="18"/>
                <w:szCs w:val="18"/>
              </w:rPr>
              <w:t>肖红英</w:t>
            </w:r>
            <w:r>
              <w:rPr>
                <w:rFonts w:ascii="Times New Roman" w:hAnsi="Times New Roman" w:cs="Times New Roman" w:eastAsia="Times New Roman" w:hint="default"/>
                <w:sz w:val="18"/>
                <w:szCs w:val="18"/>
              </w:rPr>
              <w:t>;</w:t>
            </w:r>
            <w:r>
              <w:rPr>
                <w:rFonts w:ascii="宋体" w:hAnsi="宋体" w:cs="宋体" w:eastAsia="宋体" w:hint="default"/>
                <w:sz w:val="18"/>
                <w:szCs w:val="18"/>
              </w:rPr>
              <w:t>蔡 瑾</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4"/>
                <w:sz w:val="18"/>
                <w:szCs w:val="18"/>
              </w:rPr>
              <w:t>本次发行完成后，本公司股本和净资产都</w:t>
            </w:r>
            <w:r>
              <w:rPr>
                <w:rFonts w:ascii="宋体" w:hAnsi="宋体" w:cs="宋体" w:eastAsia="宋体" w:hint="default"/>
                <w:sz w:val="18"/>
                <w:szCs w:val="18"/>
              </w:rPr>
              <w:t> </w:t>
            </w:r>
            <w:r>
              <w:rPr>
                <w:rFonts w:ascii="宋体" w:hAnsi="宋体" w:cs="宋体" w:eastAsia="宋体" w:hint="default"/>
                <w:spacing w:val="-4"/>
                <w:sz w:val="18"/>
                <w:szCs w:val="18"/>
              </w:rPr>
              <w:t>将大幅增加，但鉴于募集资金投资项目有</w:t>
            </w:r>
            <w:r>
              <w:rPr>
                <w:rFonts w:ascii="宋体" w:hAnsi="宋体" w:cs="宋体" w:eastAsia="宋体" w:hint="default"/>
                <w:sz w:val="18"/>
                <w:szCs w:val="18"/>
              </w:rPr>
              <w:t> </w:t>
            </w:r>
            <w:r>
              <w:rPr>
                <w:rFonts w:ascii="宋体" w:hAnsi="宋体" w:cs="宋体" w:eastAsia="宋体" w:hint="default"/>
                <w:spacing w:val="-4"/>
                <w:sz w:val="18"/>
                <w:szCs w:val="18"/>
              </w:rPr>
              <w:t>一定的实施周期，净利润可能不会同步大</w:t>
            </w:r>
            <w:r>
              <w:rPr>
                <w:rFonts w:ascii="宋体" w:hAnsi="宋体" w:cs="宋体" w:eastAsia="宋体" w:hint="default"/>
                <w:sz w:val="18"/>
                <w:szCs w:val="18"/>
              </w:rPr>
              <w:t> </w:t>
            </w:r>
            <w:r>
              <w:rPr>
                <w:rFonts w:ascii="宋体" w:hAnsi="宋体" w:cs="宋体" w:eastAsia="宋体" w:hint="default"/>
                <w:spacing w:val="-4"/>
                <w:sz w:val="18"/>
                <w:szCs w:val="18"/>
              </w:rPr>
              <w:t>幅增长，可能导致本公司每股收益、净资</w:t>
            </w:r>
            <w:r>
              <w:rPr>
                <w:rFonts w:ascii="宋体" w:hAnsi="宋体" w:cs="宋体" w:eastAsia="宋体" w:hint="default"/>
                <w:sz w:val="18"/>
                <w:szCs w:val="18"/>
              </w:rPr>
              <w:t> </w:t>
            </w:r>
            <w:r>
              <w:rPr>
                <w:rFonts w:ascii="宋体" w:hAnsi="宋体" w:cs="宋体" w:eastAsia="宋体" w:hint="default"/>
                <w:spacing w:val="-4"/>
                <w:sz w:val="18"/>
                <w:szCs w:val="18"/>
              </w:rPr>
              <w:t>产收益率等指标下降，投资者面临本公司</w:t>
            </w:r>
            <w:r>
              <w:rPr>
                <w:rFonts w:ascii="宋体" w:hAnsi="宋体" w:cs="宋体" w:eastAsia="宋体" w:hint="default"/>
                <w:sz w:val="18"/>
                <w:szCs w:val="18"/>
              </w:rPr>
              <w:t> 首次公开发行并在创业板上市后即期回 报被摊薄的风险。</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、公司拟采取的措施 </w:t>
            </w:r>
            <w:r>
              <w:rPr>
                <w:rFonts w:ascii="宋体" w:hAnsi="宋体" w:cs="宋体" w:eastAsia="宋体" w:hint="default"/>
                <w:spacing w:val="-4"/>
                <w:sz w:val="18"/>
                <w:szCs w:val="18"/>
              </w:rPr>
              <w:t>及承诺。①加强现有业务的风险管控；②</w:t>
            </w:r>
            <w:r>
              <w:rPr>
                <w:rFonts w:ascii="宋体" w:hAnsi="宋体" w:cs="宋体" w:eastAsia="宋体" w:hint="default"/>
                <w:sz w:val="18"/>
                <w:szCs w:val="18"/>
              </w:rPr>
              <w:t> </w:t>
            </w:r>
            <w:r>
              <w:rPr>
                <w:rFonts w:ascii="宋体" w:hAnsi="宋体" w:cs="宋体" w:eastAsia="宋体" w:hint="default"/>
                <w:spacing w:val="-4"/>
                <w:sz w:val="18"/>
                <w:szCs w:val="18"/>
              </w:rPr>
              <w:t>提高日常运营效率，降低运营成本；③加</w:t>
            </w:r>
            <w:r>
              <w:rPr>
                <w:rFonts w:ascii="宋体" w:hAnsi="宋体" w:cs="宋体" w:eastAsia="宋体" w:hint="default"/>
                <w:sz w:val="18"/>
                <w:szCs w:val="18"/>
              </w:rPr>
              <w:t> 快募投项目实施进度，加强募集资金管 </w:t>
            </w:r>
            <w:r>
              <w:rPr>
                <w:rFonts w:ascii="宋体" w:hAnsi="宋体" w:cs="宋体" w:eastAsia="宋体" w:hint="default"/>
                <w:spacing w:val="-4"/>
                <w:sz w:val="18"/>
                <w:szCs w:val="18"/>
              </w:rPr>
              <w:t>理；④完善利润分配政策，强化投资者回</w:t>
            </w:r>
            <w:r>
              <w:rPr>
                <w:rFonts w:ascii="宋体" w:hAnsi="宋体" w:cs="宋体" w:eastAsia="宋体" w:hint="default"/>
                <w:sz w:val="18"/>
                <w:szCs w:val="18"/>
              </w:rPr>
              <w:t>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、公司董事、高级管理人员的承诺。</w:t>
            </w: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①承诺不无偿或以不公平条件向其他单 </w:t>
            </w:r>
            <w:r>
              <w:rPr>
                <w:rFonts w:ascii="宋体" w:hAnsi="宋体" w:cs="宋体" w:eastAsia="宋体" w:hint="default"/>
                <w:spacing w:val="-4"/>
                <w:sz w:val="18"/>
                <w:szCs w:val="18"/>
              </w:rPr>
              <w:t>位或者个人输送利益，也不采用其他方式</w:t>
            </w:r>
            <w:r>
              <w:rPr>
                <w:rFonts w:ascii="宋体" w:hAnsi="宋体" w:cs="宋体" w:eastAsia="宋体" w:hint="default"/>
                <w:sz w:val="18"/>
                <w:szCs w:val="18"/>
              </w:rPr>
              <w:t> </w:t>
            </w:r>
            <w:r>
              <w:rPr>
                <w:rFonts w:ascii="宋体" w:hAnsi="宋体" w:cs="宋体" w:eastAsia="宋体" w:hint="default"/>
                <w:spacing w:val="-4"/>
                <w:sz w:val="18"/>
                <w:szCs w:val="18"/>
              </w:rPr>
              <w:t>损害公司利益；②承诺对本人的职务消费</w:t>
            </w:r>
            <w:r>
              <w:rPr>
                <w:rFonts w:ascii="宋体" w:hAnsi="宋体" w:cs="宋体" w:eastAsia="宋体" w:hint="default"/>
                <w:sz w:val="18"/>
                <w:szCs w:val="18"/>
              </w:rPr>
              <w:t> </w:t>
            </w:r>
            <w:r>
              <w:rPr>
                <w:rFonts w:ascii="宋体" w:hAnsi="宋体" w:cs="宋体" w:eastAsia="宋体" w:hint="default"/>
                <w:spacing w:val="-4"/>
                <w:sz w:val="18"/>
                <w:szCs w:val="18"/>
              </w:rPr>
              <w:t>行为进行约束；③承诺不动用公司资产从</w:t>
            </w:r>
            <w:r>
              <w:rPr>
                <w:rFonts w:ascii="宋体" w:hAnsi="宋体" w:cs="宋体" w:eastAsia="宋体" w:hint="default"/>
                <w:sz w:val="18"/>
                <w:szCs w:val="18"/>
              </w:rPr>
              <w:t> 事与本人履行职责无关的投资、消费活</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32"/>
        <w:gridCol w:w="1052"/>
        <w:gridCol w:w="1049"/>
        <w:gridCol w:w="3386"/>
        <w:gridCol w:w="944"/>
        <w:gridCol w:w="1001"/>
        <w:gridCol w:w="1004"/>
      </w:tblGrid>
      <w:tr>
        <w:trPr>
          <w:trHeight w:val="1611"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动；④承诺由董事会或薪酬委员会制定的</w:t>
            </w:r>
            <w:r>
              <w:rPr>
                <w:rFonts w:ascii="宋体" w:hAnsi="宋体" w:cs="宋体" w:eastAsia="宋体" w:hint="default"/>
                <w:sz w:val="18"/>
                <w:szCs w:val="18"/>
              </w:rPr>
              <w:t> 薪酬制度与公司填补回报措施的执行情 </w:t>
            </w:r>
            <w:r>
              <w:rPr>
                <w:rFonts w:ascii="宋体" w:hAnsi="宋体" w:cs="宋体" w:eastAsia="宋体" w:hint="default"/>
                <w:spacing w:val="-4"/>
                <w:sz w:val="18"/>
                <w:szCs w:val="18"/>
              </w:rPr>
              <w:t>况相挂钩；⑤承诺拟公布的公司股权激励</w:t>
            </w:r>
            <w:r>
              <w:rPr>
                <w:rFonts w:ascii="宋体" w:hAnsi="宋体" w:cs="宋体" w:eastAsia="宋体" w:hint="default"/>
                <w:sz w:val="18"/>
                <w:szCs w:val="18"/>
              </w:rPr>
              <w:t> 的行权条件与公司填补回报措施的执行 情况相挂钩。</w:t>
            </w: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both"/>
              <w:rPr>
                <w:rFonts w:ascii="宋体" w:hAnsi="宋体" w:cs="宋体" w:eastAsia="宋体" w:hint="default"/>
                <w:sz w:val="18"/>
                <w:szCs w:val="18"/>
              </w:rPr>
            </w:pPr>
            <w:r>
              <w:rPr>
                <w:rFonts w:ascii="宋体" w:hAnsi="宋体" w:cs="宋体" w:eastAsia="宋体" w:hint="default"/>
                <w:sz w:val="18"/>
                <w:szCs w:val="18"/>
              </w:rPr>
              <w:t>北京先进 数通信息 技术股份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1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不为激励对象依《</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 </w:t>
            </w:r>
            <w:r>
              <w:rPr>
                <w:rFonts w:ascii="宋体" w:hAnsi="宋体" w:cs="宋体" w:eastAsia="宋体" w:hint="default"/>
                <w:spacing w:val="-4"/>
                <w:sz w:val="18"/>
                <w:szCs w:val="18"/>
              </w:rPr>
              <w:t>励计划》获取有关限制性股票提供贷款以</w:t>
            </w:r>
            <w:r>
              <w:rPr>
                <w:rFonts w:ascii="宋体" w:hAnsi="宋体" w:cs="宋体" w:eastAsia="宋体" w:hint="default"/>
                <w:sz w:val="18"/>
                <w:szCs w:val="18"/>
              </w:rPr>
              <w:t> </w:t>
            </w:r>
            <w:r>
              <w:rPr>
                <w:rFonts w:ascii="宋体" w:hAnsi="宋体" w:cs="宋体" w:eastAsia="宋体" w:hint="default"/>
                <w:spacing w:val="-4"/>
                <w:sz w:val="18"/>
                <w:szCs w:val="18"/>
              </w:rPr>
              <w:t>及其他任何形式的财务资助，包括为其贷</w:t>
            </w:r>
            <w:r>
              <w:rPr>
                <w:rFonts w:ascii="宋体" w:hAnsi="宋体" w:cs="宋体" w:eastAsia="宋体" w:hint="default"/>
                <w:sz w:val="18"/>
                <w:szCs w:val="18"/>
              </w:rPr>
              <w:t> 款提供担保。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9"/>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r>
        <w:trPr>
          <w:trHeight w:val="1962"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103" w:right="17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 制性股票 激励对象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4"/>
                <w:sz w:val="18"/>
                <w:szCs w:val="18"/>
              </w:rPr>
              <w:t>若公司因信息披露文件中有虚假记载、误</w:t>
            </w:r>
            <w:r>
              <w:rPr>
                <w:rFonts w:ascii="宋体" w:hAnsi="宋体" w:cs="宋体" w:eastAsia="宋体" w:hint="default"/>
                <w:sz w:val="18"/>
                <w:szCs w:val="18"/>
              </w:rPr>
              <w:t> </w:t>
            </w:r>
            <w:r>
              <w:rPr>
                <w:rFonts w:ascii="宋体" w:hAnsi="宋体" w:cs="宋体" w:eastAsia="宋体" w:hint="default"/>
                <w:spacing w:val="-4"/>
                <w:sz w:val="18"/>
                <w:szCs w:val="18"/>
              </w:rPr>
              <w:t>导性陈述或者重大遗漏，导致不符合授予</w:t>
            </w:r>
            <w:r>
              <w:rPr>
                <w:rFonts w:ascii="宋体" w:hAnsi="宋体" w:cs="宋体" w:eastAsia="宋体" w:hint="default"/>
                <w:sz w:val="18"/>
                <w:szCs w:val="18"/>
              </w:rPr>
              <w:t> </w:t>
            </w:r>
            <w:r>
              <w:rPr>
                <w:rFonts w:ascii="宋体" w:hAnsi="宋体" w:cs="宋体" w:eastAsia="宋体" w:hint="default"/>
                <w:spacing w:val="-4"/>
                <w:sz w:val="18"/>
                <w:szCs w:val="18"/>
              </w:rPr>
              <w:t>权益或行使权益安排的，激励对象自相关</w:t>
            </w:r>
            <w:r>
              <w:rPr>
                <w:rFonts w:ascii="宋体" w:hAnsi="宋体" w:cs="宋体" w:eastAsia="宋体" w:hint="default"/>
                <w:sz w:val="18"/>
                <w:szCs w:val="18"/>
              </w:rPr>
              <w:t> </w:t>
            </w:r>
            <w:r>
              <w:rPr>
                <w:rFonts w:ascii="宋体" w:hAnsi="宋体" w:cs="宋体" w:eastAsia="宋体" w:hint="default"/>
                <w:spacing w:val="-4"/>
                <w:sz w:val="18"/>
                <w:szCs w:val="18"/>
              </w:rPr>
              <w:t>信息披露文件被确认存在虚假记载、误导</w:t>
            </w:r>
            <w:r>
              <w:rPr>
                <w:rFonts w:ascii="宋体" w:hAnsi="宋体" w:cs="宋体" w:eastAsia="宋体" w:hint="default"/>
                <w:sz w:val="18"/>
                <w:szCs w:val="18"/>
              </w:rPr>
              <w:t> </w:t>
            </w:r>
            <w:r>
              <w:rPr>
                <w:rFonts w:ascii="宋体" w:hAnsi="宋体" w:cs="宋体" w:eastAsia="宋体" w:hint="default"/>
                <w:spacing w:val="-4"/>
                <w:sz w:val="18"/>
                <w:szCs w:val="18"/>
              </w:rPr>
              <w:t>性陈述或者重大遗漏后，将由股权激励计</w:t>
            </w:r>
            <w:r>
              <w:rPr>
                <w:rFonts w:ascii="宋体" w:hAnsi="宋体" w:cs="宋体" w:eastAsia="宋体" w:hint="default"/>
                <w:sz w:val="18"/>
                <w:szCs w:val="18"/>
              </w:rPr>
              <w:t> 划所获得的全部利益返还公司。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69"/>
              <w:jc w:val="left"/>
              <w:rPr>
                <w:rFonts w:ascii="宋体" w:hAnsi="宋体" w:cs="宋体" w:eastAsia="宋体" w:hint="default"/>
                <w:sz w:val="18"/>
                <w:szCs w:val="18"/>
              </w:rPr>
            </w:pPr>
            <w:r>
              <w:rPr>
                <w:rFonts w:ascii="宋体" w:hAnsi="宋体" w:cs="宋体" w:eastAsia="宋体" w:hint="default"/>
                <w:sz w:val="18"/>
                <w:szCs w:val="18"/>
              </w:rPr>
              <w:t>报告期 内，该承 诺事项正 常履行中</w:t>
            </w:r>
          </w:p>
        </w:tc>
      </w:tr>
      <w:tr>
        <w:trPr>
          <w:trHeight w:val="1026"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7"/>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38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3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3"/>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474" w:right="1122" w:hanging="360"/>
        <w:jc w:val="left"/>
      </w:pPr>
      <w:r>
        <w:rPr/>
        <w:t>√ 适用 □ 不适用 </w:t>
      </w:r>
      <w:r>
        <w:rPr>
          <w:spacing w:val="-3"/>
        </w:rPr>
        <w:t>一、</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11</w:t>
      </w:r>
      <w:r>
        <w:rPr>
          <w:spacing w:val="-3"/>
        </w:rPr>
        <w:t>日召开了第二届董事会</w:t>
      </w:r>
      <w:r>
        <w:rPr>
          <w:rFonts w:ascii="宋体" w:hAnsi="宋体" w:cs="宋体" w:eastAsia="宋体" w:hint="default"/>
          <w:spacing w:val="-3"/>
        </w:rPr>
        <w:t>2018</w:t>
      </w:r>
      <w:r>
        <w:rPr>
          <w:spacing w:val="-3"/>
        </w:rPr>
        <w:t>年第一次定期会议、第二届监事会</w:t>
      </w:r>
      <w:r>
        <w:rPr>
          <w:rFonts w:ascii="宋体" w:hAnsi="宋体" w:cs="宋体" w:eastAsia="宋体" w:hint="default"/>
          <w:spacing w:val="-3"/>
        </w:rPr>
        <w:t>2018</w:t>
      </w:r>
      <w:r>
        <w:rPr>
          <w:spacing w:val="-3"/>
        </w:rPr>
        <w:t>年第一次定期会议，审议通过了《关</w:t>
      </w:r>
    </w:p>
    <w:p>
      <w:pPr>
        <w:pStyle w:val="BodyText"/>
        <w:spacing w:line="224" w:lineRule="exact" w:before="0"/>
        <w:ind w:right="0"/>
        <w:jc w:val="left"/>
      </w:pPr>
      <w:r>
        <w:rPr/>
        <w:t>于公司会计政策变更的议案</w:t>
      </w:r>
      <w:r>
        <w:rPr>
          <w:spacing w:val="-90"/>
        </w:rPr>
        <w:t>》</w:t>
      </w:r>
      <w:r>
        <w:rPr/>
        <w:t>。</w:t>
      </w:r>
    </w:p>
    <w:p>
      <w:pPr>
        <w:pStyle w:val="BodyText"/>
        <w:spacing w:line="316" w:lineRule="auto" w:before="76"/>
        <w:ind w:left="474" w:right="1118"/>
        <w:jc w:val="left"/>
      </w:pPr>
      <w:r>
        <w:rPr>
          <w:rFonts w:ascii="宋体" w:hAnsi="宋体" w:cs="宋体" w:eastAsia="宋体" w:hint="default"/>
        </w:rPr>
        <w:t>1</w:t>
      </w:r>
      <w:r>
        <w:rPr/>
        <w:t>、变更原因 </w:t>
      </w:r>
      <w:r>
        <w:rPr>
          <w:spacing w:val="-5"/>
        </w:rPr>
        <w:t>财政部于</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25</w:t>
      </w:r>
      <w:r>
        <w:rPr>
          <w:spacing w:val="-5"/>
        </w:rPr>
        <w:t>日发布了《关于修订印发一般企业财务报表格式的通知》（财会</w:t>
      </w:r>
      <w:r>
        <w:rPr>
          <w:rFonts w:ascii="宋体" w:hAnsi="宋体" w:cs="宋体" w:eastAsia="宋体" w:hint="default"/>
          <w:spacing w:val="-5"/>
        </w:rPr>
        <w:t>[2017]30</w:t>
      </w:r>
      <w:r>
        <w:rPr>
          <w:spacing w:val="-5"/>
        </w:rPr>
        <w:t>号），对一般企业财务报</w:t>
      </w:r>
    </w:p>
    <w:p>
      <w:pPr>
        <w:pStyle w:val="BodyText"/>
        <w:spacing w:line="316" w:lineRule="auto"/>
        <w:ind w:right="0"/>
        <w:jc w:val="left"/>
      </w:pPr>
      <w:r>
        <w:rPr>
          <w:spacing w:val="-2"/>
        </w:rPr>
        <w:t>表格式进行了修订，适用于</w:t>
      </w:r>
      <w:r>
        <w:rPr>
          <w:rFonts w:ascii="宋体" w:hAnsi="宋体" w:cs="宋体" w:eastAsia="宋体" w:hint="default"/>
          <w:spacing w:val="-2"/>
        </w:rPr>
        <w:t>2017</w:t>
      </w:r>
      <w:r>
        <w:rPr>
          <w:spacing w:val="-2"/>
        </w:rPr>
        <w:t>年度及以后期间的财务报表。由于上述通知的发布，公司需对原会计政策进行相应变更，并</w:t>
      </w:r>
      <w:r>
        <w:rPr>
          <w:spacing w:val="-62"/>
        </w:rPr>
        <w:t> </w:t>
      </w:r>
      <w:r>
        <w:rPr>
          <w:spacing w:val="-62"/>
        </w:rPr>
      </w:r>
      <w:r>
        <w:rPr/>
        <w:t>按以上文件规定的起始日开始执行上述会计政策。</w:t>
      </w:r>
    </w:p>
    <w:p>
      <w:pPr>
        <w:pStyle w:val="BodyText"/>
        <w:spacing w:line="316" w:lineRule="auto"/>
        <w:ind w:left="474" w:right="4812"/>
        <w:jc w:val="left"/>
      </w:pPr>
      <w:r>
        <w:rPr>
          <w:rFonts w:ascii="宋体" w:hAnsi="宋体" w:cs="宋体" w:eastAsia="宋体" w:hint="default"/>
        </w:rPr>
        <w:t>2</w:t>
      </w:r>
      <w:r>
        <w:rPr/>
        <w:t>、变更时间 根据以上通知规定，公司从</w:t>
      </w:r>
      <w:r>
        <w:rPr>
          <w:rFonts w:ascii="宋体" w:hAnsi="宋体" w:cs="宋体" w:eastAsia="宋体" w:hint="default"/>
        </w:rPr>
        <w:t>2017</w:t>
      </w:r>
      <w:r>
        <w:rPr/>
        <w:t>年度起变更为使用新的财务报表格式。 </w:t>
      </w:r>
      <w:r>
        <w:rPr>
          <w:rFonts w:ascii="宋体" w:hAnsi="宋体" w:cs="宋体" w:eastAsia="宋体" w:hint="default"/>
        </w:rPr>
        <w:t>3</w:t>
      </w:r>
      <w:r>
        <w:rPr/>
        <w:t>、变更前采取的会计政策</w:t>
      </w:r>
    </w:p>
    <w:p>
      <w:pPr>
        <w:pStyle w:val="BodyText"/>
        <w:spacing w:line="316" w:lineRule="auto"/>
        <w:ind w:right="0" w:firstLine="360"/>
        <w:jc w:val="left"/>
      </w:pPr>
      <w:r>
        <w:rPr>
          <w:spacing w:val="-2"/>
        </w:rPr>
        <w:t>本次变更前，公司采用财政部发布的《企业会计准则—基本准则》和各项具体会计准则、后续发布和修订的企业会计准</w:t>
      </w:r>
      <w:r>
        <w:rPr/>
        <w:t> 则、企业会计准则应用指南、企业会计准则解释公告以及其他相关规定。</w:t>
      </w:r>
    </w:p>
    <w:p>
      <w:pPr>
        <w:pStyle w:val="BodyText"/>
        <w:spacing w:line="316" w:lineRule="auto"/>
        <w:ind w:left="474" w:right="0"/>
        <w:jc w:val="left"/>
      </w:pPr>
      <w:r>
        <w:rPr>
          <w:rFonts w:ascii="宋体" w:hAnsi="宋体" w:cs="宋体" w:eastAsia="宋体" w:hint="default"/>
        </w:rPr>
        <w:t>4</w:t>
      </w:r>
      <w:r>
        <w:rPr/>
        <w:t>、变更后采取的会计政策： </w:t>
      </w:r>
      <w:r>
        <w:rPr>
          <w:spacing w:val="-2"/>
        </w:rPr>
        <w:t>本次变更后，公司财务报表执行财政部发布的《关于修订印发一般企业财务报表格式的通知》，其余未变更部分仍执行</w:t>
      </w:r>
    </w:p>
    <w:p>
      <w:pPr>
        <w:pStyle w:val="BodyText"/>
        <w:spacing w:line="316" w:lineRule="auto"/>
        <w:ind w:right="1118"/>
        <w:jc w:val="left"/>
      </w:pPr>
      <w:r>
        <w:rPr>
          <w:spacing w:val="-2"/>
        </w:rPr>
        <w:t>财政部前期发布的《企业会计准则—基本准则》和各项具体会计准则、企业会计准则应用指南、企业会计准则解释公告及其</w:t>
      </w:r>
      <w:r>
        <w:rPr>
          <w:spacing w:val="-66"/>
        </w:rPr>
        <w:t> </w:t>
      </w:r>
      <w:r>
        <w:rPr>
          <w:spacing w:val="-66"/>
        </w:rPr>
      </w:r>
      <w:r>
        <w:rPr/>
        <w:t>他有关规定。</w:t>
      </w:r>
    </w:p>
    <w:p>
      <w:pPr>
        <w:spacing w:line="240" w:lineRule="auto" w:before="4"/>
        <w:rPr>
          <w:rFonts w:ascii="宋体" w:hAnsi="宋体" w:cs="宋体" w:eastAsia="宋体" w:hint="default"/>
          <w:sz w:val="25"/>
          <w:szCs w:val="25"/>
        </w:rPr>
      </w:pPr>
    </w:p>
    <w:p>
      <w:pPr>
        <w:pStyle w:val="BodyText"/>
        <w:spacing w:line="316" w:lineRule="auto" w:before="0"/>
        <w:ind w:right="0" w:firstLine="360"/>
        <w:jc w:val="left"/>
      </w:pPr>
      <w:r>
        <w:rPr>
          <w:spacing w:val="-5"/>
        </w:rPr>
        <w:t>二、</w:t>
      </w:r>
      <w:r>
        <w:rPr>
          <w:rFonts w:ascii="宋体" w:hAnsi="宋体" w:cs="宋体" w:eastAsia="宋体" w:hint="default"/>
          <w:spacing w:val="-5"/>
        </w:rPr>
        <w:t>2018</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26</w:t>
      </w:r>
      <w:r>
        <w:rPr>
          <w:spacing w:val="-5"/>
        </w:rPr>
        <w:t>日召开了第三届董事会</w:t>
      </w:r>
      <w:r>
        <w:rPr>
          <w:rFonts w:ascii="宋体" w:hAnsi="宋体" w:cs="宋体" w:eastAsia="宋体" w:hint="default"/>
          <w:spacing w:val="-5"/>
        </w:rPr>
        <w:t>2018</w:t>
      </w:r>
      <w:r>
        <w:rPr>
          <w:spacing w:val="-5"/>
        </w:rPr>
        <w:t>年第二次临时会议、第三届监事会</w:t>
      </w:r>
      <w:r>
        <w:rPr>
          <w:rFonts w:ascii="宋体" w:hAnsi="宋体" w:cs="宋体" w:eastAsia="宋体" w:hint="default"/>
          <w:spacing w:val="-5"/>
        </w:rPr>
        <w:t>2018</w:t>
      </w:r>
      <w:r>
        <w:rPr>
          <w:spacing w:val="-5"/>
        </w:rPr>
        <w:t>年第二次临时会议，审议通过了《关</w:t>
      </w:r>
      <w:r>
        <w:rPr/>
        <w:t> </w:t>
      </w:r>
      <w:r>
        <w:rPr>
          <w:spacing w:val="-7"/>
        </w:rPr>
        <w:t>于公司会计政策变更的议案》。</w:t>
      </w:r>
    </w:p>
    <w:p>
      <w:pPr>
        <w:pStyle w:val="BodyText"/>
        <w:spacing w:line="319" w:lineRule="auto"/>
        <w:ind w:left="474" w:right="1128"/>
        <w:jc w:val="left"/>
      </w:pPr>
      <w:r>
        <w:rPr>
          <w:rFonts w:ascii="宋体" w:hAnsi="宋体" w:cs="宋体" w:eastAsia="宋体" w:hint="default"/>
        </w:rPr>
        <w:t>1</w:t>
      </w:r>
      <w:r>
        <w:rPr/>
        <w:t>、变更原因 </w:t>
      </w:r>
      <w:r>
        <w:rPr>
          <w:spacing w:val="-3"/>
        </w:rPr>
        <w:t>财政部于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日发布了《关于修订印发</w:t>
      </w:r>
      <w:r>
        <w:rPr>
          <w:rFonts w:ascii="宋体" w:hAnsi="宋体" w:cs="宋体" w:eastAsia="宋体" w:hint="default"/>
          <w:spacing w:val="-3"/>
        </w:rPr>
        <w:t>2018</w:t>
      </w:r>
      <w:r>
        <w:rPr>
          <w:spacing w:val="-3"/>
        </w:rPr>
        <w:t>年度一般企业财务报表格式的通知》（财会</w:t>
      </w:r>
      <w:r>
        <w:rPr>
          <w:rFonts w:ascii="宋体" w:hAnsi="宋体" w:cs="宋体" w:eastAsia="宋体" w:hint="default"/>
          <w:spacing w:val="-3"/>
        </w:rPr>
        <w:t>[2018]15</w:t>
      </w:r>
      <w:r>
        <w:rPr>
          <w:spacing w:val="-3"/>
        </w:rPr>
        <w:t>号）（以下简称</w:t>
      </w:r>
    </w:p>
    <w:p>
      <w:pPr>
        <w:pStyle w:val="BodyText"/>
        <w:spacing w:line="316" w:lineRule="auto" w:before="17"/>
        <w:ind w:left="474" w:right="4092" w:hanging="360"/>
        <w:jc w:val="left"/>
      </w:pPr>
      <w:r>
        <w:rPr>
          <w:spacing w:val="-10"/>
        </w:rPr>
        <w:t>“《修订通知》”），公司将按照该通知的规定和要求，对财务报表格式进行相应变更。</w:t>
      </w:r>
      <w:r>
        <w:rPr>
          <w:spacing w:val="-60"/>
        </w:rPr>
        <w:t> </w:t>
      </w:r>
      <w:r>
        <w:rPr>
          <w:spacing w:val="-60"/>
        </w:rPr>
      </w:r>
      <w:r>
        <w:rPr>
          <w:rFonts w:ascii="宋体" w:hAnsi="宋体" w:cs="宋体" w:eastAsia="宋体" w:hint="default"/>
        </w:rPr>
        <w:t>2</w:t>
      </w:r>
      <w:r>
        <w:rPr/>
        <w:t>、变更时间</w:t>
      </w:r>
    </w:p>
    <w:p>
      <w:pPr>
        <w:pStyle w:val="BodyText"/>
        <w:spacing w:line="316" w:lineRule="auto"/>
        <w:ind w:right="0" w:firstLine="360"/>
        <w:jc w:val="left"/>
      </w:pPr>
      <w:r>
        <w:rPr>
          <w:spacing w:val="-2"/>
        </w:rPr>
        <w:t>根据以上通知规定，公司自本次董事会审议通过本议案之日起执行。公司将按照《修订通知》的规定和要求对财务报表</w:t>
      </w:r>
      <w:r>
        <w:rPr/>
        <w:t> 格式进行相应变更。</w:t>
      </w:r>
    </w:p>
    <w:p>
      <w:pPr>
        <w:pStyle w:val="BodyText"/>
        <w:spacing w:line="316" w:lineRule="auto"/>
        <w:ind w:left="474" w:right="0"/>
        <w:jc w:val="left"/>
      </w:pPr>
      <w:r>
        <w:rPr>
          <w:rFonts w:ascii="宋体" w:hAnsi="宋体" w:cs="宋体" w:eastAsia="宋体" w:hint="default"/>
        </w:rPr>
        <w:t>3</w:t>
      </w:r>
      <w:r>
        <w:rPr/>
        <w:t>、变更前采取的会计政策 </w:t>
      </w:r>
      <w:r>
        <w:rPr>
          <w:spacing w:val="-2"/>
        </w:rPr>
        <w:t>本次变更前，公司财务报表格式执行财政部《关于修订印发一般企业财务报表格式的通知》（财会</w:t>
      </w:r>
      <w:r>
        <w:rPr>
          <w:rFonts w:ascii="宋体" w:hAnsi="宋体" w:cs="宋体" w:eastAsia="宋体" w:hint="default"/>
          <w:spacing w:val="-2"/>
        </w:rPr>
        <w:t>[2017]30</w:t>
      </w:r>
      <w:r>
        <w:rPr>
          <w:spacing w:val="-2"/>
        </w:rPr>
        <w:t>号）和各项</w:t>
      </w:r>
    </w:p>
    <w:p>
      <w:pPr>
        <w:pStyle w:val="BodyText"/>
        <w:spacing w:line="316" w:lineRule="auto"/>
        <w:ind w:left="474" w:right="4092" w:hanging="360"/>
        <w:jc w:val="left"/>
      </w:pPr>
      <w:r>
        <w:rPr/>
        <w:t>具体会计准则、企业会计准则应用指南、企业会计准则解释公告以及其他有关规定。 </w:t>
      </w:r>
      <w:r>
        <w:rPr>
          <w:rFonts w:ascii="宋体" w:hAnsi="宋体" w:cs="宋体" w:eastAsia="宋体" w:hint="default"/>
        </w:rPr>
        <w:t>4</w:t>
      </w:r>
      <w:r>
        <w:rPr/>
        <w:t>、变更后采取的会计政策</w:t>
      </w:r>
    </w:p>
    <w:p>
      <w:pPr>
        <w:pStyle w:val="BodyText"/>
        <w:spacing w:line="316" w:lineRule="auto"/>
        <w:ind w:right="1115" w:firstLine="360"/>
        <w:jc w:val="left"/>
      </w:pPr>
      <w:r>
        <w:rPr/>
        <w:t>本次变更后，公司财务报表格式执行财政部《关于修订印发 </w:t>
      </w:r>
      <w:r>
        <w:rPr>
          <w:rFonts w:ascii="宋体" w:hAnsi="宋体" w:cs="宋体" w:eastAsia="宋体" w:hint="default"/>
        </w:rPr>
        <w:t>2018</w:t>
      </w:r>
      <w:r>
        <w:rPr>
          <w:rFonts w:ascii="宋体" w:hAnsi="宋体" w:cs="宋体" w:eastAsia="宋体" w:hint="default"/>
          <w:spacing w:val="25"/>
        </w:rPr>
        <w:t> </w:t>
      </w:r>
      <w:r>
        <w:rPr>
          <w:spacing w:val="-4"/>
        </w:rPr>
        <w:t>年度一般企业财务报表格式的通知》（财会</w:t>
      </w:r>
      <w:r>
        <w:rPr>
          <w:rFonts w:ascii="宋体" w:hAnsi="宋体" w:cs="宋体" w:eastAsia="宋体" w:hint="default"/>
          <w:spacing w:val="-4"/>
        </w:rPr>
        <w:t>[2018]15</w:t>
      </w:r>
      <w:r>
        <w:rPr>
          <w:rFonts w:ascii="宋体" w:hAnsi="宋体" w:cs="宋体" w:eastAsia="宋体" w:hint="default"/>
        </w:rPr>
        <w:t> </w:t>
      </w:r>
      <w:r>
        <w:rPr/>
        <w:t>号）和各项具体会计准则。</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152"/>
        <w:jc w:val="left"/>
      </w:pPr>
      <w:r>
        <w:rPr/>
        <w:t>□ 适用 √ 不适用 公司报告期无合并报表范围发生变化的情况。</w:t>
      </w:r>
    </w:p>
    <w:p>
      <w:pPr>
        <w:spacing w:after="0" w:line="360" w:lineRule="auto"/>
        <w:jc w:val="left"/>
        <w:sectPr>
          <w:pgSz w:w="11910" w:h="16840"/>
          <w:pgMar w:header="907" w:footer="1019" w:top="1100" w:bottom="1200" w:left="1020" w:right="0"/>
        </w:sectPr>
      </w:pPr>
    </w:p>
    <w:p>
      <w:pPr>
        <w:spacing w:line="240" w:lineRule="auto" w:before="3"/>
        <w:rPr>
          <w:rFonts w:ascii="宋体" w:hAnsi="宋体" w:cs="宋体" w:eastAsia="宋体" w:hint="default"/>
          <w:sz w:val="23"/>
          <w:szCs w:val="23"/>
        </w:rPr>
      </w:pPr>
    </w:p>
    <w:p>
      <w:pPr>
        <w:pStyle w:val="BodyText"/>
        <w:spacing w:line="240" w:lineRule="auto" w:before="44"/>
        <w:ind w:right="0"/>
        <w:jc w:val="left"/>
      </w:pPr>
      <w:bookmarkStart w:name="八、聘任、解聘会计师事务所情况" w:id="72"/>
      <w:bookmarkEnd w:id="72"/>
      <w:r>
        <w:rPr/>
      </w:r>
      <w:r>
        <w:rPr/>
        <w:t>现聘任的会计事务所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于曙光、王卓</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于曙光第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年、王卓第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60" w:lineRule="auto" w:before="116"/>
        <w:ind w:right="6252"/>
        <w:jc w:val="left"/>
      </w:pPr>
      <w:r>
        <w:rPr/>
        <w:t>□ 是 √ 否 聘请内部控制审计会计师事务所、财务顾问或保荐人情况</w:t>
      </w:r>
    </w:p>
    <w:p>
      <w:pPr>
        <w:pStyle w:val="BodyText"/>
        <w:spacing w:line="357" w:lineRule="auto" w:before="26"/>
        <w:ind w:left="474" w:right="1118" w:hanging="360"/>
        <w:jc w:val="left"/>
      </w:pPr>
      <w:r>
        <w:rPr/>
        <w:t>√ 适用 □ 不适用 </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23</w:t>
      </w:r>
      <w:r>
        <w:rPr>
          <w:spacing w:val="-2"/>
        </w:rPr>
        <w:t>第二届董事会</w:t>
      </w:r>
      <w:r>
        <w:rPr>
          <w:rFonts w:ascii="宋体" w:hAnsi="宋体" w:cs="宋体" w:eastAsia="宋体" w:hint="default"/>
          <w:spacing w:val="-2"/>
        </w:rPr>
        <w:t>2018</w:t>
      </w:r>
      <w:r>
        <w:rPr>
          <w:spacing w:val="-2"/>
        </w:rPr>
        <w:t>年第一次临时会议提出了《关于</w:t>
      </w:r>
      <w:r>
        <w:rPr>
          <w:rFonts w:ascii="宋体" w:hAnsi="宋体" w:cs="宋体" w:eastAsia="宋体" w:hint="default"/>
          <w:spacing w:val="-2"/>
        </w:rPr>
        <w:t>&lt;</w:t>
      </w:r>
      <w:r>
        <w:rPr>
          <w:spacing w:val="-2"/>
        </w:rPr>
        <w:t>北京先进数通信息技术股份公司</w:t>
      </w:r>
      <w:r>
        <w:rPr>
          <w:rFonts w:ascii="宋体" w:hAnsi="宋体" w:cs="宋体" w:eastAsia="宋体" w:hint="default"/>
          <w:spacing w:val="-2"/>
        </w:rPr>
        <w:t>2018</w:t>
      </w:r>
      <w:r>
        <w:rPr>
          <w:spacing w:val="-2"/>
        </w:rPr>
        <w:t>年限制性股票激励</w:t>
      </w:r>
    </w:p>
    <w:p>
      <w:pPr>
        <w:pStyle w:val="BodyText"/>
        <w:spacing w:line="224" w:lineRule="exact" w:before="0"/>
        <w:ind w:right="0"/>
        <w:jc w:val="left"/>
      </w:pPr>
      <w:r>
        <w:rPr/>
        <w:t>计</w:t>
      </w:r>
      <w:r>
        <w:rPr>
          <w:spacing w:val="-14"/>
        </w:rPr>
        <w:t>划</w:t>
      </w:r>
      <w:r>
        <w:rPr/>
        <w:t>（草案</w:t>
      </w:r>
      <w:r>
        <w:rPr>
          <w:spacing w:val="-13"/>
        </w:rPr>
        <w:t>）</w:t>
      </w:r>
      <w:r>
        <w:rPr>
          <w:rFonts w:ascii="宋体" w:hAnsi="宋体" w:cs="宋体" w:eastAsia="宋体" w:hint="default"/>
          <w:spacing w:val="-2"/>
        </w:rPr>
        <w:t>&gt;</w:t>
      </w:r>
      <w:r>
        <w:rPr/>
        <w:t>及其摘要的议案</w:t>
      </w:r>
      <w:r>
        <w:rPr>
          <w:spacing w:val="-90"/>
        </w:rPr>
        <w:t>》</w:t>
      </w:r>
      <w:r>
        <w:rPr>
          <w:spacing w:val="-14"/>
        </w:rPr>
        <w:t>，</w:t>
      </w:r>
      <w:r>
        <w:rPr/>
        <w:t>为了保证本次激励计划的合法性</w:t>
      </w:r>
      <w:r>
        <w:rPr>
          <w:spacing w:val="-14"/>
        </w:rPr>
        <w:t>、</w:t>
      </w:r>
      <w:r>
        <w:rPr/>
        <w:t>合理性</w:t>
      </w:r>
      <w:r>
        <w:rPr>
          <w:spacing w:val="-14"/>
        </w:rPr>
        <w:t>、</w:t>
      </w:r>
      <w:r>
        <w:rPr/>
        <w:t>公平性和完整性</w:t>
      </w:r>
      <w:r>
        <w:rPr>
          <w:spacing w:val="-14"/>
        </w:rPr>
        <w:t>，</w:t>
      </w:r>
      <w:r>
        <w:rPr/>
        <w:t>公司聘请上海荣正投资咨询</w:t>
      </w:r>
    </w:p>
    <w:p>
      <w:pPr>
        <w:pStyle w:val="BodyText"/>
        <w:spacing w:line="316" w:lineRule="auto" w:before="76"/>
        <w:ind w:right="1118"/>
        <w:jc w:val="left"/>
      </w:pPr>
      <w:r>
        <w:rPr>
          <w:spacing w:val="-2"/>
        </w:rPr>
        <w:t>有限公司作为本次激励计划的独立财务顾问，对本次股权激励计划是否公平、合理，对股东的权益和上市公司持续经营的影</w:t>
      </w:r>
      <w:r>
        <w:rPr>
          <w:spacing w:val="-66"/>
        </w:rPr>
        <w:t> </w:t>
      </w:r>
      <w:r>
        <w:rPr>
          <w:spacing w:val="-66"/>
        </w:rPr>
      </w:r>
      <w:r>
        <w:rPr/>
        <w:t>响发表意见。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91"/>
        <w:gridCol w:w="1086"/>
        <w:gridCol w:w="957"/>
        <w:gridCol w:w="1060"/>
        <w:gridCol w:w="1667"/>
        <w:gridCol w:w="1266"/>
        <w:gridCol w:w="784"/>
        <w:gridCol w:w="1200"/>
      </w:tblGrid>
      <w:tr>
        <w:trPr>
          <w:trHeight w:val="71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50" w:right="14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113"/>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44" w:right="10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67" w:right="137" w:hanging="3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77" w:right="11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5" w:right="11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6"/>
              <w:jc w:val="both"/>
              <w:rPr>
                <w:rFonts w:ascii="宋体" w:hAnsi="宋体" w:cs="宋体" w:eastAsia="宋体" w:hint="default"/>
                <w:sz w:val="18"/>
                <w:szCs w:val="18"/>
              </w:rPr>
            </w:pPr>
            <w:r>
              <w:rPr>
                <w:rFonts w:ascii="宋体" w:hAnsi="宋体" w:cs="宋体" w:eastAsia="宋体" w:hint="default"/>
                <w:sz w:val="18"/>
                <w:szCs w:val="18"/>
              </w:rPr>
              <w:t>公司与上海兴容信 息技术有限公司的 因产品服务问题而 产生的合同纠纷</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523</w:t>
            </w:r>
            <w:r>
              <w:rPr>
                <w:rFonts w:ascii="Times New Roman"/>
                <w:sz w:val="16"/>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公司向上海兴容信 息技术有限公司支 付货款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51"/>
              <w:jc w:val="left"/>
              <w:rPr>
                <w:rFonts w:ascii="宋体" w:hAnsi="宋体" w:cs="宋体" w:eastAsia="宋体" w:hint="default"/>
                <w:sz w:val="18"/>
                <w:szCs w:val="18"/>
              </w:rPr>
            </w:pPr>
            <w:r>
              <w:rPr>
                <w:rFonts w:ascii="宋体" w:hAnsi="宋体" w:cs="宋体" w:eastAsia="宋体" w:hint="default"/>
                <w:sz w:val="18"/>
                <w:szCs w:val="18"/>
              </w:rPr>
              <w:t>公司已支付 货款</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巨潮资讯 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 半年度报告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p>
        </w:tc>
      </w:tr>
      <w:tr>
        <w:trPr>
          <w:trHeight w:val="1652"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6"/>
              <w:jc w:val="left"/>
              <w:rPr>
                <w:rFonts w:ascii="宋体" w:hAnsi="宋体" w:cs="宋体" w:eastAsia="宋体" w:hint="default"/>
                <w:sz w:val="18"/>
                <w:szCs w:val="18"/>
              </w:rPr>
            </w:pPr>
            <w:r>
              <w:rPr>
                <w:rFonts w:ascii="宋体" w:hAnsi="宋体" w:cs="宋体" w:eastAsia="宋体" w:hint="default"/>
                <w:sz w:val="18"/>
                <w:szCs w:val="18"/>
              </w:rPr>
              <w:t>公司向广元万达广 场投资有限公司等</w:t>
            </w:r>
          </w:p>
          <w:p>
            <w:pPr>
              <w:pStyle w:val="TableParagraph"/>
              <w:spacing w:line="309" w:lineRule="auto" w:before="19"/>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家公司提起仲裁， 要求支付合同欠款 及资金占用费</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231</w:t>
            </w:r>
            <w:r>
              <w:rPr>
                <w:rFonts w:ascii="Times New Roman"/>
                <w:sz w:val="16"/>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未结案</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13"/>
              <w:jc w:val="both"/>
              <w:rPr>
                <w:rFonts w:ascii="宋体" w:hAnsi="宋体" w:cs="宋体" w:eastAsia="宋体" w:hint="default"/>
                <w:sz w:val="18"/>
                <w:szCs w:val="18"/>
              </w:rPr>
            </w:pPr>
            <w:r>
              <w:rPr>
                <w:rFonts w:ascii="宋体" w:hAnsi="宋体" w:cs="宋体" w:eastAsia="宋体" w:hint="default"/>
                <w:sz w:val="18"/>
                <w:szCs w:val="18"/>
              </w:rPr>
              <w:t>相关应收款，公司 已全额计提坏账准 备，不会对公司未 来财务状况，产生 不利影响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未执行</w:t>
            </w:r>
          </w:p>
        </w:tc>
        <w:tc>
          <w:tcPr>
            <w:tcW w:w="78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03" w:right="185"/>
              <w:jc w:val="left"/>
              <w:rPr>
                <w:rFonts w:ascii="宋体" w:hAnsi="宋体" w:cs="宋体" w:eastAsia="宋体" w:hint="default"/>
                <w:sz w:val="18"/>
                <w:szCs w:val="18"/>
              </w:rPr>
            </w:pPr>
            <w:r>
              <w:rPr>
                <w:rFonts w:ascii="宋体" w:hAnsi="宋体" w:cs="宋体" w:eastAsia="宋体" w:hint="default"/>
                <w:sz w:val="18"/>
                <w:szCs w:val="18"/>
              </w:rPr>
              <w:t>未达披露标 准</w:t>
            </w:r>
          </w:p>
        </w:tc>
      </w:tr>
    </w:tbl>
    <w:p>
      <w:pPr>
        <w:spacing w:after="0" w:line="319" w:lineRule="auto"/>
        <w:jc w:val="left"/>
        <w:rPr>
          <w:rFonts w:ascii="宋体" w:hAnsi="宋体" w:cs="宋体" w:eastAsia="宋体" w:hint="default"/>
          <w:sz w:val="18"/>
          <w:szCs w:val="18"/>
        </w:rPr>
        <w:sectPr>
          <w:headerReference w:type="default" r:id="rId14"/>
          <w:pgSz w:w="11910" w:h="16840"/>
          <w:pgMar w:header="917" w:footer="1019" w:top="17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872"/>
        <w:jc w:val="left"/>
      </w:pPr>
      <w:r>
        <w:rPr/>
        <w:t>□ 适用 √ 不适用 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474" w:right="1302" w:hanging="360"/>
        <w:jc w:val="left"/>
      </w:pPr>
      <w:r>
        <w:rPr/>
        <w:t>√ 适用 □ 不适用 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日召开第二届董事会</w:t>
      </w:r>
      <w:r>
        <w:rPr>
          <w:rFonts w:ascii="宋体" w:hAnsi="宋体" w:cs="宋体" w:eastAsia="宋体" w:hint="default"/>
        </w:rPr>
        <w:t>2018</w:t>
      </w:r>
      <w:r>
        <w:rPr/>
        <w:t>年第一次临时会议，审议通过了《关于</w:t>
      </w:r>
      <w:r>
        <w:rPr>
          <w:rFonts w:ascii="宋体" w:hAnsi="宋体" w:cs="宋体" w:eastAsia="宋体" w:hint="default"/>
        </w:rPr>
        <w:t>&lt;</w:t>
      </w:r>
      <w:r>
        <w:rPr/>
        <w:t>北京先进数通信息技术股份公司</w:t>
      </w:r>
    </w:p>
    <w:p>
      <w:pPr>
        <w:pStyle w:val="BodyText"/>
        <w:spacing w:line="224" w:lineRule="exact" w:before="0"/>
        <w:ind w:right="0"/>
        <w:jc w:val="left"/>
      </w:pPr>
      <w:r>
        <w:rPr>
          <w:rFonts w:ascii="宋体" w:hAnsi="宋体" w:cs="宋体" w:eastAsia="宋体" w:hint="default"/>
        </w:rPr>
        <w:t>2018 </w:t>
      </w:r>
      <w:r>
        <w:rPr/>
        <w:t>年限制性股票激励计划（草案）</w:t>
      </w:r>
      <w:r>
        <w:rPr>
          <w:rFonts w:ascii="宋体" w:hAnsi="宋体" w:cs="宋体" w:eastAsia="宋体" w:hint="default"/>
        </w:rPr>
        <w:t>&gt;</w:t>
      </w:r>
      <w:r>
        <w:rPr/>
        <w:t>及其摘要的议案</w:t>
      </w:r>
      <w:r>
        <w:rPr>
          <w:spacing w:val="-90"/>
        </w:rPr>
        <w:t>》、</w:t>
      </w:r>
      <w:r>
        <w:rPr/>
        <w:t>《关于制订</w:t>
      </w:r>
      <w:r>
        <w:rPr>
          <w:rFonts w:ascii="宋体" w:hAnsi="宋体" w:cs="宋体" w:eastAsia="宋体" w:hint="default"/>
        </w:rPr>
        <w:t>&lt;</w:t>
      </w:r>
      <w:r>
        <w:rPr/>
        <w:t>北京先进数通信息技术股份公司</w:t>
      </w:r>
      <w:r>
        <w:rPr>
          <w:rFonts w:ascii="宋体" w:hAnsi="宋体" w:cs="宋体" w:eastAsia="宋体" w:hint="default"/>
        </w:rPr>
        <w:t>2018</w:t>
      </w:r>
      <w:r>
        <w:rPr/>
        <w:t>年限制性股票激</w:t>
      </w:r>
    </w:p>
    <w:p>
      <w:pPr>
        <w:pStyle w:val="BodyText"/>
        <w:spacing w:line="316" w:lineRule="auto" w:before="76"/>
        <w:ind w:right="1041"/>
        <w:jc w:val="left"/>
      </w:pPr>
      <w:r>
        <w:rPr>
          <w:spacing w:val="-2"/>
        </w:rPr>
        <w:t>励计划实施考核管理办法</w:t>
      </w:r>
      <w:r>
        <w:rPr>
          <w:rFonts w:ascii="宋体" w:hAnsi="宋体" w:cs="宋体" w:eastAsia="宋体" w:hint="default"/>
          <w:spacing w:val="-2"/>
        </w:rPr>
        <w:t>&gt;</w:t>
      </w:r>
      <w:r>
        <w:rPr>
          <w:spacing w:val="-2"/>
        </w:rPr>
        <w:t>的议案》及《关于提请公司股东大会授权董事会办理</w:t>
      </w:r>
      <w:r>
        <w:rPr>
          <w:rFonts w:ascii="宋体" w:hAnsi="宋体" w:cs="宋体" w:eastAsia="宋体" w:hint="default"/>
          <w:spacing w:val="-2"/>
        </w:rPr>
        <w:t>2018</w:t>
      </w:r>
      <w:r>
        <w:rPr>
          <w:spacing w:val="-2"/>
        </w:rPr>
        <w:t>年限制性股票激励计划相关事宜的议案》</w:t>
      </w:r>
      <w:r>
        <w:rPr>
          <w:spacing w:val="-58"/>
        </w:rPr>
        <w:t> </w:t>
      </w:r>
      <w:r>
        <w:rPr>
          <w:spacing w:val="-4"/>
        </w:rPr>
        <w:t>等议案。披露索引：巨潮资讯网</w:t>
      </w:r>
      <w:r>
        <w:rPr>
          <w:rFonts w:ascii="宋体" w:hAnsi="宋体" w:cs="宋体" w:eastAsia="宋体" w:hint="default"/>
          <w:spacing w:val="-4"/>
        </w:rPr>
        <w:t>-</w:t>
      </w:r>
      <w:r>
        <w:rPr>
          <w:spacing w:val="-4"/>
        </w:rPr>
        <w:t>第二届董事会</w:t>
      </w:r>
      <w:r>
        <w:rPr>
          <w:rFonts w:ascii="宋体" w:hAnsi="宋体" w:cs="宋体" w:eastAsia="宋体" w:hint="default"/>
          <w:spacing w:val="-4"/>
        </w:rPr>
        <w:t>2018</w:t>
      </w:r>
      <w:r>
        <w:rPr>
          <w:spacing w:val="-4"/>
        </w:rPr>
        <w:t>年第一次临时会议决议公告（</w:t>
      </w:r>
      <w:r>
        <w:rPr>
          <w:rFonts w:ascii="宋体" w:hAnsi="宋体" w:cs="宋体" w:eastAsia="宋体" w:hint="default"/>
          <w:spacing w:val="-4"/>
        </w:rPr>
        <w:t>2018-004</w:t>
      </w:r>
      <w:r>
        <w:rPr>
          <w:spacing w:val="-4"/>
        </w:rPr>
        <w:t>）。</w:t>
      </w:r>
      <w:r>
        <w:rPr/>
      </w:r>
    </w:p>
    <w:p>
      <w:pPr>
        <w:pStyle w:val="BodyText"/>
        <w:spacing w:line="316" w:lineRule="auto"/>
        <w:ind w:right="1131" w:firstLine="360"/>
        <w:jc w:val="both"/>
      </w:pP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日召开第二届监事会</w:t>
      </w:r>
      <w:r>
        <w:rPr>
          <w:rFonts w:ascii="宋体" w:hAnsi="宋体" w:cs="宋体" w:eastAsia="宋体" w:hint="default"/>
        </w:rPr>
        <w:t>2018</w:t>
      </w:r>
      <w:r>
        <w:rPr/>
        <w:t>年第一次临时会议，会议审议通过了《关于</w:t>
      </w:r>
      <w:r>
        <w:rPr>
          <w:rFonts w:ascii="宋体" w:hAnsi="宋体" w:cs="宋体" w:eastAsia="宋体" w:hint="default"/>
        </w:rPr>
        <w:t>&lt;</w:t>
      </w:r>
      <w:r>
        <w:rPr/>
        <w:t>北京先进数通信息技术股份公 司 </w:t>
      </w:r>
      <w:r>
        <w:rPr>
          <w:rFonts w:ascii="宋体" w:hAnsi="宋体" w:cs="宋体" w:eastAsia="宋体" w:hint="default"/>
        </w:rPr>
        <w:t>2018</w:t>
      </w:r>
      <w:r>
        <w:rPr>
          <w:rFonts w:ascii="宋体" w:hAnsi="宋体" w:cs="宋体" w:eastAsia="宋体" w:hint="default"/>
          <w:spacing w:val="5"/>
        </w:rPr>
        <w:t> </w:t>
      </w:r>
      <w:r>
        <w:rPr>
          <w:spacing w:val="-5"/>
        </w:rPr>
        <w:t>年限制性股票激励计划（草案）</w:t>
      </w:r>
      <w:r>
        <w:rPr>
          <w:rFonts w:ascii="宋体" w:hAnsi="宋体" w:cs="宋体" w:eastAsia="宋体" w:hint="default"/>
          <w:spacing w:val="-5"/>
        </w:rPr>
        <w:t>&gt;</w:t>
      </w:r>
      <w:r>
        <w:rPr>
          <w:spacing w:val="-5"/>
        </w:rPr>
        <w:t>及其摘要的议案》、《关于制订</w:t>
      </w:r>
      <w:r>
        <w:rPr>
          <w:rFonts w:ascii="宋体" w:hAnsi="宋体" w:cs="宋体" w:eastAsia="宋体" w:hint="default"/>
          <w:spacing w:val="-5"/>
        </w:rPr>
        <w:t>&lt;</w:t>
      </w:r>
      <w:r>
        <w:rPr>
          <w:spacing w:val="-5"/>
        </w:rPr>
        <w:t>北京先进数通信息技术股份公司</w:t>
      </w:r>
      <w:r>
        <w:rPr>
          <w:rFonts w:ascii="宋体" w:hAnsi="宋体" w:cs="宋体" w:eastAsia="宋体" w:hint="default"/>
          <w:spacing w:val="-5"/>
        </w:rPr>
        <w:t>2018</w:t>
      </w:r>
      <w:r>
        <w:rPr>
          <w:spacing w:val="-5"/>
        </w:rPr>
        <w:t>年限制性股票</w:t>
      </w:r>
      <w:r>
        <w:rPr/>
        <w:t> </w:t>
      </w:r>
      <w:r>
        <w:rPr>
          <w:spacing w:val="-2"/>
        </w:rPr>
        <w:t>激励计划实施考核管理办法</w:t>
      </w:r>
      <w:r>
        <w:rPr>
          <w:rFonts w:ascii="宋体" w:hAnsi="宋体" w:cs="宋体" w:eastAsia="宋体" w:hint="default"/>
          <w:spacing w:val="-2"/>
        </w:rPr>
        <w:t>&gt;</w:t>
      </w:r>
      <w:r>
        <w:rPr>
          <w:spacing w:val="-2"/>
        </w:rPr>
        <w:t>的议案》及《关于核实</w:t>
      </w:r>
      <w:r>
        <w:rPr>
          <w:rFonts w:ascii="宋体" w:hAnsi="宋体" w:cs="宋体" w:eastAsia="宋体" w:hint="default"/>
          <w:spacing w:val="-2"/>
        </w:rPr>
        <w:t>&lt;</w:t>
      </w:r>
      <w:r>
        <w:rPr>
          <w:spacing w:val="-2"/>
        </w:rPr>
        <w:t>北京先进数通信息技术股份公司</w:t>
      </w:r>
      <w:r>
        <w:rPr>
          <w:rFonts w:ascii="宋体" w:hAnsi="宋体" w:cs="宋体" w:eastAsia="宋体" w:hint="default"/>
          <w:spacing w:val="-2"/>
        </w:rPr>
        <w:t>2018</w:t>
      </w:r>
      <w:r>
        <w:rPr>
          <w:spacing w:val="-2"/>
        </w:rPr>
        <w:t>年限制性股票激励计划激励对象名</w:t>
      </w:r>
      <w:r>
        <w:rPr>
          <w:spacing w:val="-58"/>
        </w:rPr>
        <w:t> </w:t>
      </w:r>
      <w:r>
        <w:rPr>
          <w:spacing w:val="-6"/>
        </w:rPr>
        <w:t>单</w:t>
      </w:r>
      <w:r>
        <w:rPr>
          <w:rFonts w:ascii="宋体" w:hAnsi="宋体" w:cs="宋体" w:eastAsia="宋体" w:hint="default"/>
          <w:spacing w:val="-6"/>
        </w:rPr>
        <w:t>&gt;</w:t>
      </w:r>
      <w:r>
        <w:rPr>
          <w:spacing w:val="-6"/>
        </w:rPr>
        <w:t>的议案》。披露索引：巨潮资讯网</w:t>
      </w:r>
      <w:r>
        <w:rPr>
          <w:rFonts w:ascii="宋体" w:hAnsi="宋体" w:cs="宋体" w:eastAsia="宋体" w:hint="default"/>
          <w:spacing w:val="-6"/>
        </w:rPr>
        <w:t>-</w:t>
      </w:r>
      <w:r>
        <w:rPr>
          <w:spacing w:val="-6"/>
        </w:rPr>
        <w:t>第二届监事会</w:t>
      </w:r>
      <w:r>
        <w:rPr>
          <w:rFonts w:ascii="宋体" w:hAnsi="宋体" w:cs="宋体" w:eastAsia="宋体" w:hint="default"/>
          <w:spacing w:val="-6"/>
        </w:rPr>
        <w:t>2018</w:t>
      </w:r>
      <w:r>
        <w:rPr>
          <w:spacing w:val="-6"/>
        </w:rPr>
        <w:t>年第一次临时会议决议公告（</w:t>
      </w:r>
      <w:r>
        <w:rPr>
          <w:rFonts w:ascii="宋体" w:hAnsi="宋体" w:cs="宋体" w:eastAsia="宋体" w:hint="default"/>
          <w:spacing w:val="-6"/>
        </w:rPr>
        <w:t>2018-007</w:t>
      </w:r>
      <w:r>
        <w:rPr>
          <w:spacing w:val="-6"/>
        </w:rPr>
        <w:t>）。</w:t>
      </w:r>
      <w:r>
        <w:rPr/>
      </w:r>
    </w:p>
    <w:p>
      <w:pPr>
        <w:pStyle w:val="BodyText"/>
        <w:spacing w:line="316" w:lineRule="auto"/>
        <w:ind w:right="0" w:firstLine="360"/>
        <w:jc w:val="left"/>
      </w:pPr>
      <w:r>
        <w:rPr>
          <w:spacing w:val="-2"/>
        </w:rPr>
        <w:t>公司独立董事已就本次股权激励计划发表独立意见，认为公司不存在法律、法规禁止实施股权激励计划的情形，公司具</w:t>
      </w:r>
      <w:r>
        <w:rPr/>
        <w:t> </w:t>
      </w:r>
      <w:r>
        <w:rPr>
          <w:spacing w:val="-4"/>
        </w:rPr>
        <w:t>备实施股权激励计划的主体资格；公司本次股票激励计划所确定的激励对象均符合法律、法规和规范性文件规定的任职资格，</w:t>
      </w:r>
      <w:r>
        <w:rPr>
          <w:spacing w:val="-44"/>
        </w:rPr>
        <w:t> </w:t>
      </w:r>
      <w:r>
        <w:rPr>
          <w:spacing w:val="-44"/>
        </w:rPr>
      </w:r>
      <w:r>
        <w:rPr>
          <w:spacing w:val="-2"/>
        </w:rPr>
        <w:t>激励计划所确定的激励对象为公司中层管理人员及核心骨干，均为公司正式在职员工，不包括独立董事、监事，也不包括单</w:t>
      </w:r>
      <w:r>
        <w:rPr>
          <w:spacing w:val="-66"/>
        </w:rPr>
        <w:t> </w:t>
      </w:r>
      <w:r>
        <w:rPr>
          <w:spacing w:val="-66"/>
        </w:rPr>
      </w:r>
      <w:r>
        <w:rPr>
          <w:spacing w:val="-2"/>
        </w:rPr>
        <w:t>独或合计持有公司</w:t>
      </w:r>
      <w:r>
        <w:rPr>
          <w:rFonts w:ascii="宋体" w:hAnsi="宋体" w:cs="宋体" w:eastAsia="宋体" w:hint="default"/>
          <w:spacing w:val="-2"/>
        </w:rPr>
        <w:t>5%</w:t>
      </w:r>
      <w:r>
        <w:rPr>
          <w:spacing w:val="-2"/>
        </w:rPr>
        <w:t>以上股份的股东或实际控制人及其配偶、父母、子女，且不存在有关法律、法规规定不得担任激励对象</w:t>
      </w:r>
      <w:r>
        <w:rPr>
          <w:spacing w:val="-64"/>
        </w:rPr>
        <w:t> </w:t>
      </w:r>
      <w:r>
        <w:rPr>
          <w:spacing w:val="-64"/>
        </w:rPr>
      </w:r>
      <w:r>
        <w:rPr>
          <w:spacing w:val="-7"/>
        </w:rPr>
        <w:t>的情形：《激励计划（草案）》的内容符合《上市公司股权激励管理办法》、《创业板信息披露业务备忘录第</w:t>
      </w:r>
      <w:r>
        <w:rPr>
          <w:rFonts w:ascii="宋体" w:hAnsi="宋体" w:cs="宋体" w:eastAsia="宋体" w:hint="default"/>
          <w:spacing w:val="-7"/>
        </w:rPr>
        <w:t>8</w:t>
      </w:r>
      <w:r>
        <w:rPr>
          <w:spacing w:val="-7"/>
        </w:rPr>
        <w:t>号：股权激励计</w:t>
      </w:r>
      <w:r>
        <w:rPr>
          <w:spacing w:val="-57"/>
        </w:rPr>
        <w:t> </w:t>
      </w:r>
      <w:r>
        <w:rPr>
          <w:spacing w:val="-2"/>
        </w:rPr>
        <w:t>划》等有关法律法规的规定，对各激励对象限制性股票的授予安排、限售安排、解除限售安排等事项未违反有关法律、法规</w:t>
      </w:r>
      <w:r>
        <w:rPr>
          <w:spacing w:val="-66"/>
        </w:rPr>
        <w:t> </w:t>
      </w:r>
      <w:r>
        <w:rPr>
          <w:spacing w:val="-66"/>
        </w:rPr>
      </w:r>
      <w:r>
        <w:rPr/>
        <w:t>的规定，未侵犯公司及全体股东的利益。</w:t>
      </w:r>
    </w:p>
    <w:p>
      <w:pPr>
        <w:pStyle w:val="BodyText"/>
        <w:spacing w:line="316" w:lineRule="auto"/>
        <w:ind w:right="1139" w:firstLine="360"/>
        <w:jc w:val="both"/>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w:t>
      </w:r>
      <w:r>
        <w:rPr>
          <w:spacing w:val="-2"/>
        </w:rPr>
        <w:t>日在公司内部公示了《公司</w:t>
      </w:r>
      <w:r>
        <w:rPr>
          <w:rFonts w:ascii="宋体" w:hAnsi="宋体" w:cs="宋体" w:eastAsia="宋体" w:hint="default"/>
          <w:spacing w:val="-2"/>
        </w:rPr>
        <w:t>2018</w:t>
      </w:r>
      <w:r>
        <w:rPr>
          <w:spacing w:val="-2"/>
        </w:rPr>
        <w:t>年限制性股票激励计划激励对象名单》，将公司本次拟激励对象名单</w:t>
      </w:r>
      <w:r>
        <w:rPr/>
        <w:t> 及职位予以公示，公示期为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12</w:t>
      </w:r>
      <w:r>
        <w:rPr/>
        <w:t>日。截至公示期满，公司监事会未收到任何异议。披露索引：巨潮 资讯网</w:t>
      </w:r>
      <w:r>
        <w:rPr>
          <w:rFonts w:ascii="宋体" w:hAnsi="宋体" w:cs="宋体" w:eastAsia="宋体" w:hint="default"/>
        </w:rPr>
        <w:t>-</w:t>
      </w:r>
      <w:r>
        <w:rPr/>
        <w:t>监事会关于 </w:t>
      </w:r>
      <w:r>
        <w:rPr>
          <w:rFonts w:ascii="宋体" w:hAnsi="宋体" w:cs="宋体" w:eastAsia="宋体" w:hint="default"/>
        </w:rPr>
        <w:t>2018</w:t>
      </w:r>
      <w:r>
        <w:rPr>
          <w:rFonts w:ascii="宋体" w:hAnsi="宋体" w:cs="宋体" w:eastAsia="宋体" w:hint="default"/>
          <w:spacing w:val="5"/>
        </w:rPr>
        <w:t> </w:t>
      </w:r>
      <w:r>
        <w:rPr>
          <w:spacing w:val="-5"/>
        </w:rPr>
        <w:t>年限制性股票激励计划激励对象名单的审核及公示情况说明（</w:t>
      </w:r>
      <w:r>
        <w:rPr>
          <w:rFonts w:ascii="宋体" w:hAnsi="宋体" w:cs="宋体" w:eastAsia="宋体" w:hint="default"/>
          <w:spacing w:val="-5"/>
        </w:rPr>
        <w:t>2018-009</w:t>
      </w:r>
      <w:r>
        <w:rPr>
          <w:spacing w:val="-5"/>
        </w:rPr>
        <w:t>）。</w:t>
      </w:r>
      <w:r>
        <w:rPr/>
      </w:r>
    </w:p>
    <w:p>
      <w:pPr>
        <w:pStyle w:val="BodyText"/>
        <w:spacing w:line="316" w:lineRule="auto"/>
        <w:ind w:right="1049" w:firstLine="360"/>
        <w:jc w:val="left"/>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日召开</w:t>
      </w:r>
      <w:r>
        <w:rPr>
          <w:rFonts w:ascii="宋体" w:hAnsi="宋体" w:cs="宋体" w:eastAsia="宋体" w:hint="default"/>
          <w:spacing w:val="-2"/>
        </w:rPr>
        <w:t>2018</w:t>
      </w:r>
      <w:r>
        <w:rPr>
          <w:spacing w:val="-2"/>
        </w:rPr>
        <w:t>年第一次临时股东大会，审议通过了《关于</w:t>
      </w:r>
      <w:r>
        <w:rPr>
          <w:rFonts w:ascii="宋体" w:hAnsi="宋体" w:cs="宋体" w:eastAsia="宋体" w:hint="default"/>
          <w:spacing w:val="-2"/>
        </w:rPr>
        <w:t>&lt;</w:t>
      </w:r>
      <w:r>
        <w:rPr>
          <w:spacing w:val="-2"/>
        </w:rPr>
        <w:t>北京先进数通信息技术股份公司</w:t>
      </w:r>
      <w:r>
        <w:rPr>
          <w:rFonts w:ascii="宋体" w:hAnsi="宋体" w:cs="宋体" w:eastAsia="宋体" w:hint="default"/>
          <w:spacing w:val="-2"/>
        </w:rPr>
        <w:t>2018</w:t>
      </w:r>
      <w:r>
        <w:rPr>
          <w:spacing w:val="-2"/>
        </w:rPr>
        <w:t>年限制</w:t>
      </w:r>
      <w:r>
        <w:rPr/>
        <w:t> </w:t>
      </w:r>
      <w:r>
        <w:rPr>
          <w:spacing w:val="-5"/>
        </w:rPr>
        <w:t>性股票激励计划（草案）</w:t>
      </w:r>
      <w:r>
        <w:rPr>
          <w:rFonts w:ascii="宋体" w:hAnsi="宋体" w:cs="宋体" w:eastAsia="宋体" w:hint="default"/>
          <w:spacing w:val="-5"/>
        </w:rPr>
        <w:t>&gt;</w:t>
      </w:r>
      <w:r>
        <w:rPr>
          <w:spacing w:val="-5"/>
        </w:rPr>
        <w:t>及其摘要的议案》、《关于制订</w:t>
      </w:r>
      <w:r>
        <w:rPr>
          <w:rFonts w:ascii="宋体" w:hAnsi="宋体" w:cs="宋体" w:eastAsia="宋体" w:hint="default"/>
          <w:spacing w:val="-5"/>
        </w:rPr>
        <w:t>&lt;</w:t>
      </w:r>
      <w:r>
        <w:rPr>
          <w:spacing w:val="-5"/>
        </w:rPr>
        <w:t>北京先进数通信息技术股份公司</w:t>
      </w:r>
      <w:r>
        <w:rPr>
          <w:rFonts w:ascii="宋体" w:hAnsi="宋体" w:cs="宋体" w:eastAsia="宋体" w:hint="default"/>
          <w:spacing w:val="-5"/>
        </w:rPr>
        <w:t>2018</w:t>
      </w:r>
      <w:r>
        <w:rPr>
          <w:spacing w:val="-5"/>
        </w:rPr>
        <w:t>年限制性股票激励计划实施考</w:t>
      </w:r>
      <w:r>
        <w:rPr>
          <w:spacing w:val="-64"/>
        </w:rPr>
        <w:t> </w:t>
      </w:r>
      <w:r>
        <w:rPr>
          <w:spacing w:val="-2"/>
        </w:rPr>
        <w:t>核管理办法</w:t>
      </w:r>
      <w:r>
        <w:rPr>
          <w:rFonts w:ascii="宋体" w:hAnsi="宋体" w:cs="宋体" w:eastAsia="宋体" w:hint="default"/>
          <w:spacing w:val="-2"/>
        </w:rPr>
        <w:t>&gt;</w:t>
      </w:r>
      <w:r>
        <w:rPr>
          <w:spacing w:val="-2"/>
        </w:rPr>
        <w:t>的议案》及《关于提请公司股东大会授权董事会办理</w:t>
      </w:r>
      <w:r>
        <w:rPr>
          <w:rFonts w:ascii="宋体" w:hAnsi="宋体" w:cs="宋体" w:eastAsia="宋体" w:hint="default"/>
          <w:spacing w:val="-2"/>
        </w:rPr>
        <w:t>2018</w:t>
      </w:r>
      <w:r>
        <w:rPr>
          <w:spacing w:val="-2"/>
        </w:rPr>
        <w:t>年限制性股票激励计划相关事宜的议案》。披露索引：</w:t>
      </w:r>
      <w:r>
        <w:rPr>
          <w:spacing w:val="-66"/>
        </w:rPr>
        <w:t> </w:t>
      </w:r>
      <w:r>
        <w:rPr>
          <w:spacing w:val="-66"/>
        </w:rPr>
      </w:r>
      <w:r>
        <w:rPr>
          <w:spacing w:val="-6"/>
        </w:rPr>
        <w:t>巨潮资讯网</w:t>
      </w:r>
      <w:r>
        <w:rPr>
          <w:rFonts w:ascii="宋体" w:hAnsi="宋体" w:cs="宋体" w:eastAsia="宋体" w:hint="default"/>
          <w:spacing w:val="-6"/>
        </w:rPr>
        <w:t>-2018</w:t>
      </w:r>
      <w:r>
        <w:rPr>
          <w:spacing w:val="-6"/>
        </w:rPr>
        <w:t>年第一次临时股东大会决议公告（</w:t>
      </w:r>
      <w:r>
        <w:rPr>
          <w:rFonts w:ascii="宋体" w:hAnsi="宋体" w:cs="宋体" w:eastAsia="宋体" w:hint="default"/>
          <w:spacing w:val="-6"/>
        </w:rPr>
        <w:t>2018-010</w:t>
      </w:r>
      <w:r>
        <w:rPr>
          <w:spacing w:val="-6"/>
        </w:rPr>
        <w:t>）。</w:t>
      </w:r>
      <w:r>
        <w:rPr/>
      </w:r>
    </w:p>
    <w:p>
      <w:pPr>
        <w:pStyle w:val="BodyText"/>
        <w:spacing w:line="316" w:lineRule="auto"/>
        <w:ind w:right="1132" w:firstLine="360"/>
        <w:jc w:val="both"/>
      </w:pP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日召开第二届董事会</w:t>
      </w:r>
      <w:r>
        <w:rPr>
          <w:rFonts w:ascii="宋体" w:hAnsi="宋体" w:cs="宋体" w:eastAsia="宋体" w:hint="default"/>
        </w:rPr>
        <w:t>2018</w:t>
      </w:r>
      <w:r>
        <w:rPr/>
        <w:t>年第三次临时会议，审议通过了《关于调整</w:t>
      </w:r>
      <w:r>
        <w:rPr>
          <w:rFonts w:ascii="宋体" w:hAnsi="宋体" w:cs="宋体" w:eastAsia="宋体" w:hint="default"/>
        </w:rPr>
        <w:t>2018</w:t>
      </w:r>
      <w:r>
        <w:rPr/>
        <w:t>年限制性股票激励计划激 </w:t>
      </w:r>
      <w:r>
        <w:rPr>
          <w:spacing w:val="-7"/>
        </w:rPr>
        <w:t>励对象名单及授予权益数量的议案》、《关于向激励对象授予限制性股票的议案》。披露索引：巨潮资讯网</w:t>
      </w:r>
      <w:r>
        <w:rPr>
          <w:rFonts w:ascii="宋体" w:hAnsi="宋体" w:cs="宋体" w:eastAsia="宋体" w:hint="default"/>
          <w:spacing w:val="-7"/>
        </w:rPr>
        <w:t>-</w:t>
      </w:r>
      <w:r>
        <w:rPr>
          <w:spacing w:val="-7"/>
        </w:rPr>
        <w:t>第二届董事会</w:t>
      </w:r>
      <w:r>
        <w:rPr>
          <w:rFonts w:ascii="宋体" w:hAnsi="宋体" w:cs="宋体" w:eastAsia="宋体" w:hint="default"/>
          <w:spacing w:val="-7"/>
        </w:rPr>
        <w:t>2018</w:t>
      </w:r>
      <w:r>
        <w:rPr>
          <w:rFonts w:ascii="宋体" w:hAnsi="宋体" w:cs="宋体" w:eastAsia="宋体" w:hint="default"/>
          <w:spacing w:val="-37"/>
        </w:rPr>
        <w:t> </w:t>
      </w:r>
      <w:r>
        <w:rPr>
          <w:spacing w:val="-8"/>
        </w:rPr>
        <w:t>年第三次临时会议决议公告（</w:t>
      </w:r>
      <w:r>
        <w:rPr>
          <w:rFonts w:ascii="宋体" w:hAnsi="宋体" w:cs="宋体" w:eastAsia="宋体" w:hint="default"/>
          <w:spacing w:val="-8"/>
        </w:rPr>
        <w:t>2018-033</w:t>
      </w:r>
      <w:r>
        <w:rPr>
          <w:spacing w:val="-8"/>
        </w:rPr>
        <w:t>）。</w:t>
      </w:r>
      <w:r>
        <w:rPr/>
      </w:r>
    </w:p>
    <w:p>
      <w:pPr>
        <w:pStyle w:val="BodyText"/>
        <w:spacing w:line="316" w:lineRule="auto"/>
        <w:ind w:right="1139" w:firstLine="360"/>
        <w:jc w:val="both"/>
      </w:pP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日召开第二届监事会</w:t>
      </w:r>
      <w:r>
        <w:rPr>
          <w:rFonts w:ascii="宋体" w:hAnsi="宋体" w:cs="宋体" w:eastAsia="宋体" w:hint="default"/>
        </w:rPr>
        <w:t>2018</w:t>
      </w:r>
      <w:r>
        <w:rPr/>
        <w:t>年第三次临时会议，审议通过了《关于调整</w:t>
      </w:r>
      <w:r>
        <w:rPr>
          <w:rFonts w:ascii="宋体" w:hAnsi="宋体" w:cs="宋体" w:eastAsia="宋体" w:hint="default"/>
        </w:rPr>
        <w:t>2018</w:t>
      </w:r>
      <w:r>
        <w:rPr/>
        <w:t>年限制性股票激励计划激 </w:t>
      </w:r>
      <w:r>
        <w:rPr>
          <w:spacing w:val="-5"/>
        </w:rPr>
        <w:t>励对象名单及授予权益数量的议案》。披露索引：巨潮资讯网</w:t>
      </w:r>
      <w:r>
        <w:rPr>
          <w:rFonts w:ascii="宋体" w:hAnsi="宋体" w:cs="宋体" w:eastAsia="宋体" w:hint="default"/>
          <w:spacing w:val="-5"/>
        </w:rPr>
        <w:t>-</w:t>
      </w:r>
      <w:r>
        <w:rPr>
          <w:spacing w:val="-5"/>
        </w:rPr>
        <w:t>第二届监事会</w:t>
      </w:r>
      <w:r>
        <w:rPr>
          <w:rFonts w:ascii="宋体" w:hAnsi="宋体" w:cs="宋体" w:eastAsia="宋体" w:hint="default"/>
          <w:spacing w:val="-5"/>
        </w:rPr>
        <w:t>2018</w:t>
      </w:r>
      <w:r>
        <w:rPr>
          <w:spacing w:val="-5"/>
        </w:rPr>
        <w:t>年第三次临时会议决议公告（</w:t>
      </w:r>
      <w:r>
        <w:rPr>
          <w:rFonts w:ascii="宋体" w:hAnsi="宋体" w:cs="宋体" w:eastAsia="宋体" w:hint="default"/>
          <w:spacing w:val="-5"/>
        </w:rPr>
        <w:t>2018-034</w:t>
      </w:r>
      <w:r>
        <w:rPr>
          <w:spacing w:val="-5"/>
        </w:rPr>
        <w:t>）。</w:t>
      </w:r>
      <w:r>
        <w:rPr/>
      </w:r>
    </w:p>
    <w:p>
      <w:pPr>
        <w:pStyle w:val="BodyText"/>
        <w:spacing w:line="319" w:lineRule="auto"/>
        <w:ind w:right="1139" w:firstLine="360"/>
        <w:jc w:val="both"/>
      </w:pPr>
      <w:r>
        <w:rPr>
          <w:spacing w:val="-2"/>
        </w:rPr>
        <w:t>公司独立董事发表《关于第二届董事会</w:t>
      </w:r>
      <w:r>
        <w:rPr>
          <w:rFonts w:ascii="宋体" w:hAnsi="宋体" w:cs="宋体" w:eastAsia="宋体" w:hint="default"/>
          <w:spacing w:val="-2"/>
        </w:rPr>
        <w:t>2018</w:t>
      </w:r>
      <w:r>
        <w:rPr>
          <w:spacing w:val="-2"/>
        </w:rPr>
        <w:t>年第三次临时会议相关事项的独立意见》，一致同意公司对本次股权激励对</w:t>
      </w:r>
      <w:r>
        <w:rPr/>
        <w:t> 象名单及授予权益数量的调整，同意以</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日为授予日向激励对象授予限制性股票。</w:t>
      </w:r>
    </w:p>
    <w:p>
      <w:pPr>
        <w:pStyle w:val="BodyText"/>
        <w:spacing w:line="316" w:lineRule="auto" w:before="17"/>
        <w:ind w:right="1139" w:firstLine="360"/>
        <w:jc w:val="both"/>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日，公司完成了</w:t>
      </w:r>
      <w:r>
        <w:rPr>
          <w:rFonts w:ascii="宋体" w:hAnsi="宋体" w:cs="宋体" w:eastAsia="宋体" w:hint="default"/>
        </w:rPr>
        <w:t>2018</w:t>
      </w:r>
      <w:r>
        <w:rPr/>
        <w:t>年限制性股票激励计划的授予登记工作。披露索引：巨潮资讯网</w:t>
      </w:r>
      <w:r>
        <w:rPr>
          <w:rFonts w:ascii="宋体" w:hAnsi="宋体" w:cs="宋体" w:eastAsia="宋体" w:hint="default"/>
        </w:rPr>
        <w:t>-</w:t>
      </w:r>
      <w:r>
        <w:rPr/>
        <w:t>关于</w:t>
      </w:r>
      <w:r>
        <w:rPr>
          <w:rFonts w:ascii="宋体" w:hAnsi="宋体" w:cs="宋体" w:eastAsia="宋体" w:hint="default"/>
        </w:rPr>
        <w:t>2018</w:t>
      </w:r>
      <w:r>
        <w:rPr/>
        <w:t>年限制性股 </w:t>
      </w:r>
      <w:r>
        <w:rPr>
          <w:spacing w:val="-9"/>
        </w:rPr>
        <w:t>票授予登记完成公告（</w:t>
      </w:r>
      <w:r>
        <w:rPr>
          <w:rFonts w:ascii="宋体" w:hAnsi="宋体" w:cs="宋体" w:eastAsia="宋体" w:hint="default"/>
          <w:spacing w:val="-9"/>
        </w:rPr>
        <w:t>2018-037</w:t>
      </w:r>
      <w:r>
        <w:rPr>
          <w:spacing w:val="-9"/>
        </w:rPr>
        <w:t>）。</w:t>
      </w:r>
      <w:r>
        <w:rPr/>
      </w:r>
    </w:p>
    <w:p>
      <w:pPr>
        <w:spacing w:after="0" w:line="316" w:lineRule="auto"/>
        <w:jc w:val="both"/>
        <w:sectPr>
          <w:headerReference w:type="default" r:id="rId15"/>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28" w:lineRule="auto" w:before="44"/>
        <w:ind w:left="47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实施股权激励计划对公司财务状况的影响： </w:t>
      </w:r>
      <w:r>
        <w:rPr>
          <w:spacing w:val="-2"/>
        </w:rPr>
        <w:t>按照《企业会计准则第</w:t>
      </w:r>
      <w:r>
        <w:rPr>
          <w:rFonts w:ascii="宋体" w:hAnsi="宋体" w:cs="宋体" w:eastAsia="宋体" w:hint="default"/>
          <w:spacing w:val="-2"/>
        </w:rPr>
        <w:t>11</w:t>
      </w:r>
      <w:r>
        <w:rPr>
          <w:spacing w:val="-2"/>
        </w:rPr>
        <w:t>号—股份支付》的规定，公司将在限售期的每个资产负债表日，根据最新取得的可解除限售人</w:t>
      </w:r>
    </w:p>
    <w:p>
      <w:pPr>
        <w:pStyle w:val="BodyText"/>
        <w:spacing w:line="319" w:lineRule="auto" w:before="10"/>
        <w:ind w:right="1131"/>
        <w:jc w:val="both"/>
      </w:pPr>
      <w:r>
        <w:rPr>
          <w:spacing w:val="-2"/>
        </w:rPr>
        <w:t>数变动、业绩指标完成情况等后续信息，修正预计可解除限售的限制性股票数量，并按照限制性股票授予日的公允价值，将</w:t>
      </w:r>
      <w:r>
        <w:rPr>
          <w:spacing w:val="-66"/>
        </w:rPr>
        <w:t> </w:t>
      </w:r>
      <w:r>
        <w:rPr>
          <w:spacing w:val="-66"/>
        </w:rPr>
      </w:r>
      <w:r>
        <w:rPr>
          <w:spacing w:val="-2"/>
        </w:rPr>
        <w:t>当期取得的服务计入相关成本或费用和资本公积。该等费用将在股权激励计划的实施过程中进行分期确认。股权激励计划产</w:t>
      </w:r>
      <w:r>
        <w:rPr>
          <w:spacing w:val="-64"/>
        </w:rPr>
        <w:t> </w:t>
      </w:r>
      <w:r>
        <w:rPr>
          <w:spacing w:val="-64"/>
        </w:rPr>
      </w:r>
      <w:r>
        <w:rPr/>
        <w:t>生的激励成本将在经常性损益中列支。</w:t>
      </w:r>
    </w:p>
    <w:p>
      <w:pPr>
        <w:pStyle w:val="BodyText"/>
        <w:spacing w:line="240" w:lineRule="auto" w:before="17"/>
        <w:ind w:left="474" w:right="0"/>
        <w:jc w:val="left"/>
      </w:pPr>
      <w:r>
        <w:rPr/>
        <w:t>本次股权激励计划的授予日为</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日，则</w:t>
      </w:r>
      <w:r>
        <w:rPr>
          <w:rFonts w:ascii="宋体" w:hAnsi="宋体" w:cs="宋体" w:eastAsia="宋体" w:hint="default"/>
        </w:rPr>
        <w:t>2018</w:t>
      </w:r>
      <w:r>
        <w:rPr/>
        <w:t>年</w:t>
      </w:r>
      <w:r>
        <w:rPr>
          <w:rFonts w:ascii="宋体" w:hAnsi="宋体" w:cs="宋体" w:eastAsia="宋体" w:hint="default"/>
        </w:rPr>
        <w:t>-2021</w:t>
      </w:r>
      <w:r>
        <w:rPr/>
        <w:t>年股份支付费用摊销情况测算如下表：</w:t>
      </w:r>
    </w:p>
    <w:p>
      <w:pPr>
        <w:spacing w:line="240" w:lineRule="auto" w:before="4"/>
        <w:rPr>
          <w:rFonts w:ascii="宋体" w:hAnsi="宋体" w:cs="宋体" w:eastAsia="宋体" w:hint="default"/>
          <w:sz w:val="8"/>
          <w:szCs w:val="8"/>
        </w:rPr>
      </w:pPr>
    </w:p>
    <w:p>
      <w:pPr>
        <w:spacing w:line="1161" w:lineRule="exact"/>
        <w:ind w:left="474"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026702" cy="73752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5026702" cy="737520"/>
                    </a:xfrm>
                    <a:prstGeom prst="rect">
                      <a:avLst/>
                    </a:prstGeom>
                  </pic:spPr>
                </pic:pic>
              </a:graphicData>
            </a:graphic>
          </wp:inline>
        </w:drawing>
      </w:r>
      <w:r>
        <w:rPr>
          <w:rFonts w:ascii="宋体" w:hAnsi="宋体" w:cs="宋体" w:eastAsia="宋体" w:hint="default"/>
          <w:position w:val="-22"/>
          <w:sz w:val="20"/>
          <w:szCs w:val="20"/>
        </w:rPr>
      </w:r>
    </w:p>
    <w:p>
      <w:pPr>
        <w:pStyle w:val="BodyText"/>
        <w:spacing w:line="240" w:lineRule="auto" w:before="54"/>
        <w:ind w:left="474" w:right="0"/>
        <w:jc w:val="left"/>
      </w:pPr>
      <w:r>
        <w:rPr/>
        <w:t>本报告期摊销的股权激励成本为</w:t>
      </w:r>
      <w:r>
        <w:rPr>
          <w:rFonts w:ascii="宋体" w:hAnsi="宋体" w:cs="宋体" w:eastAsia="宋体" w:hint="default"/>
        </w:rPr>
        <w:t>5,893,025.83</w:t>
      </w:r>
      <w:r>
        <w:rPr/>
        <w:t>元，其中核心技术人员的股权激励成本为</w:t>
      </w:r>
      <w:r>
        <w:rPr>
          <w:rFonts w:ascii="宋体" w:hAnsi="宋体" w:cs="宋体" w:eastAsia="宋体" w:hint="default"/>
        </w:rPr>
        <w:t>510,021.94</w:t>
      </w:r>
      <w:r>
        <w:rPr/>
        <w:t>元，占比</w:t>
      </w:r>
      <w:r>
        <w:rPr>
          <w:rFonts w:ascii="宋体" w:hAnsi="宋体" w:cs="宋体" w:eastAsia="宋体" w:hint="default"/>
        </w:rPr>
        <w:t>8.65%</w:t>
      </w:r>
      <w:r>
        <w:rPr/>
        <w:t>。</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612"/>
        <w:jc w:val="left"/>
      </w:pPr>
      <w:r>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432"/>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15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 适用 √ 不适用 公司报告期不存在关联债权债务往来。</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052"/>
        <w:jc w:val="left"/>
      </w:pPr>
      <w:r>
        <w:rPr/>
        <w:t>□ 适用 √ 不适用 公司报告期无其他重大关联交易。</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9222"/>
        <w:jc w:val="left"/>
      </w:pPr>
      <w:r>
        <w:rPr/>
        <w:t>√ 适用 □ 不适用 租赁情况说明</w:t>
      </w:r>
    </w:p>
    <w:p>
      <w:pPr>
        <w:pStyle w:val="BodyText"/>
        <w:spacing w:line="316" w:lineRule="auto" w:before="28"/>
        <w:ind w:right="4019"/>
        <w:jc w:val="left"/>
      </w:pPr>
      <w:r>
        <w:rPr/>
        <w:t>报告期内，公司存在的租赁为用于日常办公用的房产租赁，其中主要包括： 租赁方：北京东青物业管理中心 租赁物：北京市海淀区车道沟一号滨河大厦</w:t>
      </w:r>
      <w:r>
        <w:rPr>
          <w:rFonts w:ascii="宋体" w:hAnsi="宋体" w:cs="宋体" w:eastAsia="宋体" w:hint="default"/>
        </w:rPr>
        <w:t>D</w:t>
      </w:r>
      <w:r>
        <w:rPr/>
        <w:t>座</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7</w:t>
      </w:r>
      <w:r>
        <w:rPr/>
        <w:t>层及地下库房</w:t>
      </w:r>
      <w:r>
        <w:rPr>
          <w:rFonts w:ascii="宋体" w:hAnsi="宋体" w:cs="宋体" w:eastAsia="宋体" w:hint="default"/>
        </w:rPr>
        <w:t>201-203</w:t>
      </w:r>
      <w:r>
        <w:rPr/>
        <w:t>室 报告期内金额：人民币</w:t>
      </w:r>
      <w:r>
        <w:rPr>
          <w:rFonts w:ascii="宋体" w:hAnsi="宋体" w:cs="宋体" w:eastAsia="宋体" w:hint="default"/>
        </w:rPr>
        <w:t>5,782,200</w:t>
      </w:r>
      <w:r>
        <w:rPr/>
        <w:t>元</w:t>
      </w:r>
    </w:p>
    <w:p>
      <w:pPr>
        <w:spacing w:line="240" w:lineRule="auto" w:before="4"/>
        <w:rPr>
          <w:rFonts w:ascii="宋体" w:hAnsi="宋体" w:cs="宋体" w:eastAsia="宋体" w:hint="default"/>
          <w:sz w:val="25"/>
          <w:szCs w:val="25"/>
        </w:rPr>
      </w:pPr>
    </w:p>
    <w:p>
      <w:pPr>
        <w:pStyle w:val="BodyText"/>
        <w:spacing w:line="240" w:lineRule="auto" w:before="0"/>
        <w:ind w:right="0"/>
        <w:jc w:val="left"/>
      </w:pPr>
      <w:r>
        <w:rPr/>
        <w:t>为公司带来的损益达到公司报告期利润总额</w:t>
      </w:r>
      <w:r>
        <w:rPr>
          <w:rFonts w:ascii="宋体" w:hAnsi="宋体" w:cs="宋体" w:eastAsia="宋体" w:hint="default"/>
        </w:rPr>
        <w:t>10%</w:t>
      </w:r>
      <w:r>
        <w:rPr/>
        <w:t>以上的项目</w:t>
      </w:r>
    </w:p>
    <w:p>
      <w:pPr>
        <w:pStyle w:val="BodyText"/>
        <w:spacing w:line="240" w:lineRule="auto" w:before="117"/>
        <w:ind w:right="0"/>
        <w:jc w:val="left"/>
      </w:pPr>
      <w:r>
        <w:rPr/>
        <w:t>□ 适用 √ 不适用</w:t>
      </w:r>
    </w:p>
    <w:p>
      <w:pPr>
        <w:pStyle w:val="BodyText"/>
        <w:spacing w:line="240" w:lineRule="auto" w:before="116"/>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09"/>
        <w:gridCol w:w="917"/>
        <w:gridCol w:w="190"/>
        <w:gridCol w:w="920"/>
        <w:gridCol w:w="1302"/>
        <w:gridCol w:w="1057"/>
        <w:gridCol w:w="1041"/>
        <w:gridCol w:w="860"/>
        <w:gridCol w:w="790"/>
        <w:gridCol w:w="783"/>
      </w:tblGrid>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0" w:right="1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9" w:right="17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1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5"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0"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4"/>
              <w:jc w:val="left"/>
              <w:rPr>
                <w:rFonts w:ascii="宋体" w:hAnsi="宋体" w:cs="宋体" w:eastAsia="宋体" w:hint="default"/>
                <w:sz w:val="18"/>
                <w:szCs w:val="18"/>
              </w:rPr>
            </w:pPr>
            <w:r>
              <w:rPr>
                <w:rFonts w:ascii="宋体" w:hAnsi="宋体" w:cs="宋体" w:eastAsia="宋体" w:hint="default"/>
                <w:sz w:val="18"/>
                <w:szCs w:val="18"/>
              </w:rPr>
              <w:t>广州先进数通信息 技术有限公司</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50,000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86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11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3"/>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34" w:type="dxa"/>
            <w:gridSpan w:val="3"/>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 适用 √ 不适用 公司报告期无违规对外担保情况。</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9"/>
        <w:gridCol w:w="2262"/>
        <w:gridCol w:w="1981"/>
        <w:gridCol w:w="1576"/>
        <w:gridCol w:w="1847"/>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
              <w:jc w:val="center"/>
              <w:rPr>
                <w:rFonts w:ascii="宋体" w:hAnsi="宋体" w:cs="宋体" w:eastAsia="宋体" w:hint="default"/>
                <w:sz w:val="18"/>
                <w:szCs w:val="18"/>
              </w:rPr>
            </w:pPr>
            <w:r>
              <w:rPr>
                <w:rFonts w:ascii="宋体" w:hAnsi="宋体" w:cs="宋体" w:eastAsia="宋体" w:hint="default"/>
                <w:sz w:val="18"/>
                <w:szCs w:val="18"/>
              </w:rPr>
              <w:t>闲置募集资金及自有资金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57" w:lineRule="auto" w:before="117"/>
        <w:ind w:right="5712"/>
        <w:jc w:val="left"/>
      </w:pPr>
      <w:r>
        <w:rPr/>
        <w:t>□ 适用 √ 不适用 委托理财出现预期无法收回本金或存在其他可能导致减值的情形</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2"/>
        <w:jc w:val="left"/>
      </w:pPr>
      <w:r>
        <w:rPr/>
        <w:t>□ 适用 √ 不适用 公司报告期不存在委托贷款。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052"/>
        <w:jc w:val="left"/>
      </w:pPr>
      <w:r>
        <w:rPr/>
        <w:t>□ 适用 √ 不适用 公司报告期不存在其他重大合同。</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firstLine="360"/>
        <w:jc w:val="both"/>
      </w:pPr>
      <w:r>
        <w:rPr>
          <w:spacing w:val="-2"/>
        </w:rPr>
        <w:t>在科技创新日显重要的时代，加强自主创新是高新技术企业应该担当的社会责任，公司作为信息科技类企业，始终追求</w:t>
      </w:r>
      <w:r>
        <w:rPr/>
        <w:t> </w:t>
      </w:r>
      <w:r>
        <w:rPr>
          <w:spacing w:val="-2"/>
        </w:rPr>
        <w:t>科技的进步，从知识创新、技术选择、产品开发、运营模式等领域进行探索和研究，优化制度、建立企业自主创新的激励机</w:t>
      </w:r>
      <w:r>
        <w:rPr>
          <w:spacing w:val="-67"/>
        </w:rPr>
        <w:t> </w:t>
      </w:r>
      <w:r>
        <w:rPr>
          <w:spacing w:val="-67"/>
        </w:rPr>
      </w:r>
      <w:r>
        <w:rPr/>
        <w:t>制、加大研发的投入，公司在促进经济增长的同时努力实现技术创新。</w:t>
      </w:r>
    </w:p>
    <w:p>
      <w:pPr>
        <w:pStyle w:val="BodyText"/>
        <w:spacing w:line="316" w:lineRule="auto"/>
        <w:ind w:right="1132" w:firstLine="360"/>
        <w:jc w:val="both"/>
      </w:pPr>
      <w:r>
        <w:rPr>
          <w:spacing w:val="-2"/>
        </w:rPr>
        <w:t>公司积极促进就业，报告期内，公司人员规模稳步提高。同时严格遵守国家法律、法规，积极纳税并缴纳各项社会福利</w:t>
      </w:r>
      <w:r>
        <w:rPr/>
        <w:t> 费用，追求企业经济效益与社会效益的共赢。</w:t>
      </w:r>
    </w:p>
    <w:p>
      <w:pPr>
        <w:pStyle w:val="BodyText"/>
        <w:spacing w:line="316" w:lineRule="auto"/>
        <w:ind w:right="1129" w:firstLine="360"/>
        <w:jc w:val="both"/>
      </w:pPr>
      <w:r>
        <w:rPr/>
        <w:t>公司诚信对待每一个客户和每一个供应商，在中国软件行业协会企业信用评价中一直保持最高的</w:t>
      </w:r>
      <w:r>
        <w:rPr>
          <w:rFonts w:ascii="宋体" w:hAnsi="宋体" w:cs="宋体" w:eastAsia="宋体" w:hint="default"/>
        </w:rPr>
        <w:t>AAA</w:t>
      </w:r>
      <w:r>
        <w:rPr/>
        <w:t>评级，报告期内通 过了北京软件和信息服务业协会“北京市诚信创建企业“的年审。</w:t>
      </w:r>
    </w:p>
    <w:p>
      <w:pPr>
        <w:pStyle w:val="BodyText"/>
        <w:spacing w:line="316" w:lineRule="auto"/>
        <w:ind w:right="1131" w:firstLine="360"/>
        <w:jc w:val="both"/>
      </w:pPr>
      <w:r>
        <w:rPr>
          <w:spacing w:val="-2"/>
        </w:rPr>
        <w:t>公司积极保护员工的合法权益，重视员工的能力提升，为员工营造良好工作环境，促进员工与企业的共同成长；公司积</w:t>
      </w:r>
      <w:r>
        <w:rPr/>
        <w:t> 极开展各类安全和公益宣讲，加强员工的安全意识、深化员工的社会责任理念。</w:t>
      </w:r>
    </w:p>
    <w:p>
      <w:pPr>
        <w:pStyle w:val="BodyText"/>
        <w:spacing w:line="316" w:lineRule="auto"/>
        <w:ind w:right="1132" w:firstLine="360"/>
        <w:jc w:val="both"/>
      </w:pPr>
      <w:r>
        <w:rPr>
          <w:spacing w:val="-2"/>
        </w:rPr>
        <w:t>报告期内，公司与第三方慈善机构合作，积极吸纳残疾人就业，为残疾人融入社会提供帮助，获得“北京融爱融乐心智</w:t>
      </w:r>
      <w:r>
        <w:rPr/>
        <w:t> </w:t>
      </w:r>
      <w:r>
        <w:rPr>
          <w:spacing w:val="-7"/>
        </w:rPr>
        <w:t>障碍者家庭支持中心感谢牌”。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 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上市公司及其子公司是否属于环境保护部门公布的重点排污单位</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6252"/>
        <w:jc w:val="left"/>
      </w:pPr>
      <w:r>
        <w:rPr/>
        <w:t>不适用 公司及子公司不属于环境保护部门公布的重点排污单位。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152"/>
        <w:jc w:val="left"/>
      </w:pPr>
      <w:r>
        <w:rPr/>
        <w:t>□ 适用 √ 不适用 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74"/>
        <w:gridCol w:w="1114"/>
        <w:gridCol w:w="647"/>
        <w:gridCol w:w="977"/>
        <w:gridCol w:w="598"/>
        <w:gridCol w:w="1027"/>
        <w:gridCol w:w="620"/>
        <w:gridCol w:w="964"/>
        <w:gridCol w:w="970"/>
        <w:gridCol w:w="678"/>
      </w:tblGrid>
      <w:tr>
        <w:trPr>
          <w:trHeight w:val="402" w:hRule="exact"/>
        </w:trPr>
        <w:tc>
          <w:tcPr>
            <w:tcW w:w="2074" w:type="dxa"/>
            <w:vMerge w:val="restart"/>
            <w:tcBorders>
              <w:top w:val="single" w:sz="4" w:space="0" w:color="000000"/>
              <w:left w:val="single" w:sz="4" w:space="0" w:color="000000"/>
              <w:right w:val="single" w:sz="4" w:space="0" w:color="000000"/>
            </w:tcBorders>
            <w:shd w:val="clear" w:color="auto" w:fill="D2D2D2"/>
          </w:tcPr>
          <w:p>
            <w:pPr/>
          </w:p>
        </w:tc>
        <w:tc>
          <w:tcPr>
            <w:tcW w:w="17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2074"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送股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107"/>
              <w:jc w:val="right"/>
              <w:rPr>
                <w:rFonts w:ascii="宋体" w:hAnsi="宋体" w:cs="宋体" w:eastAsia="宋体" w:hint="default"/>
                <w:sz w:val="16"/>
                <w:szCs w:val="16"/>
              </w:rPr>
            </w:pPr>
            <w:r>
              <w:rPr>
                <w:rFonts w:ascii="宋体" w:hAnsi="宋体" w:cs="宋体" w:eastAsia="宋体" w:hint="default"/>
                <w:w w:val="95"/>
                <w:sz w:val="16"/>
                <w:szCs w:val="16"/>
              </w:rPr>
              <w:t>公积金转股</w:t>
            </w:r>
            <w:r>
              <w:rPr>
                <w:rFonts w:ascii="宋体" w:hAnsi="宋体" w:cs="宋体" w:eastAsia="宋体" w:hint="default"/>
                <w:sz w:val="16"/>
                <w:szCs w:val="16"/>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z w:val="18"/>
                <w:szCs w:val="18"/>
              </w:rPr>
              <w:t>其他</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69,394,400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 w:right="0"/>
              <w:jc w:val="center"/>
              <w:rPr>
                <w:rFonts w:ascii="Times New Roman" w:hAnsi="Times New Roman" w:cs="Times New Roman" w:eastAsia="Times New Roman" w:hint="default"/>
                <w:sz w:val="13"/>
                <w:szCs w:val="13"/>
              </w:rPr>
            </w:pPr>
            <w:r>
              <w:rPr>
                <w:rFonts w:ascii="Times New Roman"/>
                <w:sz w:val="13"/>
              </w:rPr>
              <w:t>57.83%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1,167,000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34,940,897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36,107,897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105,502,297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9" w:right="0"/>
              <w:jc w:val="center"/>
              <w:rPr>
                <w:rFonts w:ascii="Times New Roman" w:hAnsi="Times New Roman" w:cs="Times New Roman" w:eastAsia="Times New Roman" w:hint="default"/>
                <w:sz w:val="13"/>
                <w:szCs w:val="13"/>
              </w:rPr>
            </w:pPr>
            <w:r>
              <w:rPr>
                <w:rFonts w:ascii="Times New Roman"/>
                <w:sz w:val="13"/>
              </w:rPr>
              <w:t>58.23%</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69,394,400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 w:right="0"/>
              <w:jc w:val="center"/>
              <w:rPr>
                <w:rFonts w:ascii="Times New Roman" w:hAnsi="Times New Roman" w:cs="Times New Roman" w:eastAsia="Times New Roman" w:hint="default"/>
                <w:sz w:val="13"/>
                <w:szCs w:val="13"/>
              </w:rPr>
            </w:pPr>
            <w:r>
              <w:rPr>
                <w:rFonts w:ascii="Times New Roman"/>
                <w:sz w:val="13"/>
              </w:rPr>
              <w:t>57.83%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1,167,000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34,940,897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36,107,897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105,502,297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9" w:right="0"/>
              <w:jc w:val="center"/>
              <w:rPr>
                <w:rFonts w:ascii="Times New Roman" w:hAnsi="Times New Roman" w:cs="Times New Roman" w:eastAsia="Times New Roman" w:hint="default"/>
                <w:sz w:val="13"/>
                <w:szCs w:val="13"/>
              </w:rPr>
            </w:pPr>
            <w:r>
              <w:rPr>
                <w:rFonts w:ascii="Times New Roman"/>
                <w:sz w:val="13"/>
              </w:rPr>
              <w:t>58.23%</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10,676,100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8.90%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5,286,637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5,286,637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15,962,737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8.81%</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58,718,300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 w:right="0"/>
              <w:jc w:val="center"/>
              <w:rPr>
                <w:rFonts w:ascii="Times New Roman" w:hAnsi="Times New Roman" w:cs="Times New Roman" w:eastAsia="Times New Roman" w:hint="default"/>
                <w:sz w:val="13"/>
                <w:szCs w:val="13"/>
              </w:rPr>
            </w:pPr>
            <w:r>
              <w:rPr>
                <w:rFonts w:ascii="Times New Roman"/>
                <w:sz w:val="13"/>
              </w:rPr>
              <w:t>48.93%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1,167,000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29,654,260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30,821,260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89,539,560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9" w:right="0"/>
              <w:jc w:val="center"/>
              <w:rPr>
                <w:rFonts w:ascii="Times New Roman" w:hAnsi="Times New Roman" w:cs="Times New Roman" w:eastAsia="Times New Roman" w:hint="default"/>
                <w:sz w:val="13"/>
                <w:szCs w:val="13"/>
              </w:rPr>
            </w:pPr>
            <w:r>
              <w:rPr>
                <w:rFonts w:ascii="Times New Roman"/>
                <w:sz w:val="13"/>
              </w:rPr>
              <w:t>49.42%</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50,605,600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 w:right="0"/>
              <w:jc w:val="center"/>
              <w:rPr>
                <w:rFonts w:ascii="Times New Roman" w:hAnsi="Times New Roman" w:cs="Times New Roman" w:eastAsia="Times New Roman" w:hint="default"/>
                <w:sz w:val="13"/>
                <w:szCs w:val="13"/>
              </w:rPr>
            </w:pPr>
            <w:r>
              <w:rPr>
                <w:rFonts w:ascii="Times New Roman"/>
                <w:sz w:val="13"/>
              </w:rPr>
              <w:t>42.17%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25,059,099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25,059,099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75,664,699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9" w:right="0"/>
              <w:jc w:val="center"/>
              <w:rPr>
                <w:rFonts w:ascii="Times New Roman" w:hAnsi="Times New Roman" w:cs="Times New Roman" w:eastAsia="Times New Roman" w:hint="default"/>
                <w:sz w:val="13"/>
                <w:szCs w:val="13"/>
              </w:rPr>
            </w:pPr>
            <w:r>
              <w:rPr>
                <w:rFonts w:ascii="Times New Roman"/>
                <w:sz w:val="13"/>
              </w:rPr>
              <w:t>41.77%</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50,605,600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 w:right="0"/>
              <w:jc w:val="center"/>
              <w:rPr>
                <w:rFonts w:ascii="Times New Roman" w:hAnsi="Times New Roman" w:cs="Times New Roman" w:eastAsia="Times New Roman" w:hint="default"/>
                <w:sz w:val="13"/>
                <w:szCs w:val="13"/>
              </w:rPr>
            </w:pPr>
            <w:r>
              <w:rPr>
                <w:rFonts w:ascii="Times New Roman"/>
                <w:sz w:val="13"/>
              </w:rPr>
              <w:t>42.17%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25,059,099</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25,059,099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75,664,699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59" w:right="0"/>
              <w:jc w:val="center"/>
              <w:rPr>
                <w:rFonts w:ascii="Times New Roman" w:hAnsi="Times New Roman" w:cs="Times New Roman" w:eastAsia="Times New Roman" w:hint="default"/>
                <w:sz w:val="13"/>
                <w:szCs w:val="13"/>
              </w:rPr>
            </w:pPr>
            <w:r>
              <w:rPr>
                <w:rFonts w:ascii="Times New Roman"/>
                <w:sz w:val="13"/>
              </w:rPr>
              <w:t>41.77%</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z w:val="15"/>
              </w:rPr>
              <w:t>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z w:val="15"/>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24" w:right="0"/>
              <w:jc w:val="center"/>
              <w:rPr>
                <w:rFonts w:ascii="Times New Roman" w:hAnsi="Times New Roman" w:cs="Times New Roman" w:eastAsia="Times New Roman" w:hint="default"/>
                <w:sz w:val="13"/>
                <w:szCs w:val="13"/>
              </w:rPr>
            </w:pPr>
            <w:r>
              <w:rPr>
                <w:rFonts w:ascii="Times New Roman"/>
                <w:sz w:val="13"/>
              </w:rPr>
              <w:t>0.00%</w:t>
            </w:r>
          </w:p>
        </w:tc>
      </w:tr>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120,000,000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7" w:right="0"/>
              <w:jc w:val="center"/>
              <w:rPr>
                <w:rFonts w:ascii="Times New Roman" w:hAnsi="Times New Roman" w:cs="Times New Roman" w:eastAsia="Times New Roman" w:hint="default"/>
                <w:sz w:val="11"/>
                <w:szCs w:val="11"/>
              </w:rPr>
            </w:pPr>
            <w:r>
              <w:rPr>
                <w:rFonts w:ascii="Times New Roman"/>
                <w:sz w:val="11"/>
              </w:rPr>
              <w:t>100.00%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1,167,000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z w:val="15"/>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59,999,996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z w:val="15"/>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61,166,996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181,166,996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69" w:right="0"/>
              <w:jc w:val="center"/>
              <w:rPr>
                <w:rFonts w:ascii="Times New Roman" w:hAnsi="Times New Roman" w:cs="Times New Roman" w:eastAsia="Times New Roman" w:hint="default"/>
                <w:sz w:val="11"/>
                <w:szCs w:val="11"/>
              </w:rPr>
            </w:pPr>
            <w:r>
              <w:rPr>
                <w:rFonts w:ascii="Times New Roman"/>
                <w:sz w:val="11"/>
              </w:rPr>
              <w:t>100.00%</w:t>
            </w:r>
          </w:p>
        </w:tc>
      </w:tr>
    </w:tbl>
    <w:p>
      <w:pPr>
        <w:pStyle w:val="BodyText"/>
        <w:spacing w:line="240" w:lineRule="auto" w:before="51"/>
        <w:ind w:right="0"/>
        <w:jc w:val="left"/>
      </w:pPr>
      <w:r>
        <w:rPr/>
        <w:t>股份变动的原因</w:t>
      </w:r>
    </w:p>
    <w:p>
      <w:pPr>
        <w:pStyle w:val="BodyText"/>
        <w:spacing w:line="357" w:lineRule="auto" w:before="117"/>
        <w:ind w:left="474" w:right="1122" w:hanging="360"/>
        <w:jc w:val="left"/>
      </w:pPr>
      <w:r>
        <w:rPr/>
        <w:t>√ 适用 □ 不适用 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日召开</w:t>
      </w:r>
      <w:r>
        <w:rPr>
          <w:rFonts w:ascii="宋体" w:hAnsi="宋体" w:cs="宋体" w:eastAsia="宋体" w:hint="default"/>
        </w:rPr>
        <w:t>2018</w:t>
      </w:r>
      <w:r>
        <w:rPr/>
        <w:t>年第一次临时股东大会，同意公司进行</w:t>
      </w:r>
      <w:r>
        <w:rPr>
          <w:rFonts w:ascii="宋体" w:hAnsi="宋体" w:cs="宋体" w:eastAsia="宋体" w:hint="default"/>
        </w:rPr>
        <w:t>2018</w:t>
      </w:r>
      <w:r>
        <w:rPr/>
        <w:t>年限制性股票激励。</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日公司完成</w:t>
      </w:r>
    </w:p>
    <w:p>
      <w:pPr>
        <w:pStyle w:val="BodyText"/>
        <w:spacing w:line="224" w:lineRule="exact" w:before="0"/>
        <w:ind w:right="0"/>
        <w:jc w:val="left"/>
      </w:pPr>
      <w:r>
        <w:rPr/>
        <w:t>了</w:t>
      </w:r>
      <w:r>
        <w:rPr>
          <w:rFonts w:ascii="宋体" w:hAnsi="宋体" w:cs="宋体" w:eastAsia="宋体" w:hint="default"/>
        </w:rPr>
        <w:t>2018</w:t>
      </w:r>
      <w:r>
        <w:rPr/>
        <w:t>年限制性股票的授予登记</w:t>
      </w:r>
      <w:r>
        <w:rPr>
          <w:spacing w:val="-28"/>
        </w:rPr>
        <w:t>，</w:t>
      </w:r>
      <w:r>
        <w:rPr/>
        <w:t>并披露</w:t>
      </w:r>
      <w:r>
        <w:rPr>
          <w:spacing w:val="-28"/>
        </w:rPr>
        <w:t>了</w:t>
      </w:r>
      <w:r>
        <w:rPr/>
        <w:t>《关于</w:t>
      </w:r>
      <w:r>
        <w:rPr>
          <w:rFonts w:ascii="宋体" w:hAnsi="宋体" w:cs="宋体" w:eastAsia="宋体" w:hint="default"/>
        </w:rPr>
        <w:t>2018</w:t>
      </w:r>
      <w:r>
        <w:rPr/>
        <w:t>年限制性股票授予登记完成公告</w:t>
      </w:r>
      <w:r>
        <w:rPr>
          <w:spacing w:val="-90"/>
        </w:rPr>
        <w:t>》</w:t>
      </w:r>
      <w:r>
        <w:rPr>
          <w:spacing w:val="-28"/>
        </w:rPr>
        <w:t>，</w:t>
      </w:r>
      <w:r>
        <w:rPr/>
        <w:t>授予的股票于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7</w:t>
      </w:r>
      <w:r>
        <w:rPr/>
        <w:t>日上市。</w:t>
      </w:r>
    </w:p>
    <w:p>
      <w:pPr>
        <w:pStyle w:val="BodyText"/>
        <w:spacing w:line="316" w:lineRule="auto" w:before="76"/>
        <w:ind w:left="474" w:right="1122" w:hanging="360"/>
        <w:jc w:val="left"/>
      </w:pPr>
      <w:r>
        <w:rPr/>
        <w:t>公司</w:t>
      </w:r>
      <w:r>
        <w:rPr>
          <w:rFonts w:ascii="宋体" w:hAnsi="宋体" w:cs="宋体" w:eastAsia="宋体" w:hint="default"/>
        </w:rPr>
        <w:t>2018</w:t>
      </w:r>
      <w:r>
        <w:rPr/>
        <w:t>年限制性股票激励计划实施后，公司总股本由</w:t>
      </w:r>
      <w:r>
        <w:rPr>
          <w:rFonts w:ascii="宋体" w:hAnsi="宋体" w:cs="宋体" w:eastAsia="宋体" w:hint="default"/>
        </w:rPr>
        <w:t>120,000,000</w:t>
      </w:r>
      <w:r>
        <w:rPr/>
        <w:t>股变更为</w:t>
      </w:r>
      <w:r>
        <w:rPr>
          <w:rFonts w:ascii="宋体" w:hAnsi="宋体" w:cs="宋体" w:eastAsia="宋体" w:hint="default"/>
        </w:rPr>
        <w:t>121,167,000</w:t>
      </w:r>
      <w:r>
        <w:rPr/>
        <w:t>股。 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日召开</w:t>
      </w:r>
      <w:r>
        <w:rPr>
          <w:rFonts w:ascii="宋体" w:hAnsi="宋体" w:cs="宋体" w:eastAsia="宋体" w:hint="default"/>
        </w:rPr>
        <w:t>2017</w:t>
      </w:r>
      <w:r>
        <w:rPr/>
        <w:t>年度股东大会，同意公司进行</w:t>
      </w:r>
      <w:r>
        <w:rPr>
          <w:rFonts w:ascii="宋体" w:hAnsi="宋体" w:cs="宋体" w:eastAsia="宋体" w:hint="default"/>
        </w:rPr>
        <w:t>2017</w:t>
      </w:r>
      <w:r>
        <w:rPr/>
        <w:t>年度利润分配。</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11</w:t>
      </w:r>
      <w:r>
        <w:rPr/>
        <w:t>日完成了</w:t>
      </w:r>
      <w:r>
        <w:rPr>
          <w:rFonts w:ascii="宋体" w:hAnsi="宋体" w:cs="宋体" w:eastAsia="宋体" w:hint="default"/>
        </w:rPr>
        <w:t>2017</w:t>
      </w:r>
      <w:r>
        <w:rPr/>
        <w:t>年年度权益</w:t>
      </w:r>
    </w:p>
    <w:p>
      <w:pPr>
        <w:pStyle w:val="BodyText"/>
        <w:spacing w:line="316" w:lineRule="auto"/>
        <w:ind w:right="1128"/>
        <w:jc w:val="left"/>
      </w:pPr>
      <w:r>
        <w:rPr>
          <w:spacing w:val="-3"/>
        </w:rPr>
        <w:t>分派手续，并披露了《</w:t>
      </w:r>
      <w:r>
        <w:rPr>
          <w:rFonts w:ascii="宋体" w:hAnsi="宋体" w:cs="宋体" w:eastAsia="宋体" w:hint="default"/>
          <w:spacing w:val="-3"/>
        </w:rPr>
        <w:t>2017</w:t>
      </w:r>
      <w:r>
        <w:rPr>
          <w:spacing w:val="-3"/>
        </w:rPr>
        <w:t>年年度权益分派实施公告》。权益分派的转增股份于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19</w:t>
      </w:r>
      <w:r>
        <w:rPr>
          <w:spacing w:val="-3"/>
        </w:rPr>
        <w:t>日全部到账。公司</w:t>
      </w:r>
      <w:r>
        <w:rPr>
          <w:rFonts w:ascii="宋体" w:hAnsi="宋体" w:cs="宋体" w:eastAsia="宋体" w:hint="default"/>
          <w:spacing w:val="-3"/>
        </w:rPr>
        <w:t>2017</w:t>
      </w:r>
      <w:r>
        <w:rPr>
          <w:spacing w:val="-3"/>
        </w:rPr>
        <w:t>年年度权</w:t>
      </w:r>
      <w:r>
        <w:rPr>
          <w:spacing w:val="-79"/>
        </w:rPr>
        <w:t> </w:t>
      </w:r>
      <w:r>
        <w:rPr/>
        <w:t>益分派实施完成后，公司总股本由</w:t>
      </w:r>
      <w:r>
        <w:rPr>
          <w:rFonts w:ascii="宋体" w:hAnsi="宋体" w:cs="宋体" w:eastAsia="宋体" w:hint="default"/>
        </w:rPr>
        <w:t>121,167,000</w:t>
      </w:r>
      <w:r>
        <w:rPr/>
        <w:t>股变更为</w:t>
      </w:r>
      <w:r>
        <w:rPr>
          <w:rFonts w:ascii="宋体" w:hAnsi="宋体" w:cs="宋体" w:eastAsia="宋体" w:hint="default"/>
        </w:rPr>
        <w:t>181,166,996</w:t>
      </w:r>
      <w:r>
        <w:rPr/>
        <w:t>股。</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股份变动的批准情况</w:t>
      </w:r>
    </w:p>
    <w:p>
      <w:pPr>
        <w:pStyle w:val="BodyText"/>
        <w:spacing w:line="240" w:lineRule="auto" w:before="117"/>
        <w:ind w:right="0"/>
        <w:jc w:val="left"/>
      </w:pPr>
      <w:r>
        <w:rPr/>
        <w:t>√ 适用 □ 不适用</w:t>
      </w:r>
    </w:p>
    <w:p>
      <w:pPr>
        <w:pStyle w:val="BodyText"/>
        <w:spacing w:line="240" w:lineRule="auto" w:before="115"/>
        <w:ind w:left="474" w:right="0"/>
        <w:jc w:val="left"/>
      </w:pPr>
      <w:r>
        <w:rPr/>
        <w:t>（</w:t>
      </w:r>
      <w:r>
        <w:rPr>
          <w:rFonts w:ascii="宋体" w:hAnsi="宋体" w:cs="宋体" w:eastAsia="宋体" w:hint="default"/>
        </w:rPr>
        <w:t>1</w:t>
      </w:r>
      <w:r>
        <w:rPr/>
        <w:t>）限制性股票激励事项的批准情况</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129" w:firstLine="360"/>
        <w:jc w:val="both"/>
      </w:pP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日召开了第二届董事会</w:t>
      </w:r>
      <w:r>
        <w:rPr>
          <w:rFonts w:ascii="宋体" w:hAnsi="宋体" w:cs="宋体" w:eastAsia="宋体" w:hint="default"/>
        </w:rPr>
        <w:t>2018</w:t>
      </w:r>
      <w:r>
        <w:rPr/>
        <w:t>年第一次临时会议，审议通过了《关于</w:t>
      </w:r>
      <w:r>
        <w:rPr>
          <w:rFonts w:ascii="宋体" w:hAnsi="宋体" w:cs="宋体" w:eastAsia="宋体" w:hint="default"/>
        </w:rPr>
        <w:t>&lt;</w:t>
      </w:r>
      <w:r>
        <w:rPr/>
        <w:t>北京先进数通信息技术股份公司 </w:t>
      </w:r>
      <w:r>
        <w:rPr>
          <w:rFonts w:ascii="宋体" w:hAnsi="宋体" w:cs="宋体" w:eastAsia="宋体" w:hint="default"/>
          <w:spacing w:val="-4"/>
        </w:rPr>
        <w:t>2018</w:t>
      </w:r>
      <w:r>
        <w:rPr>
          <w:spacing w:val="-4"/>
        </w:rPr>
        <w:t>年限制性股票激励计划（草案）</w:t>
      </w:r>
      <w:r>
        <w:rPr>
          <w:rFonts w:ascii="宋体" w:hAnsi="宋体" w:cs="宋体" w:eastAsia="宋体" w:hint="default"/>
          <w:spacing w:val="-4"/>
        </w:rPr>
        <w:t>&gt;</w:t>
      </w:r>
      <w:r>
        <w:rPr>
          <w:spacing w:val="-4"/>
        </w:rPr>
        <w:t>及其摘要的议案》，并将议案提交股东大会审议。独立董事对此事项发表了明确同意的</w:t>
      </w:r>
      <w:r>
        <w:rPr>
          <w:spacing w:val="-36"/>
        </w:rPr>
        <w:t> </w:t>
      </w:r>
      <w:r>
        <w:rPr>
          <w:spacing w:val="-36"/>
        </w:rPr>
      </w:r>
      <w:r>
        <w:rPr>
          <w:spacing w:val="-2"/>
        </w:rPr>
        <w:t>独立意见。公司聘请的上海荣正投资咨询有限公司对此事项出具了《上海荣正投资咨询有限公司关于公司</w:t>
      </w:r>
      <w:r>
        <w:rPr>
          <w:rFonts w:ascii="宋体" w:hAnsi="宋体" w:cs="宋体" w:eastAsia="宋体" w:hint="default"/>
          <w:spacing w:val="-2"/>
        </w:rPr>
        <w:t>2018</w:t>
      </w:r>
      <w:r>
        <w:rPr>
          <w:spacing w:val="-2"/>
        </w:rPr>
        <w:t>年限制性股票</w:t>
      </w:r>
      <w:r>
        <w:rPr>
          <w:spacing w:val="-59"/>
        </w:rPr>
        <w:t> </w:t>
      </w:r>
      <w:r>
        <w:rPr>
          <w:spacing w:val="-2"/>
        </w:rPr>
        <w:t>激励计划（草案）之独立财务顾问报告》，北京市天元律师事务所对此事项出具了《北京市天元律师事务所关于公司限制性</w:t>
      </w:r>
      <w:r>
        <w:rPr>
          <w:spacing w:val="-65"/>
        </w:rPr>
        <w:t> </w:t>
      </w:r>
      <w:r>
        <w:rPr>
          <w:spacing w:val="-65"/>
        </w:rPr>
      </w:r>
      <w:r>
        <w:rPr>
          <w:spacing w:val="-7"/>
        </w:rPr>
        <w:t>股票激励计划的法律意见》。</w:t>
      </w:r>
    </w:p>
    <w:p>
      <w:pPr>
        <w:pStyle w:val="BodyText"/>
        <w:spacing w:line="316" w:lineRule="auto" w:before="17"/>
        <w:ind w:right="1130" w:firstLine="360"/>
        <w:jc w:val="both"/>
      </w:pPr>
      <w:r>
        <w:rPr>
          <w:spacing w:val="-2"/>
        </w:rPr>
        <w:t>同日召开的监事会，亦审议通过了《关于</w:t>
      </w:r>
      <w:r>
        <w:rPr>
          <w:rFonts w:ascii="宋体" w:hAnsi="宋体" w:cs="宋体" w:eastAsia="宋体" w:hint="default"/>
          <w:spacing w:val="-2"/>
        </w:rPr>
        <w:t>&lt;</w:t>
      </w:r>
      <w:r>
        <w:rPr>
          <w:spacing w:val="-2"/>
        </w:rPr>
        <w:t>北京先进数通信息技术股份公司</w:t>
      </w:r>
      <w:r>
        <w:rPr>
          <w:rFonts w:ascii="宋体" w:hAnsi="宋体" w:cs="宋体" w:eastAsia="宋体" w:hint="default"/>
          <w:spacing w:val="-2"/>
        </w:rPr>
        <w:t>2018</w:t>
      </w:r>
      <w:r>
        <w:rPr>
          <w:spacing w:val="-2"/>
        </w:rPr>
        <w:t>年限制性股票激励计划（草案）</w:t>
      </w:r>
      <w:r>
        <w:rPr>
          <w:rFonts w:ascii="宋体" w:hAnsi="宋体" w:cs="宋体" w:eastAsia="宋体" w:hint="default"/>
          <w:spacing w:val="-2"/>
        </w:rPr>
        <w:t>&gt;</w:t>
      </w:r>
      <w:r>
        <w:rPr>
          <w:spacing w:val="-2"/>
        </w:rPr>
        <w:t>及其摘</w:t>
      </w:r>
      <w:r>
        <w:rPr/>
        <w:t> </w:t>
      </w:r>
      <w:r>
        <w:rPr>
          <w:spacing w:val="-15"/>
        </w:rPr>
        <w:t>要的议案》。</w:t>
      </w:r>
    </w:p>
    <w:p>
      <w:pPr>
        <w:pStyle w:val="BodyText"/>
        <w:spacing w:line="316" w:lineRule="auto"/>
        <w:ind w:right="1130" w:firstLine="360"/>
        <w:jc w:val="both"/>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日召开的</w:t>
      </w:r>
      <w:r>
        <w:rPr>
          <w:rFonts w:ascii="宋体" w:hAnsi="宋体" w:cs="宋体" w:eastAsia="宋体" w:hint="default"/>
        </w:rPr>
        <w:t>2018</w:t>
      </w:r>
      <w:r>
        <w:rPr/>
        <w:t>年第一次临时股东大会审议通过</w:t>
      </w:r>
      <w:r>
        <w:rPr>
          <w:spacing w:val="-82"/>
        </w:rPr>
        <w:t>了</w:t>
      </w:r>
      <w:r>
        <w:rPr/>
        <w:t>《关于</w:t>
      </w:r>
      <w:r>
        <w:rPr>
          <w:rFonts w:ascii="宋体" w:hAnsi="宋体" w:cs="宋体" w:eastAsia="宋体" w:hint="default"/>
        </w:rPr>
        <w:t>&lt;</w:t>
      </w:r>
      <w:r>
        <w:rPr/>
        <w:t>北京先进数通信息技术股份公司</w:t>
      </w:r>
      <w:r>
        <w:rPr>
          <w:rFonts w:ascii="宋体" w:hAnsi="宋体" w:cs="宋体" w:eastAsia="宋体" w:hint="default"/>
        </w:rPr>
        <w:t>2018</w:t>
      </w:r>
      <w:r>
        <w:rPr/>
        <w:t>年限制性股票 激励计划（草案）</w:t>
      </w:r>
      <w:r>
        <w:rPr>
          <w:rFonts w:ascii="宋体" w:hAnsi="宋体" w:cs="宋体" w:eastAsia="宋体" w:hint="default"/>
        </w:rPr>
        <w:t>&gt;</w:t>
      </w:r>
      <w:r>
        <w:rPr/>
        <w:t>及其摘要的议案</w:t>
      </w:r>
      <w:r>
        <w:rPr>
          <w:spacing w:val="-90"/>
        </w:rPr>
        <w:t>》</w:t>
      </w:r>
      <w:r>
        <w:rPr/>
        <w:t>。</w:t>
      </w:r>
    </w:p>
    <w:p>
      <w:pPr>
        <w:pStyle w:val="BodyText"/>
        <w:spacing w:line="316" w:lineRule="auto"/>
        <w:ind w:right="1129" w:firstLine="360"/>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日，公司召开了第二届董事会</w:t>
      </w:r>
      <w:r>
        <w:rPr>
          <w:rFonts w:ascii="宋体" w:hAnsi="宋体" w:cs="宋体" w:eastAsia="宋体" w:hint="default"/>
        </w:rPr>
        <w:t>2018</w:t>
      </w:r>
      <w:r>
        <w:rPr/>
        <w:t>年第三次临时会议，审议通过了《关于向激励对象授予限制性股票的议 </w:t>
      </w:r>
      <w:r>
        <w:rPr>
          <w:spacing w:val="-2"/>
        </w:rPr>
        <w:t>案》，公司聘请的上海荣正投资咨询股份有限公司对此事项出具了《上海荣正投资咨询股份有限公司关于公司</w:t>
      </w:r>
      <w:r>
        <w:rPr>
          <w:rFonts w:ascii="宋体" w:hAnsi="宋体" w:cs="宋体" w:eastAsia="宋体" w:hint="default"/>
          <w:spacing w:val="-2"/>
        </w:rPr>
        <w:t>2018</w:t>
      </w:r>
      <w:r>
        <w:rPr>
          <w:spacing w:val="-2"/>
        </w:rPr>
        <w:t>年限制性</w:t>
      </w:r>
      <w:r>
        <w:rPr>
          <w:spacing w:val="-60"/>
        </w:rPr>
        <w:t> </w:t>
      </w:r>
      <w:r>
        <w:rPr>
          <w:spacing w:val="-2"/>
        </w:rPr>
        <w:t>股票激励计划授予相关事项之独立财务顾问报告》，北京市天元律师事务所对此事项出具了《北京市天元律师事务所关于公</w:t>
      </w:r>
      <w:r>
        <w:rPr>
          <w:spacing w:val="-65"/>
        </w:rPr>
        <w:t> </w:t>
      </w:r>
      <w:r>
        <w:rPr>
          <w:spacing w:val="-65"/>
        </w:rPr>
      </w:r>
      <w:r>
        <w:rPr>
          <w:spacing w:val="-5"/>
        </w:rPr>
        <w:t>司限制性股票激励计划授予事项的法律意见》。</w:t>
      </w:r>
    </w:p>
    <w:p>
      <w:pPr>
        <w:pStyle w:val="BodyText"/>
        <w:spacing w:line="240" w:lineRule="auto"/>
        <w:ind w:left="474" w:right="0"/>
        <w:jc w:val="left"/>
      </w:pPr>
      <w:r>
        <w:rPr/>
        <w:t>同日召开的第二届监事会</w:t>
      </w:r>
      <w:r>
        <w:rPr>
          <w:rFonts w:ascii="宋体" w:hAnsi="宋体" w:cs="宋体" w:eastAsia="宋体" w:hint="default"/>
        </w:rPr>
        <w:t>2018</w:t>
      </w:r>
      <w:r>
        <w:rPr/>
        <w:t>年第三次临时会议，亦审议通过了《关于向激励对象授予限制性股票的议案</w:t>
      </w:r>
      <w:r>
        <w:rPr>
          <w:spacing w:val="-90"/>
        </w:rPr>
        <w:t>》</w:t>
      </w:r>
      <w:r>
        <w:rPr/>
        <w:t>。</w:t>
      </w:r>
    </w:p>
    <w:p>
      <w:pPr>
        <w:pStyle w:val="BodyText"/>
        <w:spacing w:line="316" w:lineRule="auto" w:before="76"/>
        <w:ind w:left="474" w:right="1122"/>
        <w:jc w:val="left"/>
      </w:pPr>
      <w:r>
        <w:rPr/>
        <w:t>（</w:t>
      </w:r>
      <w:r>
        <w:rPr>
          <w:rFonts w:ascii="宋体" w:hAnsi="宋体" w:cs="宋体" w:eastAsia="宋体" w:hint="default"/>
        </w:rPr>
        <w:t>2</w:t>
      </w:r>
      <w:r>
        <w:rPr/>
        <w:t>）权利分配事项的批准情况 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日召开了第二届董事会</w:t>
      </w:r>
      <w:r>
        <w:rPr>
          <w:rFonts w:ascii="宋体" w:hAnsi="宋体" w:cs="宋体" w:eastAsia="宋体" w:hint="default"/>
        </w:rPr>
        <w:t>2018</w:t>
      </w:r>
      <w:r>
        <w:rPr/>
        <w:t>年第一次定期会议，审议通过了《关于公司</w:t>
      </w:r>
      <w:r>
        <w:rPr>
          <w:rFonts w:ascii="宋体" w:hAnsi="宋体" w:cs="宋体" w:eastAsia="宋体" w:hint="default"/>
        </w:rPr>
        <w:t>2017</w:t>
      </w:r>
      <w:r>
        <w:rPr/>
        <w:t>年度利润分配预案的议</w:t>
      </w:r>
    </w:p>
    <w:p>
      <w:pPr>
        <w:pStyle w:val="BodyText"/>
        <w:spacing w:line="316" w:lineRule="auto"/>
        <w:ind w:left="474" w:right="2022" w:hanging="360"/>
        <w:jc w:val="left"/>
      </w:pPr>
      <w:r>
        <w:rPr/>
        <w:t>案</w:t>
      </w:r>
      <w:r>
        <w:rPr>
          <w:spacing w:val="-90"/>
        </w:rPr>
        <w:t>》</w:t>
      </w:r>
      <w:r>
        <w:rPr/>
        <w:t>，并将此议案提交股东大会审议。独立董事对此事项发表了明确的同意意见。</w:t>
      </w:r>
      <w:r>
        <w:rPr/>
        <w:t> 同日召开的第二届监事会</w:t>
      </w:r>
      <w:r>
        <w:rPr>
          <w:rFonts w:ascii="宋体" w:hAnsi="宋体" w:cs="宋体" w:eastAsia="宋体" w:hint="default"/>
        </w:rPr>
        <w:t>2018</w:t>
      </w:r>
      <w:r>
        <w:rPr/>
        <w:t>年第一次定期会议，审议通过了《关于公司</w:t>
      </w:r>
      <w:r>
        <w:rPr>
          <w:rFonts w:ascii="宋体" w:hAnsi="宋体" w:cs="宋体" w:eastAsia="宋体" w:hint="default"/>
        </w:rPr>
        <w:t>2017</w:t>
      </w:r>
      <w:r>
        <w:rPr/>
        <w:t>年度利润分配预案的议案</w:t>
      </w:r>
      <w:r>
        <w:rPr>
          <w:spacing w:val="-90"/>
        </w:rPr>
        <w:t>》</w:t>
      </w:r>
      <w:r>
        <w:rPr/>
        <w:t>。</w:t>
      </w:r>
      <w:r>
        <w:rPr/>
        <w:t> </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日召开的</w:t>
      </w:r>
      <w:r>
        <w:rPr>
          <w:rFonts w:ascii="宋体" w:hAnsi="宋体" w:cs="宋体" w:eastAsia="宋体" w:hint="default"/>
        </w:rPr>
        <w:t>2017</w:t>
      </w:r>
      <w:r>
        <w:rPr/>
        <w:t>年度股东大会审议通过了《关于公司</w:t>
      </w:r>
      <w:r>
        <w:rPr>
          <w:rFonts w:ascii="宋体" w:hAnsi="宋体" w:cs="宋体" w:eastAsia="宋体" w:hint="default"/>
        </w:rPr>
        <w:t>2017</w:t>
      </w:r>
      <w:r>
        <w:rPr/>
        <w:t>年度利润分配预案的议案</w:t>
      </w:r>
      <w:r>
        <w:rPr>
          <w:spacing w:val="-90"/>
        </w:rPr>
        <w:t>》</w:t>
      </w:r>
      <w:r>
        <w:rPr/>
        <w:t>。</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股份变动的过户情况</w:t>
      </w:r>
    </w:p>
    <w:p>
      <w:pPr>
        <w:pStyle w:val="BodyText"/>
        <w:spacing w:line="357" w:lineRule="auto" w:before="117"/>
        <w:ind w:right="4092"/>
        <w:jc w:val="left"/>
      </w:pPr>
      <w:r>
        <w:rPr/>
        <w:t>√ 适用 □ 不适用 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日完成了</w:t>
      </w:r>
      <w:r>
        <w:rPr>
          <w:rFonts w:ascii="宋体" w:hAnsi="宋体" w:cs="宋体" w:eastAsia="宋体" w:hint="default"/>
        </w:rPr>
        <w:t>2018</w:t>
      </w:r>
      <w:r>
        <w:rPr/>
        <w:t>年限制性股票的授予登记，限制性股票的过户完成。</w:t>
      </w:r>
    </w:p>
    <w:p>
      <w:pPr>
        <w:pStyle w:val="BodyText"/>
        <w:spacing w:line="224" w:lineRule="exact" w:before="0"/>
        <w:ind w:right="0"/>
        <w:jc w:val="left"/>
      </w:pPr>
      <w:r>
        <w:rPr/>
        <w:t>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19</w:t>
      </w:r>
      <w:r>
        <w:rPr/>
        <w:t>日完成了</w:t>
      </w:r>
      <w:r>
        <w:rPr>
          <w:rFonts w:ascii="宋体" w:hAnsi="宋体" w:cs="宋体" w:eastAsia="宋体" w:hint="default"/>
        </w:rPr>
        <w:t>2017</w:t>
      </w:r>
      <w:r>
        <w:rPr/>
        <w:t>年年度权益分派业务中资本公积转增股本的股份过户，转增的股份于</w:t>
      </w:r>
      <w:r>
        <w:rPr>
          <w:rFonts w:ascii="宋体" w:hAnsi="宋体" w:cs="宋体" w:eastAsia="宋体" w:hint="default"/>
        </w:rPr>
        <w:t>6</w:t>
      </w:r>
      <w:r>
        <w:rPr/>
        <w:t>月</w:t>
      </w:r>
      <w:r>
        <w:rPr>
          <w:rFonts w:ascii="宋体" w:hAnsi="宋体" w:cs="宋体" w:eastAsia="宋体" w:hint="default"/>
        </w:rPr>
        <w:t>19</w:t>
      </w:r>
      <w:r>
        <w:rPr/>
        <w:t>日全部到账。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t>股份回购的实施进展情况</w:t>
      </w:r>
    </w:p>
    <w:p>
      <w:pPr>
        <w:pStyle w:val="BodyText"/>
        <w:spacing w:line="357" w:lineRule="auto" w:before="117"/>
        <w:ind w:right="6972"/>
        <w:jc w:val="left"/>
      </w:pPr>
      <w:r>
        <w:rPr/>
        <w:t>□ 适用 √ 不适用 采用集中竞价方式减持回购股份的实施进展情况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left="474" w:right="1122" w:hanging="360"/>
        <w:jc w:val="left"/>
      </w:pPr>
      <w:r>
        <w:rPr/>
        <w:t>√ 适用 □ 不适用 公司股份总数变动前，公司的基本每股收益和稀释每股收益均为人民币</w:t>
      </w:r>
      <w:r>
        <w:rPr>
          <w:rFonts w:ascii="宋体" w:hAnsi="宋体" w:cs="宋体" w:eastAsia="宋体" w:hint="default"/>
        </w:rPr>
        <w:t>0.43</w:t>
      </w:r>
      <w:r>
        <w:rPr/>
        <w:t>元</w:t>
      </w:r>
      <w:r>
        <w:rPr>
          <w:rFonts w:ascii="宋体" w:hAnsi="宋体" w:cs="宋体" w:eastAsia="宋体" w:hint="default"/>
        </w:rPr>
        <w:t>/</w:t>
      </w:r>
      <w:r>
        <w:rPr/>
        <w:t>股，归属于公司普通股股东的每股净资</w:t>
      </w:r>
    </w:p>
    <w:p>
      <w:pPr>
        <w:pStyle w:val="BodyText"/>
        <w:spacing w:line="224" w:lineRule="exact" w:before="0"/>
        <w:ind w:right="0"/>
        <w:jc w:val="left"/>
      </w:pPr>
      <w:r>
        <w:rPr/>
        <w:t>产为人民币</w:t>
      </w:r>
      <w:r>
        <w:rPr>
          <w:rFonts w:ascii="宋体" w:hAnsi="宋体" w:cs="宋体" w:eastAsia="宋体" w:hint="default"/>
        </w:rPr>
        <w:t>6.46</w:t>
      </w:r>
      <w:r>
        <w:rPr/>
        <w:t>元。股份变动后，公司的基本每股收益和稀释每股收益均为人民币</w:t>
      </w:r>
      <w:r>
        <w:rPr>
          <w:rFonts w:ascii="宋体" w:hAnsi="宋体" w:cs="宋体" w:eastAsia="宋体" w:hint="default"/>
        </w:rPr>
        <w:t>0.28</w:t>
      </w:r>
      <w:r>
        <w:rPr/>
        <w:t>元</w:t>
      </w:r>
      <w:r>
        <w:rPr>
          <w:rFonts w:ascii="宋体" w:hAnsi="宋体" w:cs="宋体" w:eastAsia="宋体" w:hint="default"/>
        </w:rPr>
        <w:t>/</w:t>
      </w:r>
      <w:r>
        <w:rPr/>
        <w:t>股，归属于公司普通股股股东的</w:t>
      </w:r>
    </w:p>
    <w:p>
      <w:pPr>
        <w:pStyle w:val="BodyText"/>
        <w:spacing w:line="316" w:lineRule="auto" w:before="76"/>
        <w:ind w:right="1132"/>
        <w:jc w:val="both"/>
      </w:pPr>
      <w:r>
        <w:rPr>
          <w:spacing w:val="-2"/>
        </w:rPr>
        <w:t>每股净资产为人民币</w:t>
      </w:r>
      <w:r>
        <w:rPr>
          <w:rFonts w:ascii="宋体" w:hAnsi="宋体" w:cs="宋体" w:eastAsia="宋体" w:hint="default"/>
          <w:spacing w:val="-2"/>
        </w:rPr>
        <w:t>4.28</w:t>
      </w:r>
      <w:r>
        <w:rPr>
          <w:spacing w:val="-2"/>
        </w:rPr>
        <w:t>元。资本公积转增资本是所有者权益之间的变化，对公司资产和负债结构没有影响；股权激励增加</w:t>
      </w:r>
      <w:r>
        <w:rPr>
          <w:spacing w:val="-62"/>
        </w:rPr>
        <w:t> </w:t>
      </w:r>
      <w:r>
        <w:rPr>
          <w:spacing w:val="-62"/>
        </w:rPr>
      </w:r>
      <w:r>
        <w:rPr>
          <w:spacing w:val="-2"/>
        </w:rPr>
        <w:t>了资产货币资金</w:t>
      </w:r>
      <w:r>
        <w:rPr>
          <w:rFonts w:ascii="宋体" w:hAnsi="宋体" w:cs="宋体" w:eastAsia="宋体" w:hint="default"/>
          <w:spacing w:val="-2"/>
        </w:rPr>
        <w:t>13,058,730.00</w:t>
      </w:r>
      <w:r>
        <w:rPr>
          <w:spacing w:val="-2"/>
        </w:rPr>
        <w:t>元，占资产总额</w:t>
      </w:r>
      <w:r>
        <w:rPr>
          <w:rFonts w:ascii="宋体" w:hAnsi="宋体" w:cs="宋体" w:eastAsia="宋体" w:hint="default"/>
          <w:spacing w:val="-2"/>
        </w:rPr>
        <w:t>0.99%</w:t>
      </w:r>
      <w:r>
        <w:rPr>
          <w:spacing w:val="-2"/>
        </w:rPr>
        <w:t>；同时因产生股权激励回购义务，期末负债其他应付款中股权激励回购</w:t>
      </w:r>
      <w:r>
        <w:rPr>
          <w:spacing w:val="-49"/>
        </w:rPr>
        <w:t> </w:t>
      </w:r>
      <w:r>
        <w:rPr>
          <w:spacing w:val="-49"/>
        </w:rPr>
      </w:r>
      <w:r>
        <w:rPr/>
        <w:t>义务的余额为</w:t>
      </w:r>
      <w:r>
        <w:rPr>
          <w:rFonts w:ascii="宋体" w:hAnsi="宋体" w:cs="宋体" w:eastAsia="宋体" w:hint="default"/>
        </w:rPr>
        <w:t>13,597,396.78</w:t>
      </w:r>
      <w:r>
        <w:rPr/>
        <w:t>元，占负债总额</w:t>
      </w:r>
      <w:r>
        <w:rPr>
          <w:rFonts w:ascii="宋体" w:hAnsi="宋体" w:cs="宋体" w:eastAsia="宋体" w:hint="default"/>
        </w:rPr>
        <w:t>2.50%</w:t>
      </w:r>
      <w:r>
        <w:rPr/>
        <w:t>。</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公司认为必要或证券监管机构要求披露的其他内容</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0"/>
        <w:gridCol w:w="1369"/>
        <w:gridCol w:w="938"/>
        <w:gridCol w:w="1160"/>
        <w:gridCol w:w="1177"/>
        <w:gridCol w:w="1722"/>
        <w:gridCol w:w="1550"/>
      </w:tblGrid>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125"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3" w:right="132"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8,048,200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3,985,342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12,033,542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7,271,200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3,600,584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10,871,784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北京银汉创业投资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3,119,661</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9,419,661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6,241,600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3,090,742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9,332,342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陈东辉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5,859,000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2,901,285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8,760,285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韩燕婴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5,859,000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2,901,285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8,760,285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北京致远天成科技 中心（有限合伙）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4,376,100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2,166,976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6,543,076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3,435,300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1,701,107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5,136,407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3,414,100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1,690,609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5,104,709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3,211,200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1,590,136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4,801,336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洪沈平等其余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15,378,700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9,360,170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24,738,870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首次公开发行及股 权激励计划限售</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69,394,400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36,107,897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105,502,297</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3"/>
        <w:gridCol w:w="1783"/>
        <w:gridCol w:w="1161"/>
        <w:gridCol w:w="1159"/>
        <w:gridCol w:w="1641"/>
        <w:gridCol w:w="988"/>
        <w:gridCol w:w="1373"/>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0" w:right="16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127"/>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1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1,167,000</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1,167,000</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1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1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474" w:right="1122" w:hanging="360"/>
        <w:jc w:val="left"/>
      </w:pPr>
      <w:r>
        <w:rPr/>
        <w:t>报告期内证券发行（不含优先股）情况的说明 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日召开</w:t>
      </w:r>
      <w:r>
        <w:rPr>
          <w:rFonts w:ascii="宋体" w:hAnsi="宋体" w:cs="宋体" w:eastAsia="宋体" w:hint="default"/>
        </w:rPr>
        <w:t>2018</w:t>
      </w:r>
      <w:r>
        <w:rPr/>
        <w:t>年第一次临时股东大会，同意公司进行</w:t>
      </w:r>
      <w:r>
        <w:rPr>
          <w:rFonts w:ascii="宋体" w:hAnsi="宋体" w:cs="宋体" w:eastAsia="宋体" w:hint="default"/>
        </w:rPr>
        <w:t>2018</w:t>
      </w:r>
      <w:r>
        <w:rPr/>
        <w:t>年限制性股票激励。</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日公司完成</w:t>
      </w:r>
    </w:p>
    <w:p>
      <w:pPr>
        <w:pStyle w:val="BodyText"/>
        <w:spacing w:line="224" w:lineRule="exact" w:before="0"/>
        <w:ind w:right="0"/>
        <w:jc w:val="left"/>
      </w:pPr>
      <w:r>
        <w:rPr/>
        <w:t>了</w:t>
      </w:r>
      <w:r>
        <w:rPr>
          <w:rFonts w:ascii="宋体" w:hAnsi="宋体" w:cs="宋体" w:eastAsia="宋体" w:hint="default"/>
        </w:rPr>
        <w:t>2018</w:t>
      </w:r>
      <w:r>
        <w:rPr/>
        <w:t>年限制性股票的授予登记</w:t>
      </w:r>
      <w:r>
        <w:rPr>
          <w:spacing w:val="-28"/>
        </w:rPr>
        <w:t>，</w:t>
      </w:r>
      <w:r>
        <w:rPr/>
        <w:t>并披露</w:t>
      </w:r>
      <w:r>
        <w:rPr>
          <w:spacing w:val="-28"/>
        </w:rPr>
        <w:t>了</w:t>
      </w:r>
      <w:r>
        <w:rPr/>
        <w:t>《关于</w:t>
      </w:r>
      <w:r>
        <w:rPr>
          <w:rFonts w:ascii="宋体" w:hAnsi="宋体" w:cs="宋体" w:eastAsia="宋体" w:hint="default"/>
        </w:rPr>
        <w:t>2018</w:t>
      </w:r>
      <w:r>
        <w:rPr/>
        <w:t>年限制性股票授予登记完成公告</w:t>
      </w:r>
      <w:r>
        <w:rPr>
          <w:spacing w:val="-90"/>
        </w:rPr>
        <w:t>》</w:t>
      </w:r>
      <w:r>
        <w:rPr>
          <w:spacing w:val="-28"/>
        </w:rPr>
        <w:t>，</w:t>
      </w:r>
      <w:r>
        <w:rPr/>
        <w:t>授予的股票于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7</w:t>
      </w:r>
      <w:r>
        <w:rPr/>
        <w:t>日上市。</w:t>
      </w:r>
    </w:p>
    <w:p>
      <w:pPr>
        <w:spacing w:after="0" w:line="224" w:lineRule="exact"/>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474" w:right="2832" w:hanging="360"/>
        <w:jc w:val="left"/>
      </w:pPr>
      <w:r>
        <w:rPr/>
        <w:t>√ 适用 □ 不适用 报告期内，因为实施股权激励计划，公司股份总数由</w:t>
      </w:r>
      <w:r>
        <w:rPr>
          <w:rFonts w:ascii="宋体" w:hAnsi="宋体" w:cs="宋体" w:eastAsia="宋体" w:hint="default"/>
        </w:rPr>
        <w:t>120,000,000</w:t>
      </w:r>
      <w:r>
        <w:rPr/>
        <w:t>股变更为</w:t>
      </w:r>
      <w:r>
        <w:rPr>
          <w:rFonts w:ascii="宋体" w:hAnsi="宋体" w:cs="宋体" w:eastAsia="宋体" w:hint="default"/>
        </w:rPr>
        <w:t>121,167,000</w:t>
      </w:r>
      <w:r>
        <w:rPr/>
        <w:t>股。 因为</w:t>
      </w:r>
      <w:r>
        <w:rPr>
          <w:rFonts w:ascii="宋体" w:hAnsi="宋体" w:cs="宋体" w:eastAsia="宋体" w:hint="default"/>
        </w:rPr>
        <w:t>2017</w:t>
      </w:r>
      <w:r>
        <w:rPr/>
        <w:t>年度利润分配计划的实施完成，公司股份总数由</w:t>
      </w:r>
      <w:r>
        <w:rPr>
          <w:rFonts w:ascii="宋体" w:hAnsi="宋体" w:cs="宋体" w:eastAsia="宋体" w:hint="default"/>
        </w:rPr>
        <w:t>121,167,000</w:t>
      </w:r>
      <w:r>
        <w:rPr/>
        <w:t>股变更为</w:t>
      </w:r>
      <w:r>
        <w:rPr>
          <w:rFonts w:ascii="宋体" w:hAnsi="宋体" w:cs="宋体" w:eastAsia="宋体" w:hint="default"/>
        </w:rPr>
        <w:t>181,166,996</w:t>
      </w:r>
      <w:r>
        <w:rPr/>
        <w:t>股。</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34"/>
        <w:gridCol w:w="310"/>
        <w:gridCol w:w="661"/>
        <w:gridCol w:w="842"/>
        <w:gridCol w:w="751"/>
        <w:gridCol w:w="1100"/>
        <w:gridCol w:w="790"/>
        <w:gridCol w:w="804"/>
        <w:gridCol w:w="246"/>
        <w:gridCol w:w="508"/>
        <w:gridCol w:w="332"/>
        <w:gridCol w:w="943"/>
        <w:gridCol w:w="417"/>
        <w:gridCol w:w="554"/>
      </w:tblGrid>
      <w:tr>
        <w:trPr>
          <w:trHeight w:val="1343"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17,261</w:t>
            </w:r>
          </w:p>
        </w:tc>
        <w:tc>
          <w:tcPr>
            <w:tcW w:w="15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16,331</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8"/>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6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6"/>
              <w:ind w:left="103" w:right="139"/>
              <w:jc w:val="both"/>
              <w:rPr>
                <w:rFonts w:ascii="宋体" w:hAnsi="宋体" w:cs="宋体" w:eastAsia="宋体" w:hint="default"/>
                <w:sz w:val="16"/>
                <w:szCs w:val="16"/>
              </w:rPr>
            </w:pPr>
            <w:r>
              <w:rPr>
                <w:rFonts w:ascii="宋体" w:hAnsi="宋体" w:cs="宋体" w:eastAsia="宋体" w:hint="default"/>
                <w:sz w:val="16"/>
                <w:szCs w:val="16"/>
              </w:rPr>
              <w:t>年度报告披露日前上</w:t>
            </w:r>
            <w:r>
              <w:rPr>
                <w:rFonts w:ascii="宋体" w:hAnsi="宋体" w:cs="宋体" w:eastAsia="宋体" w:hint="default"/>
                <w:w w:val="99"/>
                <w:sz w:val="16"/>
                <w:szCs w:val="16"/>
              </w:rPr>
              <w:t> </w:t>
            </w:r>
            <w:r>
              <w:rPr>
                <w:rFonts w:ascii="宋体" w:hAnsi="宋体" w:cs="宋体" w:eastAsia="宋体" w:hint="default"/>
                <w:sz w:val="16"/>
                <w:szCs w:val="16"/>
              </w:rPr>
              <w:t>一月末表决权恢复的</w:t>
            </w:r>
            <w:r>
              <w:rPr>
                <w:rFonts w:ascii="宋体" w:hAnsi="宋体" w:cs="宋体" w:eastAsia="宋体" w:hint="default"/>
                <w:w w:val="99"/>
                <w:sz w:val="16"/>
                <w:szCs w:val="16"/>
              </w:rPr>
              <w:t> </w:t>
            </w:r>
            <w:r>
              <w:rPr>
                <w:rFonts w:ascii="宋体" w:hAnsi="宋体" w:cs="宋体" w:eastAsia="宋体" w:hint="default"/>
                <w:sz w:val="16"/>
                <w:szCs w:val="16"/>
              </w:rPr>
              <w:t>优先股股东总数（如</w:t>
            </w:r>
            <w:r>
              <w:rPr>
                <w:rFonts w:ascii="宋体" w:hAnsi="宋体" w:cs="宋体" w:eastAsia="宋体" w:hint="default"/>
                <w:w w:val="99"/>
                <w:sz w:val="16"/>
                <w:szCs w:val="16"/>
              </w:rPr>
              <w:t> </w:t>
            </w:r>
            <w:r>
              <w:rPr>
                <w:rFonts w:ascii="宋体" w:hAnsi="宋体" w:cs="宋体" w:eastAsia="宋体" w:hint="default"/>
                <w:spacing w:val="-14"/>
                <w:w w:val="99"/>
                <w:sz w:val="16"/>
                <w:szCs w:val="16"/>
              </w:rPr>
              <w:t>有）（参见注</w:t>
            </w:r>
            <w:r>
              <w:rPr>
                <w:rFonts w:ascii="宋体" w:hAnsi="宋体" w:cs="宋体" w:eastAsia="宋体" w:hint="default"/>
                <w:spacing w:val="-36"/>
                <w:w w:val="99"/>
                <w:sz w:val="16"/>
                <w:szCs w:val="16"/>
              </w:rPr>
              <w:t> </w:t>
            </w:r>
            <w:r>
              <w:rPr>
                <w:rFonts w:ascii="Times New Roman" w:hAnsi="Times New Roman" w:cs="Times New Roman" w:eastAsia="Times New Roman" w:hint="default"/>
                <w:w w:val="99"/>
                <w:sz w:val="16"/>
                <w:szCs w:val="16"/>
              </w:rPr>
              <w:t>9</w:t>
            </w:r>
            <w:r>
              <w:rPr>
                <w:rFonts w:ascii="宋体" w:hAnsi="宋体" w:cs="宋体" w:eastAsia="宋体" w:hint="default"/>
                <w:w w:val="99"/>
                <w:sz w:val="16"/>
                <w:szCs w:val="16"/>
              </w:rPr>
              <w:t>）</w:t>
            </w:r>
            <w:r>
              <w:rPr>
                <w:rFonts w:ascii="宋体" w:hAnsi="宋体" w:cs="宋体" w:eastAsia="宋体" w:hint="default"/>
                <w:sz w:val="16"/>
                <w:szCs w:val="16"/>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9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7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6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8" w:right="8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16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10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45"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19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644" w:type="dxa"/>
            <w:gridSpan w:val="2"/>
            <w:vMerge/>
            <w:tcBorders>
              <w:left w:val="single" w:sz="4" w:space="0" w:color="000000"/>
              <w:bottom w:val="single" w:sz="4" w:space="0" w:color="000000"/>
              <w:right w:val="single" w:sz="4" w:space="0" w:color="000000"/>
            </w:tcBorders>
            <w:shd w:val="clear" w:color="auto" w:fill="D2D2D2"/>
          </w:tcPr>
          <w:p>
            <w:pPr/>
          </w:p>
        </w:tc>
        <w:tc>
          <w:tcPr>
            <w:tcW w:w="1504" w:type="dxa"/>
            <w:gridSpan w:val="2"/>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1050" w:type="dxa"/>
            <w:gridSpan w:val="2"/>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6.64%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12,033,542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12,033,542</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9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6.00%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10,871,784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10,871,784</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3,965,537</w:t>
            </w:r>
          </w:p>
        </w:tc>
      </w:tr>
      <w:tr>
        <w:trPr>
          <w:trHeight w:val="714"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9"/>
              <w:jc w:val="left"/>
              <w:rPr>
                <w:rFonts w:ascii="宋体" w:hAnsi="宋体" w:cs="宋体" w:eastAsia="宋体" w:hint="default"/>
                <w:sz w:val="18"/>
                <w:szCs w:val="18"/>
              </w:rPr>
            </w:pPr>
            <w:r>
              <w:rPr>
                <w:rFonts w:ascii="宋体" w:hAnsi="宋体" w:cs="宋体" w:eastAsia="宋体" w:hint="default"/>
                <w:sz w:val="18"/>
                <w:szCs w:val="18"/>
              </w:rPr>
              <w:t>北京银汉创业投 资有限公司</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5.20%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9,419,661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9,419,661</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9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5.15%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9,332,342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9,332,342</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1,996,070</w:t>
            </w: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陈东辉</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4.84%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8,760,285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8,760,285</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4,785,070</w:t>
            </w: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韩燕婴</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4.84%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8,760,285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8,760,285</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3,887,478</w:t>
            </w:r>
          </w:p>
        </w:tc>
      </w:tr>
      <w:tr>
        <w:trPr>
          <w:trHeight w:val="714"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03" w:right="250"/>
              <w:jc w:val="left"/>
              <w:rPr>
                <w:rFonts w:ascii="宋体" w:hAnsi="宋体" w:cs="宋体" w:eastAsia="宋体" w:hint="default"/>
                <w:sz w:val="16"/>
                <w:szCs w:val="16"/>
              </w:rPr>
            </w:pPr>
            <w:r>
              <w:rPr>
                <w:rFonts w:ascii="宋体" w:hAnsi="宋体" w:cs="宋体" w:eastAsia="宋体" w:hint="default"/>
                <w:sz w:val="16"/>
                <w:szCs w:val="16"/>
              </w:rPr>
              <w:t>北京致远天成科技</w:t>
            </w:r>
            <w:r>
              <w:rPr>
                <w:rFonts w:ascii="宋体" w:hAnsi="宋体" w:cs="宋体" w:eastAsia="宋体" w:hint="default"/>
                <w:w w:val="99"/>
                <w:sz w:val="16"/>
                <w:szCs w:val="16"/>
              </w:rPr>
              <w:t> </w:t>
            </w:r>
            <w:r>
              <w:rPr>
                <w:rFonts w:ascii="宋体" w:hAnsi="宋体" w:cs="宋体" w:eastAsia="宋体" w:hint="default"/>
                <w:sz w:val="16"/>
                <w:szCs w:val="16"/>
              </w:rPr>
              <w:t>中心（有限合伙）</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z w:val="18"/>
              </w:rPr>
              <w:t>3.61%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6,543,076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6,543,076</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97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2.84%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5,136,407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5,136,407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5,136,405</w:t>
            </w: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2.82%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5,104,709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5,104,709</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2,392,293</w:t>
            </w:r>
          </w:p>
        </w:tc>
      </w:tr>
      <w:tr>
        <w:trPr>
          <w:trHeight w:val="402" w:hRule="exact"/>
        </w:trPr>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2.65%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4,801,336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4,801,336</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971"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上述股东之间不存在关联关系，不属于相关法规规定的一致行动人。</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48"/>
        <w:gridCol w:w="4116"/>
        <w:gridCol w:w="1358"/>
        <w:gridCol w:w="971"/>
      </w:tblGrid>
      <w:tr>
        <w:trPr>
          <w:trHeight w:val="402" w:hRule="exact"/>
        </w:trPr>
        <w:tc>
          <w:tcPr>
            <w:tcW w:w="95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148" w:type="dxa"/>
            <w:vMerge/>
            <w:tcBorders>
              <w:left w:val="single" w:sz="4" w:space="0" w:color="000000"/>
              <w:bottom w:val="single" w:sz="4" w:space="0" w:color="000000"/>
              <w:right w:val="single" w:sz="4" w:space="0" w:color="000000"/>
            </w:tcBorders>
            <w:shd w:val="clear" w:color="auto" w:fill="D2D2D2"/>
          </w:tcPr>
          <w:p>
            <w:pPr/>
          </w:p>
        </w:tc>
        <w:tc>
          <w:tcPr>
            <w:tcW w:w="4116" w:type="dxa"/>
            <w:vMerge/>
            <w:tcBorders>
              <w:left w:val="single" w:sz="4" w:space="0" w:color="000000"/>
              <w:bottom w:val="single" w:sz="4" w:space="0" w:color="000000"/>
              <w:right w:val="single" w:sz="4" w:space="0" w:color="000000"/>
            </w:tcBorders>
            <w:shd w:val="clear" w:color="auto" w:fill="D2D2D2"/>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李开福</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1,825,506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1,825,506</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李云峰</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1,544,525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1,544,525</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马丹</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1,377,726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1,377,726</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郑云波</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1,241,003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1,241,003</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1,076,322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1,076,322</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王南</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932,619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932,619</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刘跃辉</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817,118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817,118</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刘云瑞</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794,092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794,092</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司汝军</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780,421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780,421</w:t>
            </w:r>
          </w:p>
        </w:tc>
      </w:tr>
      <w:tr>
        <w:trPr>
          <w:trHeight w:val="402" w:hRule="exact"/>
        </w:trPr>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完献忠</w:t>
            </w:r>
          </w:p>
        </w:tc>
        <w:tc>
          <w:tcPr>
            <w:tcW w:w="4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754,962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754,962</w:t>
            </w:r>
          </w:p>
        </w:tc>
      </w:tr>
      <w:tr>
        <w:trPr>
          <w:trHeight w:val="1026" w:hRule="exact"/>
        </w:trPr>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名无限售流通股股东之间，以及</w:t>
            </w:r>
          </w:p>
          <w:p>
            <w:pPr>
              <w:pStyle w:val="TableParagraph"/>
              <w:spacing w:line="302" w:lineRule="auto" w:before="63"/>
              <w:ind w:left="103" w:right="1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4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上述股东之间不存在关联关系，不属于相关法规规定的一致行动人。</w:t>
            </w:r>
          </w:p>
        </w:tc>
      </w:tr>
      <w:tr>
        <w:trPr>
          <w:trHeight w:val="714" w:hRule="exact"/>
        </w:trPr>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4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232"/>
        <w:jc w:val="left"/>
      </w:pPr>
      <w:r>
        <w:rPr/>
        <w:t>控股股东性质：无控股主体 控股股东类型：不存在 公司不存在控股股东情况的说明</w:t>
      </w:r>
    </w:p>
    <w:p>
      <w:pPr>
        <w:pStyle w:val="BodyText"/>
        <w:spacing w:line="316" w:lineRule="auto" w:before="25"/>
        <w:ind w:right="1131" w:firstLine="360"/>
        <w:jc w:val="both"/>
      </w:pPr>
      <w:r>
        <w:rPr>
          <w:spacing w:val="-2"/>
        </w:rPr>
        <w:t>公司任一股东所持的股份不足以对公司股东大会的决议产生决定性影响；公司不存在某一股东控制董事会多数席位的情</w:t>
      </w:r>
      <w:r>
        <w:rPr/>
        <w:t> </w:t>
      </w:r>
      <w:r>
        <w:rPr>
          <w:spacing w:val="-2"/>
        </w:rPr>
        <w:t>形，亦不存在其他能够实际支配公司行为的人，且公司持股</w:t>
      </w:r>
      <w:r>
        <w:rPr>
          <w:rFonts w:ascii="宋体" w:hAnsi="宋体" w:cs="宋体" w:eastAsia="宋体" w:hint="default"/>
          <w:spacing w:val="-2"/>
        </w:rPr>
        <w:t>5%</w:t>
      </w:r>
      <w:r>
        <w:rPr>
          <w:spacing w:val="-2"/>
        </w:rPr>
        <w:t>以上的股东无一致行动协议或约定。因此，公司不存在控股股</w:t>
      </w:r>
      <w:r>
        <w:rPr>
          <w:spacing w:val="-64"/>
        </w:rPr>
        <w:t> </w:t>
      </w:r>
      <w:r>
        <w:rPr>
          <w:spacing w:val="-64"/>
        </w:rPr>
      </w:r>
      <w:r>
        <w:rPr/>
        <w:t>东或实际控制人。</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控股股东报告期内变更</w:t>
      </w:r>
    </w:p>
    <w:p>
      <w:pPr>
        <w:pStyle w:val="BodyText"/>
        <w:spacing w:line="357" w:lineRule="auto" w:before="117"/>
        <w:ind w:right="7692"/>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232"/>
        <w:jc w:val="left"/>
      </w:pPr>
      <w:r>
        <w:rPr/>
        <w:t>实际控制人性质：无实际控制人 实际控制人类型：不存在</w:t>
      </w:r>
    </w:p>
    <w:p>
      <w:pPr>
        <w:spacing w:after="0" w:line="36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0" w:hanging="360"/>
        <w:jc w:val="left"/>
      </w:pPr>
      <w:r>
        <w:rPr/>
        <w:t>公司不存在实际控制人情况的说明 </w:t>
      </w:r>
      <w:r>
        <w:rPr>
          <w:spacing w:val="-2"/>
        </w:rPr>
        <w:t>公司任一股东所持的股份不足以对公司股东大会的决议产生决定性影响；公司不存在某一股东控制董事会多数席位的情</w:t>
      </w:r>
    </w:p>
    <w:p>
      <w:pPr>
        <w:pStyle w:val="BodyText"/>
        <w:spacing w:line="224" w:lineRule="exact" w:before="0"/>
        <w:ind w:right="0"/>
        <w:jc w:val="left"/>
      </w:pPr>
      <w:r>
        <w:rPr/>
        <w:t>形，亦不存在其他能够实际支配公司行为的人，且公司持股</w:t>
      </w:r>
      <w:r>
        <w:rPr>
          <w:rFonts w:ascii="宋体" w:hAnsi="宋体" w:cs="宋体" w:eastAsia="宋体" w:hint="default"/>
        </w:rPr>
        <w:t>5%</w:t>
      </w:r>
      <w:r>
        <w:rPr/>
        <w:t>以上的股东无一致行动协议或约定。因此，公司不存在控股股</w:t>
      </w:r>
    </w:p>
    <w:p>
      <w:pPr>
        <w:pStyle w:val="BodyText"/>
        <w:spacing w:line="240" w:lineRule="auto" w:before="76"/>
        <w:ind w:right="0"/>
        <w:jc w:val="left"/>
      </w:pPr>
      <w:r>
        <w:rPr/>
        <w:t>东或实际控制人。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240" w:lineRule="auto" w:before="103"/>
        <w:ind w:right="0"/>
        <w:jc w:val="left"/>
      </w:pPr>
      <w:r>
        <w:rPr/>
        <w:t>□ 是 √ 否</w:t>
      </w:r>
    </w:p>
    <w:p>
      <w:pPr>
        <w:pStyle w:val="BodyText"/>
        <w:spacing w:line="340" w:lineRule="auto" w:before="116"/>
        <w:ind w:right="7048"/>
        <w:jc w:val="left"/>
      </w:pPr>
      <w:r>
        <w:rPr/>
        <w:t>公司最终控制层面持股比例</w:t>
      </w:r>
      <w:r>
        <w:rPr>
          <w:spacing w:val="-46"/>
        </w:rPr>
        <w:t> </w:t>
      </w:r>
      <w:r>
        <w:rPr>
          <w:rFonts w:ascii="Times New Roman" w:hAnsi="Times New Roman" w:cs="Times New Roman" w:eastAsia="Times New Roman" w:hint="default"/>
        </w:rPr>
        <w:t>5%</w:t>
      </w:r>
      <w:r>
        <w:rPr/>
        <w:t>以上的股东情况 自然人</w:t>
      </w:r>
    </w:p>
    <w:p>
      <w:pPr>
        <w:pStyle w:val="BodyText"/>
        <w:spacing w:line="240" w:lineRule="auto" w:before="40"/>
        <w:ind w:right="0"/>
        <w:jc w:val="left"/>
      </w:pPr>
      <w:r>
        <w:rPr/>
        <w:t>最终控制层面持股情况</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2"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以上个人股东均为公司董事，详细情况见本报告第八节。</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60" w:lineRule="auto" w:before="116"/>
        <w:ind w:right="6792"/>
        <w:jc w:val="left"/>
      </w:pPr>
      <w:r>
        <w:rPr/>
        <w:t>□ 适用 √ 不适用 公司报告期实际控制人未发生变更。 公司与实际控制人之间的产权及控制关系的方框图</w:t>
      </w:r>
    </w:p>
    <w:p>
      <w:pPr>
        <w:spacing w:line="240" w:lineRule="auto" w:before="11"/>
        <w:rPr>
          <w:rFonts w:ascii="宋体" w:hAnsi="宋体" w:cs="宋体" w:eastAsia="宋体" w:hint="default"/>
          <w:sz w:val="21"/>
          <w:szCs w:val="21"/>
        </w:rPr>
      </w:pPr>
    </w:p>
    <w:p>
      <w:pPr>
        <w:spacing w:line="396"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488542" cy="25146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1488542" cy="251460"/>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
        <w:rPr>
          <w:rFonts w:ascii="宋体" w:hAnsi="宋体" w:cs="宋体" w:eastAsia="宋体" w:hint="default"/>
          <w:sz w:val="25"/>
          <w:szCs w:val="25"/>
        </w:rPr>
      </w:pPr>
    </w:p>
    <w:p>
      <w:pPr>
        <w:pStyle w:val="BodyText"/>
        <w:spacing w:line="240" w:lineRule="auto" w:before="0"/>
        <w:ind w:right="0"/>
        <w:jc w:val="left"/>
      </w:pPr>
      <w:r>
        <w:rPr/>
        <w:t>实际控制人通过信托或其他资产管理方式控制公司</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1399"/>
        <w:gridCol w:w="577"/>
        <w:gridCol w:w="470"/>
        <w:gridCol w:w="421"/>
        <w:gridCol w:w="797"/>
        <w:gridCol w:w="798"/>
        <w:gridCol w:w="944"/>
        <w:gridCol w:w="1022"/>
        <w:gridCol w:w="798"/>
        <w:gridCol w:w="672"/>
        <w:gridCol w:w="1037"/>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3" w:right="10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40" w:right="138"/>
              <w:jc w:val="left"/>
              <w:rPr>
                <w:rFonts w:ascii="宋体" w:hAnsi="宋体" w:cs="宋体" w:eastAsia="宋体" w:hint="default"/>
                <w:sz w:val="18"/>
                <w:szCs w:val="18"/>
              </w:rPr>
            </w:pPr>
            <w:r>
              <w:rPr>
                <w:rFonts w:ascii="宋体" w:hAnsi="宋体" w:cs="宋体" w:eastAsia="宋体" w:hint="default"/>
                <w:sz w:val="18"/>
                <w:szCs w:val="18"/>
              </w:rPr>
              <w:t>性 别</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15" w:right="114"/>
              <w:jc w:val="left"/>
              <w:rPr>
                <w:rFonts w:ascii="宋体" w:hAnsi="宋体" w:cs="宋体" w:eastAsia="宋体" w:hint="default"/>
                <w:sz w:val="18"/>
                <w:szCs w:val="18"/>
              </w:rPr>
            </w:pPr>
            <w:r>
              <w:rPr>
                <w:rFonts w:ascii="宋体" w:hAnsi="宋体" w:cs="宋体" w:eastAsia="宋体" w:hint="default"/>
                <w:sz w:val="18"/>
                <w:szCs w:val="18"/>
              </w:rPr>
              <w:t>年 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4" w:right="121"/>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6" w:right="10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45" w:right="14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1" w:right="149"/>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53" w:right="15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6,241,600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3,090,742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9,332,342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7,271,200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10,871,784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董事、副总经 </w:t>
            </w:r>
            <w:r>
              <w:rPr>
                <w:rFonts w:ascii="宋体" w:hAnsi="宋体" w:cs="宋体" w:eastAsia="宋体" w:hint="default"/>
                <w:spacing w:val="-11"/>
                <w:sz w:val="18"/>
                <w:szCs w:val="18"/>
              </w:rPr>
              <w:t>理、董事会秘书</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3,414,100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1,690,609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5,104,709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7"/>
                <w:sz w:val="18"/>
                <w:szCs w:val="18"/>
              </w:rPr>
              <w:t>、</w:t>
            </w:r>
            <w:r>
              <w:rPr>
                <w:rFonts w:ascii="宋体" w:hAnsi="宋体" w:cs="宋体" w:eastAsia="宋体" w:hint="default"/>
                <w:sz w:val="18"/>
                <w:szCs w:val="18"/>
              </w:rPr>
              <w:t>副总经理</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3,211,200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1,590,136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4,801,336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7"/>
                <w:sz w:val="18"/>
                <w:szCs w:val="18"/>
              </w:rPr>
              <w:t>、</w:t>
            </w:r>
            <w:r>
              <w:rPr>
                <w:rFonts w:ascii="宋体" w:hAnsi="宋体" w:cs="宋体" w:eastAsia="宋体" w:hint="default"/>
                <w:sz w:val="18"/>
                <w:szCs w:val="18"/>
              </w:rPr>
              <w:t>副总经理</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2,490,900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3,724,355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8,048,200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3,985,342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12,033,542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2017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06</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27</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2,027,900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1,004,184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3,032,084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pacing w:val="-3"/>
                <w:sz w:val="13"/>
                <w:szCs w:val="13"/>
              </w:rPr>
              <w:t>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2021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512,600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253,831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766,431</w:t>
            </w:r>
          </w:p>
        </w:tc>
      </w:tr>
      <w:tr>
        <w:trPr>
          <w:trHeight w:val="110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2,131,100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1,055,287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3,186,387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1399"/>
        <w:gridCol w:w="577"/>
        <w:gridCol w:w="470"/>
        <w:gridCol w:w="421"/>
        <w:gridCol w:w="797"/>
        <w:gridCol w:w="798"/>
        <w:gridCol w:w="944"/>
        <w:gridCol w:w="1022"/>
        <w:gridCol w:w="798"/>
        <w:gridCol w:w="672"/>
        <w:gridCol w:w="103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女</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2012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2015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男</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2015 </w:t>
            </w:r>
            <w:r>
              <w:rPr>
                <w:rFonts w:ascii="宋体" w:hAnsi="宋体" w:cs="宋体" w:eastAsia="宋体" w:hint="default"/>
                <w:sz w:val="13"/>
                <w:szCs w:val="13"/>
              </w:rPr>
              <w:t>年</w:t>
            </w:r>
            <w:r>
              <w:rPr>
                <w:rFonts w:ascii="宋体" w:hAnsi="宋体" w:cs="宋体" w:eastAsia="宋体" w:hint="default"/>
                <w:spacing w:val="-39"/>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38"/>
                <w:sz w:val="13"/>
                <w:szCs w:val="13"/>
              </w:rPr>
              <w:t> </w:t>
            </w:r>
            <w:r>
              <w:rPr>
                <w:rFonts w:ascii="Times New Roman" w:hAnsi="Times New Roman" w:cs="Times New Roman" w:eastAsia="Times New Roman" w:hint="default"/>
                <w:sz w:val="13"/>
                <w:szCs w:val="13"/>
              </w:rPr>
              <w:t>10</w:t>
            </w: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35,348,800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17,504,170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52,852,970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700"/>
        <w:gridCol w:w="401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新任董事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新任独立董事。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新任独立董事。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新任监事。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新任监事。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公司现任董事、监事、高级管理人员专业背景、主要工作经历以及目前在公司的主要职责</w:t>
      </w:r>
    </w:p>
    <w:p>
      <w:pPr>
        <w:spacing w:line="316" w:lineRule="auto" w:before="115"/>
        <w:ind w:left="536" w:right="1130" w:hanging="423"/>
        <w:jc w:val="left"/>
        <w:rPr>
          <w:rFonts w:ascii="宋体" w:hAnsi="宋体" w:cs="宋体" w:eastAsia="宋体" w:hint="default"/>
          <w:sz w:val="18"/>
          <w:szCs w:val="18"/>
        </w:rPr>
      </w:pPr>
      <w:r>
        <w:rPr>
          <w:rFonts w:ascii="宋体" w:hAnsi="宋体" w:cs="宋体" w:eastAsia="宋体" w:hint="default"/>
          <w:b/>
          <w:bCs/>
          <w:sz w:val="18"/>
          <w:szCs w:val="18"/>
        </w:rPr>
        <w:t>（一）公司现任董事简要情况</w:t>
      </w:r>
      <w:r>
        <w:rPr>
          <w:rFonts w:ascii="宋体" w:hAnsi="宋体" w:cs="宋体" w:eastAsia="宋体" w:hint="default"/>
          <w:b/>
          <w:bCs/>
          <w:w w:val="99"/>
          <w:sz w:val="18"/>
          <w:szCs w:val="18"/>
        </w:rPr>
        <w:t> </w:t>
      </w:r>
      <w:r>
        <w:rPr>
          <w:rFonts w:ascii="宋体" w:hAnsi="宋体" w:cs="宋体" w:eastAsia="宋体" w:hint="default"/>
          <w:b/>
          <w:bCs/>
          <w:spacing w:val="-4"/>
          <w:sz w:val="18"/>
          <w:szCs w:val="18"/>
        </w:rPr>
        <w:t>李铠</w:t>
      </w:r>
      <w:r>
        <w:rPr>
          <w:rFonts w:ascii="宋体" w:hAnsi="宋体" w:cs="宋体" w:eastAsia="宋体" w:hint="default"/>
          <w:spacing w:val="-4"/>
          <w:sz w:val="18"/>
          <w:szCs w:val="18"/>
        </w:rPr>
        <w:t>，男，</w:t>
      </w:r>
      <w:r>
        <w:rPr>
          <w:rFonts w:ascii="宋体" w:hAnsi="宋体" w:cs="宋体" w:eastAsia="宋体" w:hint="default"/>
          <w:spacing w:val="-4"/>
          <w:sz w:val="18"/>
          <w:szCs w:val="18"/>
        </w:rPr>
        <w:t>1967</w:t>
      </w:r>
      <w:r>
        <w:rPr>
          <w:rFonts w:ascii="宋体" w:hAnsi="宋体" w:cs="宋体" w:eastAsia="宋体" w:hint="default"/>
          <w:spacing w:val="-4"/>
          <w:sz w:val="18"/>
          <w:szCs w:val="18"/>
        </w:rPr>
        <w:t>年</w:t>
      </w:r>
      <w:r>
        <w:rPr>
          <w:rFonts w:ascii="宋体" w:hAnsi="宋体" w:cs="宋体" w:eastAsia="宋体" w:hint="default"/>
          <w:spacing w:val="-4"/>
          <w:sz w:val="18"/>
          <w:szCs w:val="18"/>
        </w:rPr>
        <w:t>11</w:t>
      </w:r>
      <w:r>
        <w:rPr>
          <w:rFonts w:ascii="宋体" w:hAnsi="宋体" w:cs="宋体" w:eastAsia="宋体" w:hint="default"/>
          <w:spacing w:val="-4"/>
          <w:sz w:val="18"/>
          <w:szCs w:val="18"/>
        </w:rPr>
        <w:t>月出生，中国籍，无境外永久居留权，毕业于首都经贸大学贸易经济专业，本科学历。</w:t>
      </w:r>
      <w:r>
        <w:rPr>
          <w:rFonts w:ascii="宋体" w:hAnsi="宋体" w:cs="宋体" w:eastAsia="宋体" w:hint="default"/>
          <w:spacing w:val="-4"/>
          <w:sz w:val="18"/>
          <w:szCs w:val="18"/>
        </w:rPr>
        <w:t>1991</w:t>
      </w:r>
      <w:r>
        <w:rPr>
          <w:rFonts w:ascii="宋体" w:hAnsi="宋体" w:cs="宋体" w:eastAsia="宋体" w:hint="default"/>
          <w:spacing w:val="-4"/>
          <w:sz w:val="18"/>
          <w:szCs w:val="18"/>
        </w:rPr>
        <w:t>年</w:t>
      </w:r>
      <w:r>
        <w:rPr>
          <w:rFonts w:ascii="宋体" w:hAnsi="宋体" w:cs="宋体" w:eastAsia="宋体" w:hint="default"/>
          <w:spacing w:val="-4"/>
          <w:sz w:val="18"/>
          <w:szCs w:val="18"/>
        </w:rPr>
        <w:t>-2000</w:t>
      </w:r>
    </w:p>
    <w:p>
      <w:pPr>
        <w:pStyle w:val="BodyText"/>
        <w:spacing w:line="316" w:lineRule="auto"/>
        <w:ind w:right="1131"/>
        <w:jc w:val="both"/>
      </w:pPr>
      <w:r>
        <w:rPr>
          <w:spacing w:val="-2"/>
        </w:rPr>
        <w:t>年，曾任北京南天信息工程有限公司总经理助理、总经理，负责公司日常管理工作，曾任云南南天电子信息产业股份有限公</w:t>
      </w:r>
      <w:r>
        <w:rPr>
          <w:spacing w:val="-65"/>
        </w:rPr>
        <w:t> </w:t>
      </w:r>
      <w:r>
        <w:rPr>
          <w:spacing w:val="-65"/>
        </w:rPr>
      </w:r>
      <w:r>
        <w:rPr>
          <w:spacing w:val="-2"/>
        </w:rPr>
        <w:t>司系统集成事业部大客户部总经理，负责市场开拓工作；</w:t>
      </w:r>
      <w:r>
        <w:rPr>
          <w:rFonts w:ascii="宋体" w:hAnsi="宋体" w:cs="宋体" w:eastAsia="宋体" w:hint="default"/>
          <w:spacing w:val="-2"/>
        </w:rPr>
        <w:t>2000</w:t>
      </w:r>
      <w:r>
        <w:rPr>
          <w:spacing w:val="-2"/>
        </w:rPr>
        <w:t>年入职先进数通有限，曾任公司副总经理、监事，现任公司董</w:t>
      </w:r>
      <w:r>
        <w:rPr>
          <w:spacing w:val="-62"/>
        </w:rPr>
        <w:t> </w:t>
      </w:r>
      <w:r>
        <w:rPr>
          <w:spacing w:val="-62"/>
        </w:rPr>
      </w:r>
      <w:r>
        <w:rPr/>
        <w:t>事长。李铠于金融信息化领域拥有</w:t>
      </w:r>
      <w:r>
        <w:rPr>
          <w:rFonts w:ascii="宋体" w:hAnsi="宋体" w:cs="宋体" w:eastAsia="宋体" w:hint="default"/>
        </w:rPr>
        <w:t>20</w:t>
      </w:r>
      <w:r>
        <w:rPr/>
        <w:t>余年的从业经验。</w:t>
      </w:r>
    </w:p>
    <w:p>
      <w:pPr>
        <w:pStyle w:val="BodyText"/>
        <w:spacing w:line="319" w:lineRule="auto"/>
        <w:ind w:right="1131" w:firstLine="422"/>
        <w:jc w:val="both"/>
      </w:pPr>
      <w:r>
        <w:rPr>
          <w:rFonts w:ascii="宋体" w:hAnsi="宋体" w:cs="宋体" w:eastAsia="宋体" w:hint="default"/>
          <w:b/>
          <w:bCs/>
          <w:spacing w:val="-2"/>
        </w:rPr>
        <w:t>林鸿</w:t>
      </w:r>
      <w:r>
        <w:rPr>
          <w:spacing w:val="-2"/>
        </w:rPr>
        <w:t>，男，</w:t>
      </w:r>
      <w:r>
        <w:rPr>
          <w:rFonts w:ascii="宋体" w:hAnsi="宋体" w:cs="宋体" w:eastAsia="宋体" w:hint="default"/>
          <w:spacing w:val="-2"/>
        </w:rPr>
        <w:t>1966</w:t>
      </w:r>
      <w:r>
        <w:rPr>
          <w:spacing w:val="-2"/>
        </w:rPr>
        <w:t>年</w:t>
      </w:r>
      <w:r>
        <w:rPr>
          <w:rFonts w:ascii="宋体" w:hAnsi="宋体" w:cs="宋体" w:eastAsia="宋体" w:hint="default"/>
          <w:spacing w:val="-2"/>
        </w:rPr>
        <w:t>4</w:t>
      </w:r>
      <w:r>
        <w:rPr>
          <w:spacing w:val="-2"/>
        </w:rPr>
        <w:t>月出生，中国籍，无境外永久居留权，毕业于航天部二院计算机软件专业，硕士研究生学历，高级</w:t>
      </w:r>
      <w:r>
        <w:rPr/>
        <w:t> 工程师，北京大学高级管理人员工商管理硕士。</w:t>
      </w:r>
      <w:r>
        <w:rPr>
          <w:rFonts w:ascii="宋体" w:hAnsi="宋体" w:cs="宋体" w:eastAsia="宋体" w:hint="default"/>
        </w:rPr>
        <w:t>1988-2000</w:t>
      </w:r>
      <w:r>
        <w:rPr/>
        <w:t>年，曾任北京南天信息工程有限公司项目经理、云南南天电子信</w:t>
      </w:r>
      <w:r>
        <w:rPr>
          <w:spacing w:val="-83"/>
        </w:rPr>
        <w:t> </w:t>
      </w:r>
      <w:r>
        <w:rPr>
          <w:spacing w:val="-83"/>
        </w:rPr>
      </w:r>
      <w:r>
        <w:rPr>
          <w:spacing w:val="-2"/>
        </w:rPr>
        <w:t>息产业股份有限公司系统集成事业部市场部总经理，负责市场开拓工作；</w:t>
      </w:r>
      <w:r>
        <w:rPr>
          <w:rFonts w:ascii="宋体" w:hAnsi="宋体" w:cs="宋体" w:eastAsia="宋体" w:hint="default"/>
          <w:spacing w:val="-2"/>
        </w:rPr>
        <w:t>2000</w:t>
      </w:r>
      <w:r>
        <w:rPr>
          <w:spacing w:val="-2"/>
        </w:rPr>
        <w:t>年入职先进数通有限，曾任公司执行董事、总</w:t>
      </w:r>
      <w:r>
        <w:rPr>
          <w:spacing w:val="-62"/>
        </w:rPr>
        <w:t> </w:t>
      </w:r>
      <w:r>
        <w:rPr>
          <w:spacing w:val="-62"/>
        </w:rPr>
      </w:r>
      <w:r>
        <w:rPr>
          <w:spacing w:val="-2"/>
        </w:rPr>
        <w:t>经理，负责公司日常管理工作；现任公司董事、总经理。林鸿于金融信息化领域拥有</w:t>
      </w:r>
      <w:r>
        <w:rPr>
          <w:rFonts w:ascii="宋体" w:hAnsi="宋体" w:cs="宋体" w:eastAsia="宋体" w:hint="default"/>
          <w:spacing w:val="-2"/>
        </w:rPr>
        <w:t>20</w:t>
      </w:r>
      <w:r>
        <w:rPr>
          <w:spacing w:val="-2"/>
        </w:rPr>
        <w:t>余年的从业经验，曾荣获中国金融科</w:t>
      </w:r>
      <w:r>
        <w:rPr>
          <w:spacing w:val="-64"/>
        </w:rPr>
        <w:t> </w:t>
      </w:r>
      <w:r>
        <w:rPr>
          <w:spacing w:val="-64"/>
        </w:rPr>
      </w:r>
      <w:r>
        <w:rPr>
          <w:spacing w:val="-2"/>
        </w:rPr>
        <w:t>技发展论坛“十大金融科技企业杰出人物”奖，所负责的项目曾荣获中国人民银行“金融科技进步一等奖”。</w:t>
      </w:r>
    </w:p>
    <w:p>
      <w:pPr>
        <w:pStyle w:val="BodyText"/>
        <w:spacing w:line="316" w:lineRule="auto" w:before="17"/>
        <w:ind w:right="1132" w:firstLine="422"/>
        <w:jc w:val="both"/>
      </w:pPr>
      <w:r>
        <w:rPr>
          <w:rFonts w:ascii="宋体" w:hAnsi="宋体" w:cs="宋体" w:eastAsia="宋体" w:hint="default"/>
          <w:b/>
          <w:bCs/>
          <w:spacing w:val="-2"/>
        </w:rPr>
        <w:t>朱胡勇</w:t>
      </w:r>
      <w:r>
        <w:rPr>
          <w:spacing w:val="-2"/>
        </w:rPr>
        <w:t>，男，</w:t>
      </w:r>
      <w:r>
        <w:rPr>
          <w:rFonts w:ascii="宋体" w:hAnsi="宋体" w:cs="宋体" w:eastAsia="宋体" w:hint="default"/>
          <w:spacing w:val="-2"/>
        </w:rPr>
        <w:t>1969</w:t>
      </w:r>
      <w:r>
        <w:rPr>
          <w:spacing w:val="-2"/>
        </w:rPr>
        <w:t>年</w:t>
      </w:r>
      <w:r>
        <w:rPr>
          <w:rFonts w:ascii="宋体" w:hAnsi="宋体" w:cs="宋体" w:eastAsia="宋体" w:hint="default"/>
          <w:spacing w:val="-2"/>
        </w:rPr>
        <w:t>6</w:t>
      </w:r>
      <w:r>
        <w:rPr>
          <w:spacing w:val="-2"/>
        </w:rPr>
        <w:t>月出生，中国籍，无境外永久居留权，毕业于清华大学电机及其控制专业，本科学历，高级工程</w:t>
      </w:r>
      <w:r>
        <w:rPr/>
        <w:t> 师。</w:t>
      </w:r>
      <w:r>
        <w:rPr>
          <w:rFonts w:ascii="宋体" w:hAnsi="宋体" w:cs="宋体" w:eastAsia="宋体" w:hint="default"/>
        </w:rPr>
        <w:t>1992</w:t>
      </w:r>
      <w:r>
        <w:rPr/>
        <w:t>年</w:t>
      </w:r>
      <w:r>
        <w:rPr>
          <w:rFonts w:ascii="宋体" w:hAnsi="宋体" w:cs="宋体" w:eastAsia="宋体" w:hint="default"/>
        </w:rPr>
        <w:t>-2000</w:t>
      </w:r>
      <w:r>
        <w:rPr/>
        <w:t>年，曾任北京南天信息工程有限公司软件开发部经理、云南南天电子信息产业股份有限公司系统集成事业</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042"/>
        <w:jc w:val="both"/>
      </w:pPr>
      <w:r>
        <w:rPr>
          <w:spacing w:val="-4"/>
        </w:rPr>
        <w:t>部应用集成部总经理，负责金融软件项目开发工作；</w:t>
      </w:r>
      <w:r>
        <w:rPr>
          <w:rFonts w:ascii="宋体" w:hAnsi="宋体" w:cs="宋体" w:eastAsia="宋体" w:hint="default"/>
          <w:spacing w:val="-4"/>
        </w:rPr>
        <w:t>2000</w:t>
      </w:r>
      <w:r>
        <w:rPr>
          <w:spacing w:val="-4"/>
        </w:rPr>
        <w:t>年入职先进数通有限，曾任公司副总经理、金融软件事业部总经理，</w:t>
      </w:r>
      <w:r>
        <w:rPr>
          <w:spacing w:val="-37"/>
        </w:rPr>
        <w:t> </w:t>
      </w:r>
      <w:r>
        <w:rPr>
          <w:spacing w:val="-37"/>
        </w:rPr>
      </w:r>
      <w:r>
        <w:rPr/>
        <w:t>负责公司金融软件业务工作；现任公司董事、副总经理、董事会秘书。</w:t>
      </w:r>
    </w:p>
    <w:p>
      <w:pPr>
        <w:pStyle w:val="BodyText"/>
        <w:spacing w:line="319" w:lineRule="auto"/>
        <w:ind w:right="1129" w:firstLine="422"/>
        <w:jc w:val="both"/>
      </w:pPr>
      <w:r>
        <w:rPr>
          <w:rFonts w:ascii="宋体" w:hAnsi="宋体" w:cs="宋体" w:eastAsia="宋体" w:hint="default"/>
          <w:b/>
          <w:bCs/>
        </w:rPr>
        <w:t>罗云波</w:t>
      </w:r>
      <w:r>
        <w:rPr/>
        <w:t>，女，</w:t>
      </w:r>
      <w:r>
        <w:rPr>
          <w:rFonts w:ascii="宋体" w:hAnsi="宋体" w:cs="宋体" w:eastAsia="宋体" w:hint="default"/>
        </w:rPr>
        <w:t>1964</w:t>
      </w:r>
      <w:r>
        <w:rPr/>
        <w:t>年</w:t>
      </w:r>
      <w:r>
        <w:rPr>
          <w:rFonts w:ascii="宋体" w:hAnsi="宋体" w:cs="宋体" w:eastAsia="宋体" w:hint="default"/>
        </w:rPr>
        <w:t>1</w:t>
      </w:r>
      <w:r>
        <w:rPr/>
        <w:t>月出生，中国籍，无境外永久居留权，毕业于云南大学数学专业，本科学历。</w:t>
      </w:r>
      <w:r>
        <w:rPr>
          <w:rFonts w:ascii="宋体" w:hAnsi="宋体" w:cs="宋体" w:eastAsia="宋体" w:hint="default"/>
        </w:rPr>
        <w:t>1984</w:t>
      </w:r>
      <w:r>
        <w:rPr/>
        <w:t>年</w:t>
      </w:r>
      <w:r>
        <w:rPr>
          <w:rFonts w:ascii="宋体" w:hAnsi="宋体" w:cs="宋体" w:eastAsia="宋体" w:hint="default"/>
        </w:rPr>
        <w:t>-2000</w:t>
      </w:r>
      <w:r>
        <w:rPr/>
        <w:t>年， </w:t>
      </w:r>
      <w:r>
        <w:rPr>
          <w:spacing w:val="-2"/>
        </w:rPr>
        <w:t>曾任北京南天信息工程有限公司银行部高级项目经理、培训部总经理、云南南天电子信息产业股份有限公司系统集成事业部</w:t>
      </w:r>
      <w:r>
        <w:rPr>
          <w:spacing w:val="-64"/>
        </w:rPr>
        <w:t> </w:t>
      </w:r>
      <w:r>
        <w:rPr>
          <w:spacing w:val="-64"/>
        </w:rPr>
      </w:r>
      <w:r>
        <w:rPr>
          <w:spacing w:val="-2"/>
        </w:rPr>
        <w:t>市场部行业总监，负责系统集成业务市场开拓工作；</w:t>
      </w:r>
      <w:r>
        <w:rPr>
          <w:rFonts w:ascii="宋体" w:hAnsi="宋体" w:cs="宋体" w:eastAsia="宋体" w:hint="default"/>
          <w:spacing w:val="-2"/>
        </w:rPr>
        <w:t>2000</w:t>
      </w:r>
      <w:r>
        <w:rPr>
          <w:spacing w:val="-2"/>
        </w:rPr>
        <w:t>年入职先进数通有限，曾任公司市场部总经理，负责公司市场开拓</w:t>
      </w:r>
      <w:r>
        <w:rPr>
          <w:spacing w:val="-61"/>
        </w:rPr>
        <w:t> </w:t>
      </w:r>
      <w:r>
        <w:rPr>
          <w:spacing w:val="-61"/>
        </w:rPr>
      </w:r>
      <w:r>
        <w:rPr>
          <w:spacing w:val="-5"/>
        </w:rPr>
        <w:t>工作；现任公司董事、常务副总经理。罗云波于金融信息化领域拥有超过</w:t>
      </w:r>
      <w:r>
        <w:rPr>
          <w:rFonts w:ascii="宋体" w:hAnsi="宋体" w:cs="宋体" w:eastAsia="宋体" w:hint="default"/>
          <w:spacing w:val="-5"/>
        </w:rPr>
        <w:t>30</w:t>
      </w:r>
      <w:r>
        <w:rPr>
          <w:spacing w:val="-5"/>
        </w:rPr>
        <w:t>年的从业经验，曾荣获中国金融科技发展论坛“十</w:t>
      </w:r>
      <w:r>
        <w:rPr>
          <w:spacing w:val="-74"/>
        </w:rPr>
        <w:t> </w:t>
      </w:r>
      <w:r>
        <w:rPr>
          <w:spacing w:val="-74"/>
        </w:rPr>
      </w:r>
      <w:r>
        <w:rPr/>
        <w:t>大金融科技企业杰出人物”奖。</w:t>
      </w:r>
    </w:p>
    <w:p>
      <w:pPr>
        <w:pStyle w:val="BodyText"/>
        <w:spacing w:line="316" w:lineRule="auto" w:before="17"/>
        <w:ind w:right="1130" w:firstLine="422"/>
        <w:jc w:val="both"/>
      </w:pPr>
      <w:r>
        <w:rPr>
          <w:rFonts w:ascii="宋体" w:hAnsi="宋体" w:cs="宋体" w:eastAsia="宋体" w:hint="default"/>
          <w:b/>
          <w:bCs/>
          <w:spacing w:val="-2"/>
        </w:rPr>
        <w:t>金麟</w:t>
      </w:r>
      <w:r>
        <w:rPr>
          <w:spacing w:val="-2"/>
        </w:rPr>
        <w:t>，男，</w:t>
      </w:r>
      <w:r>
        <w:rPr>
          <w:rFonts w:ascii="宋体" w:hAnsi="宋体" w:cs="宋体" w:eastAsia="宋体" w:hint="default"/>
          <w:spacing w:val="-2"/>
        </w:rPr>
        <w:t>1971</w:t>
      </w:r>
      <w:r>
        <w:rPr>
          <w:spacing w:val="-2"/>
        </w:rPr>
        <w:t>年</w:t>
      </w:r>
      <w:r>
        <w:rPr>
          <w:rFonts w:ascii="宋体" w:hAnsi="宋体" w:cs="宋体" w:eastAsia="宋体" w:hint="default"/>
          <w:spacing w:val="-2"/>
        </w:rPr>
        <w:t>7</w:t>
      </w:r>
      <w:r>
        <w:rPr>
          <w:spacing w:val="-2"/>
        </w:rPr>
        <w:t>月出生，中国籍，无境外永久居留权，毕业于云南工业大学计算机应用专业，本科学历，四川大学</w:t>
      </w:r>
      <w:r>
        <w:rPr/>
        <w:t> 工商管理硕士。</w:t>
      </w:r>
      <w:r>
        <w:rPr>
          <w:rFonts w:ascii="宋体" w:hAnsi="宋体" w:cs="宋体" w:eastAsia="宋体" w:hint="default"/>
        </w:rPr>
        <w:t>1992</w:t>
      </w:r>
      <w:r>
        <w:rPr/>
        <w:t>年</w:t>
      </w:r>
      <w:r>
        <w:rPr>
          <w:rFonts w:ascii="宋体" w:hAnsi="宋体" w:cs="宋体" w:eastAsia="宋体" w:hint="default"/>
        </w:rPr>
        <w:t>-2000</w:t>
      </w:r>
      <w:r>
        <w:rPr/>
        <w:t>年，曾任北京南天电脑系统有限公司工程师、昆明南天电脑系统有限公司总经理助理、云南南</w:t>
      </w:r>
      <w:r>
        <w:rPr>
          <w:spacing w:val="-84"/>
        </w:rPr>
        <w:t> </w:t>
      </w:r>
      <w:r>
        <w:rPr>
          <w:spacing w:val="-84"/>
        </w:rPr>
      </w:r>
      <w:r>
        <w:rPr>
          <w:spacing w:val="-2"/>
        </w:rPr>
        <w:t>天电子信息产业股份有限公司系统集成事业部西南区总经理，负责西南区系统集成业务；</w:t>
      </w:r>
      <w:r>
        <w:rPr>
          <w:rFonts w:ascii="宋体" w:hAnsi="宋体" w:cs="宋体" w:eastAsia="宋体" w:hint="default"/>
          <w:spacing w:val="-2"/>
        </w:rPr>
        <w:t>2000</w:t>
      </w:r>
      <w:r>
        <w:rPr>
          <w:spacing w:val="-2"/>
        </w:rPr>
        <w:t>年入职先进数通有限，曾任公</w:t>
      </w:r>
      <w:r>
        <w:rPr>
          <w:spacing w:val="-61"/>
        </w:rPr>
        <w:t> </w:t>
      </w:r>
      <w:r>
        <w:rPr>
          <w:spacing w:val="-61"/>
        </w:rPr>
      </w:r>
      <w:r>
        <w:rPr>
          <w:spacing w:val="-2"/>
        </w:rPr>
        <w:t>司市场部总监、企业数据整合部总经理，负责公司数据整合业务。现任公司董事、副总经理。金麟于金融信息化领域拥有</w:t>
      </w:r>
      <w:r>
        <w:rPr>
          <w:rFonts w:ascii="宋体" w:hAnsi="宋体" w:cs="宋体" w:eastAsia="宋体" w:hint="default"/>
          <w:spacing w:val="-2"/>
        </w:rPr>
        <w:t>20</w:t>
      </w:r>
      <w:r>
        <w:rPr>
          <w:rFonts w:ascii="宋体" w:hAnsi="宋体" w:cs="宋体" w:eastAsia="宋体" w:hint="default"/>
          <w:spacing w:val="-63"/>
        </w:rPr>
        <w:t> </w:t>
      </w:r>
      <w:r>
        <w:rPr/>
        <w:t>余年的从业经验。</w:t>
      </w:r>
    </w:p>
    <w:p>
      <w:pPr>
        <w:pStyle w:val="BodyText"/>
        <w:spacing w:line="316" w:lineRule="auto"/>
        <w:ind w:right="1129" w:firstLine="422"/>
        <w:jc w:val="both"/>
      </w:pPr>
      <w:r>
        <w:rPr>
          <w:rFonts w:ascii="宋体" w:hAnsi="宋体" w:cs="宋体" w:eastAsia="宋体" w:hint="default"/>
          <w:b/>
          <w:bCs/>
          <w:spacing w:val="-3"/>
        </w:rPr>
        <w:t>范丽明</w:t>
      </w:r>
      <w:r>
        <w:rPr>
          <w:spacing w:val="-3"/>
        </w:rPr>
        <w:t>，女，</w:t>
      </w:r>
      <w:r>
        <w:rPr>
          <w:rFonts w:ascii="宋体" w:hAnsi="宋体" w:cs="宋体" w:eastAsia="宋体" w:hint="default"/>
          <w:spacing w:val="-3"/>
        </w:rPr>
        <w:t>1949</w:t>
      </w:r>
      <w:r>
        <w:rPr>
          <w:spacing w:val="-3"/>
        </w:rPr>
        <w:t>年</w:t>
      </w:r>
      <w:r>
        <w:rPr>
          <w:rFonts w:ascii="宋体" w:hAnsi="宋体" w:cs="宋体" w:eastAsia="宋体" w:hint="default"/>
          <w:spacing w:val="-3"/>
        </w:rPr>
        <w:t>1</w:t>
      </w:r>
      <w:r>
        <w:rPr>
          <w:spacing w:val="-3"/>
        </w:rPr>
        <w:t>月出生，中国籍，无境外永久居留权，毕业于云南大学汉语言文学专业，本科学历。</w:t>
      </w:r>
      <w:r>
        <w:rPr>
          <w:rFonts w:ascii="宋体" w:hAnsi="宋体" w:cs="宋体" w:eastAsia="宋体" w:hint="default"/>
          <w:spacing w:val="-3"/>
        </w:rPr>
        <w:t>1986</w:t>
      </w:r>
      <w:r>
        <w:rPr>
          <w:spacing w:val="-3"/>
        </w:rPr>
        <w:t>年</w:t>
      </w:r>
      <w:r>
        <w:rPr>
          <w:rFonts w:ascii="宋体" w:hAnsi="宋体" w:cs="宋体" w:eastAsia="宋体" w:hint="default"/>
          <w:spacing w:val="-3"/>
        </w:rPr>
        <w:t>-2000</w:t>
      </w:r>
      <w:r>
        <w:rPr>
          <w:rFonts w:ascii="宋体" w:hAnsi="宋体" w:cs="宋体" w:eastAsia="宋体" w:hint="default"/>
        </w:rPr>
        <w:t> </w:t>
      </w:r>
      <w:r>
        <w:rPr>
          <w:spacing w:val="-2"/>
        </w:rPr>
        <w:t>年，曾任南天电子信息产业集团公司董事、副总裁、北京南天信息工程有限公司总经理、云南南天电子信息产业股份有限公</w:t>
      </w:r>
      <w:r>
        <w:rPr>
          <w:spacing w:val="-66"/>
        </w:rPr>
        <w:t> </w:t>
      </w:r>
      <w:r>
        <w:rPr>
          <w:spacing w:val="-66"/>
        </w:rPr>
      </w:r>
      <w:r>
        <w:rPr>
          <w:spacing w:val="-2"/>
        </w:rPr>
        <w:t>司董事、副总裁兼系统集成事业部总经理，负责系统集成业务和公司日常管理工作；</w:t>
      </w:r>
      <w:r>
        <w:rPr>
          <w:rFonts w:ascii="宋体" w:hAnsi="宋体" w:cs="宋体" w:eastAsia="宋体" w:hint="default"/>
          <w:spacing w:val="-2"/>
        </w:rPr>
        <w:t>2000</w:t>
      </w:r>
      <w:r>
        <w:rPr>
          <w:spacing w:val="-2"/>
        </w:rPr>
        <w:t>年入职先进数通有限，曾任公司首</w:t>
      </w:r>
      <w:r>
        <w:rPr>
          <w:spacing w:val="-61"/>
        </w:rPr>
        <w:t> </w:t>
      </w:r>
      <w:r>
        <w:rPr>
          <w:spacing w:val="-61"/>
        </w:rPr>
      </w:r>
      <w:r>
        <w:rPr/>
        <w:t>席执行官；现任公司董事。范丽明于金融信息化领域拥有超过</w:t>
      </w:r>
      <w:r>
        <w:rPr>
          <w:rFonts w:ascii="宋体" w:hAnsi="宋体" w:cs="宋体" w:eastAsia="宋体" w:hint="default"/>
        </w:rPr>
        <w:t>30</w:t>
      </w:r>
      <w:r>
        <w:rPr/>
        <w:t>年的从业经验。</w:t>
      </w:r>
    </w:p>
    <w:p>
      <w:pPr>
        <w:pStyle w:val="BodyText"/>
        <w:spacing w:line="316" w:lineRule="auto"/>
        <w:ind w:right="1026" w:firstLine="422"/>
        <w:jc w:val="left"/>
      </w:pPr>
      <w:r>
        <w:rPr>
          <w:rFonts w:ascii="宋体" w:hAnsi="宋体" w:cs="宋体" w:eastAsia="宋体" w:hint="default"/>
          <w:b/>
          <w:bCs/>
        </w:rPr>
        <w:t>苏文力</w:t>
      </w:r>
      <w:r>
        <w:rPr/>
        <w:t>，男，</w:t>
      </w:r>
      <w:r>
        <w:rPr>
          <w:rFonts w:ascii="宋体" w:hAnsi="宋体" w:cs="宋体" w:eastAsia="宋体" w:hint="default"/>
        </w:rPr>
        <w:t>1962</w:t>
      </w:r>
      <w:r>
        <w:rPr/>
        <w:t>年</w:t>
      </w:r>
      <w:r>
        <w:rPr>
          <w:rFonts w:ascii="宋体" w:hAnsi="宋体" w:cs="宋体" w:eastAsia="宋体" w:hint="default"/>
        </w:rPr>
        <w:t>9</w:t>
      </w:r>
      <w:r>
        <w:rPr/>
        <w:t>月出生，中国籍，无境外永久居留权，毕业于北京计算机学院，哈尔滨工业大学在职硕士。</w:t>
      </w:r>
      <w:r>
        <w:rPr>
          <w:rFonts w:ascii="宋体" w:hAnsi="宋体" w:cs="宋体" w:eastAsia="宋体" w:hint="default"/>
        </w:rPr>
        <w:t>1984 </w:t>
      </w:r>
      <w:r>
        <w:rPr>
          <w:spacing w:val="-2"/>
        </w:rPr>
        <w:t>年至</w:t>
      </w:r>
      <w:r>
        <w:rPr>
          <w:rFonts w:ascii="宋体" w:hAnsi="宋体" w:cs="宋体" w:eastAsia="宋体" w:hint="default"/>
          <w:spacing w:val="-2"/>
        </w:rPr>
        <w:t>2012</w:t>
      </w:r>
      <w:r>
        <w:rPr>
          <w:spacing w:val="-2"/>
        </w:rPr>
        <w:t>年就职于中国工商银行股份有限公司，担任部门总经理，负责</w:t>
      </w:r>
      <w:r>
        <w:rPr>
          <w:rFonts w:ascii="宋体" w:hAnsi="宋体" w:cs="宋体" w:eastAsia="宋体" w:hint="default"/>
          <w:spacing w:val="-2"/>
        </w:rPr>
        <w:t>IT</w:t>
      </w:r>
      <w:r>
        <w:rPr>
          <w:spacing w:val="-2"/>
        </w:rPr>
        <w:t>开发、产品创新管理工作。</w:t>
      </w:r>
      <w:r>
        <w:rPr>
          <w:rFonts w:ascii="宋体" w:hAnsi="宋体" w:cs="宋体" w:eastAsia="宋体" w:hint="default"/>
          <w:spacing w:val="-2"/>
        </w:rPr>
        <w:t>2012</w:t>
      </w:r>
      <w:r>
        <w:rPr>
          <w:spacing w:val="-2"/>
        </w:rPr>
        <w:t>至今，就职于阳光</w:t>
      </w:r>
      <w:r>
        <w:rPr>
          <w:spacing w:val="-56"/>
        </w:rPr>
        <w:t> </w:t>
      </w:r>
      <w:r>
        <w:rPr>
          <w:spacing w:val="-56"/>
        </w:rPr>
      </w:r>
      <w:r>
        <w:rPr>
          <w:spacing w:val="-3"/>
        </w:rPr>
        <w:t>保险集团股份有限公司，担任总裁助理，分管创新、</w:t>
      </w:r>
      <w:r>
        <w:rPr>
          <w:rFonts w:ascii="宋体" w:hAnsi="宋体" w:cs="宋体" w:eastAsia="宋体" w:hint="default"/>
          <w:spacing w:val="-3"/>
        </w:rPr>
        <w:t>IT</w:t>
      </w:r>
      <w:r>
        <w:rPr>
          <w:spacing w:val="-3"/>
        </w:rPr>
        <w:t>、大数据工作；</w:t>
      </w:r>
      <w:r>
        <w:rPr>
          <w:rFonts w:ascii="宋体" w:hAnsi="宋体" w:cs="宋体" w:eastAsia="宋体" w:hint="default"/>
          <w:spacing w:val="-3"/>
        </w:rPr>
        <w:t>2014</w:t>
      </w:r>
      <w:r>
        <w:rPr>
          <w:spacing w:val="-3"/>
        </w:rPr>
        <w:t>年开始担任金生无忧信息技术有限责任公司董事；</w:t>
      </w:r>
      <w:r>
        <w:rPr/>
        <w:t> </w:t>
      </w:r>
      <w:r>
        <w:rPr>
          <w:rFonts w:ascii="宋体" w:hAnsi="宋体" w:cs="宋体" w:eastAsia="宋体" w:hint="default"/>
        </w:rPr>
        <w:t>2016</w:t>
      </w:r>
      <w:r>
        <w:rPr/>
        <w:t>年至今还担任航天信息股份有限公司独立董事。</w:t>
      </w:r>
      <w:r>
        <w:rPr>
          <w:rFonts w:ascii="宋体" w:hAnsi="宋体" w:cs="宋体" w:eastAsia="宋体" w:hint="default"/>
        </w:rPr>
        <w:t>2017</w:t>
      </w:r>
      <w:r>
        <w:rPr/>
        <w:t>年</w:t>
      </w:r>
      <w:r>
        <w:rPr>
          <w:rFonts w:ascii="宋体" w:hAnsi="宋体" w:cs="宋体" w:eastAsia="宋体" w:hint="default"/>
        </w:rPr>
        <w:t>6</w:t>
      </w:r>
      <w:r>
        <w:rPr/>
        <w:t>月起，担任本公司独立董事。</w:t>
      </w:r>
    </w:p>
    <w:p>
      <w:pPr>
        <w:pStyle w:val="BodyText"/>
        <w:spacing w:line="319" w:lineRule="auto"/>
        <w:ind w:right="1042" w:firstLine="422"/>
        <w:jc w:val="left"/>
      </w:pPr>
      <w:r>
        <w:rPr>
          <w:rFonts w:ascii="宋体" w:hAnsi="宋体" w:cs="宋体" w:eastAsia="宋体" w:hint="default"/>
          <w:b/>
          <w:bCs/>
        </w:rPr>
        <w:t>蔡瑾</w:t>
      </w:r>
      <w:r>
        <w:rPr/>
        <w:t>，女，</w:t>
      </w:r>
      <w:r>
        <w:rPr>
          <w:rFonts w:ascii="宋体" w:hAnsi="宋体" w:cs="宋体" w:eastAsia="宋体" w:hint="default"/>
        </w:rPr>
        <w:t>1962</w:t>
      </w:r>
      <w:r>
        <w:rPr/>
        <w:t>年</w:t>
      </w:r>
      <w:r>
        <w:rPr>
          <w:rFonts w:ascii="宋体" w:hAnsi="宋体" w:cs="宋体" w:eastAsia="宋体" w:hint="default"/>
        </w:rPr>
        <w:t>10</w:t>
      </w:r>
      <w:r>
        <w:rPr/>
        <w:t>月出生，中国籍，无境外永久居留权，毕业于中国银行职工大学国际金融专业，大学专科学历， </w:t>
      </w:r>
      <w:r>
        <w:rPr>
          <w:spacing w:val="-2"/>
        </w:rPr>
        <w:t>高级经济师，资深银行业务专家。</w:t>
      </w:r>
      <w:r>
        <w:rPr>
          <w:rFonts w:ascii="宋体" w:hAnsi="宋体" w:cs="宋体" w:eastAsia="宋体" w:hint="default"/>
          <w:spacing w:val="-2"/>
        </w:rPr>
        <w:t>1981</w:t>
      </w:r>
      <w:r>
        <w:rPr>
          <w:spacing w:val="-2"/>
        </w:rPr>
        <w:t>年</w:t>
      </w:r>
      <w:r>
        <w:rPr>
          <w:rFonts w:ascii="宋体" w:hAnsi="宋体" w:cs="宋体" w:eastAsia="宋体" w:hint="default"/>
          <w:spacing w:val="-2"/>
        </w:rPr>
        <w:t>-2017</w:t>
      </w:r>
      <w:r>
        <w:rPr>
          <w:spacing w:val="-2"/>
        </w:rPr>
        <w:t>年就职于中国银行总行，分别在信息科技部、资产负债管理部、管理信息部、</w:t>
      </w:r>
      <w:r>
        <w:rPr>
          <w:spacing w:val="-56"/>
        </w:rPr>
        <w:t> </w:t>
      </w:r>
      <w:r>
        <w:rPr>
          <w:spacing w:val="-56"/>
        </w:rPr>
      </w:r>
      <w:r>
        <w:rPr>
          <w:spacing w:val="-4"/>
        </w:rPr>
        <w:t>会计信息部等部门工作并任职，参与多项金融监管统计政策法规的制定和解读，擅长管理信息应用领域需求分析和项目实施，</w:t>
      </w:r>
      <w:r>
        <w:rPr>
          <w:spacing w:val="-44"/>
        </w:rPr>
        <w:t> </w:t>
      </w:r>
      <w:r>
        <w:rPr>
          <w:spacing w:val="-44"/>
        </w:rPr>
      </w:r>
      <w:r>
        <w:rPr>
          <w:spacing w:val="-2"/>
        </w:rPr>
        <w:t>所主持参与的项目曾二次荣获中国人民银行科技进步三等奖，在监管统计和管理信息应用系统建设领域拥有超过</w:t>
      </w:r>
      <w:r>
        <w:rPr>
          <w:rFonts w:ascii="宋体" w:hAnsi="宋体" w:cs="宋体" w:eastAsia="宋体" w:hint="default"/>
          <w:spacing w:val="-2"/>
        </w:rPr>
        <w:t>30</w:t>
      </w:r>
      <w:r>
        <w:rPr>
          <w:spacing w:val="-2"/>
        </w:rPr>
        <w:t>多年的从</w:t>
      </w:r>
      <w:r>
        <w:rPr>
          <w:spacing w:val="-61"/>
        </w:rPr>
        <w:t> </w:t>
      </w:r>
      <w:r>
        <w:rPr/>
        <w:t>业经验。</w:t>
      </w:r>
      <w:r>
        <w:rPr>
          <w:rFonts w:ascii="宋体" w:hAnsi="宋体" w:cs="宋体" w:eastAsia="宋体" w:hint="default"/>
        </w:rPr>
        <w:t>2018</w:t>
      </w:r>
      <w:r>
        <w:rPr/>
        <w:t>年</w:t>
      </w:r>
      <w:r>
        <w:rPr>
          <w:rFonts w:ascii="宋体" w:hAnsi="宋体" w:cs="宋体" w:eastAsia="宋体" w:hint="default"/>
        </w:rPr>
        <w:t>10</w:t>
      </w:r>
      <w:r>
        <w:rPr/>
        <w:t>月起，担任本公司独立董事。</w:t>
      </w:r>
    </w:p>
    <w:p>
      <w:pPr>
        <w:pStyle w:val="BodyText"/>
        <w:spacing w:line="316" w:lineRule="auto" w:before="17"/>
        <w:ind w:right="1029" w:firstLine="422"/>
        <w:jc w:val="left"/>
      </w:pPr>
      <w:r>
        <w:rPr>
          <w:rFonts w:ascii="宋体" w:hAnsi="宋体" w:cs="宋体" w:eastAsia="宋体" w:hint="default"/>
          <w:b/>
          <w:bCs/>
        </w:rPr>
        <w:t>肖红英</w:t>
      </w:r>
      <w:r>
        <w:rPr/>
        <w:t>，女，</w:t>
      </w:r>
      <w:r>
        <w:rPr>
          <w:rFonts w:ascii="宋体" w:hAnsi="宋体" w:cs="宋体" w:eastAsia="宋体" w:hint="default"/>
        </w:rPr>
        <w:t>1953</w:t>
      </w:r>
      <w:r>
        <w:rPr/>
        <w:t>年</w:t>
      </w:r>
      <w:r>
        <w:rPr>
          <w:rFonts w:ascii="宋体" w:hAnsi="宋体" w:cs="宋体" w:eastAsia="宋体" w:hint="default"/>
        </w:rPr>
        <w:t>2</w:t>
      </w:r>
      <w:r>
        <w:rPr/>
        <w:t>月出生，中国国籍，无境外永久居留权。毕业于对外经济贸易大学工商管理专业，硕士研究生学 历。高级会计师。</w:t>
      </w:r>
      <w:r>
        <w:rPr>
          <w:rFonts w:ascii="宋体" w:hAnsi="宋体" w:cs="宋体" w:eastAsia="宋体" w:hint="default"/>
        </w:rPr>
        <w:t>1982</w:t>
      </w:r>
      <w:r>
        <w:rPr/>
        <w:t>年—</w:t>
      </w:r>
      <w:r>
        <w:rPr>
          <w:rFonts w:ascii="宋体" w:hAnsi="宋体" w:cs="宋体" w:eastAsia="宋体" w:hint="default"/>
        </w:rPr>
        <w:t>1988</w:t>
      </w:r>
      <w:r>
        <w:rPr/>
        <w:t>年在对外经济贸易部（现商务部）财务司、审计局工作，曾任副处长职务；</w:t>
      </w:r>
      <w:r>
        <w:rPr>
          <w:rFonts w:ascii="宋体" w:hAnsi="宋体" w:cs="宋体" w:eastAsia="宋体" w:hint="default"/>
        </w:rPr>
        <w:t>1988</w:t>
      </w:r>
      <w:r>
        <w:rPr/>
        <w:t>年—</w:t>
      </w:r>
      <w:r>
        <w:rPr>
          <w:rFonts w:ascii="宋体" w:hAnsi="宋体" w:cs="宋体" w:eastAsia="宋体" w:hint="default"/>
        </w:rPr>
        <w:t>2014</w:t>
      </w:r>
      <w:r>
        <w:rPr>
          <w:rFonts w:ascii="宋体" w:hAnsi="宋体" w:cs="宋体" w:eastAsia="宋体" w:hint="default"/>
          <w:spacing w:val="-2"/>
        </w:rPr>
        <w:t> </w:t>
      </w:r>
      <w:r>
        <w:rPr>
          <w:rFonts w:ascii="宋体" w:hAnsi="宋体" w:cs="宋体" w:eastAsia="宋体" w:hint="default"/>
          <w:spacing w:val="-2"/>
        </w:rPr>
      </w:r>
      <w:r>
        <w:rPr>
          <w:spacing w:val="-3"/>
        </w:rPr>
        <w:t>年在中国丝绸进出口总公司（现中国中丝集团公司）工作，曾任副处长、处长、总会计师职务，</w:t>
      </w:r>
      <w:r>
        <w:rPr>
          <w:rFonts w:ascii="宋体" w:hAnsi="宋体" w:cs="宋体" w:eastAsia="宋体" w:hint="default"/>
          <w:spacing w:val="-3"/>
        </w:rPr>
        <w:t>2014</w:t>
      </w:r>
      <w:r>
        <w:rPr>
          <w:spacing w:val="-3"/>
        </w:rPr>
        <w:t>年退休。</w:t>
      </w:r>
      <w:r>
        <w:rPr>
          <w:rFonts w:ascii="宋体" w:hAnsi="宋体" w:cs="宋体" w:eastAsia="宋体" w:hint="default"/>
          <w:spacing w:val="-3"/>
        </w:rPr>
        <w:t>2015</w:t>
      </w:r>
      <w:r>
        <w:rPr>
          <w:spacing w:val="-3"/>
        </w:rPr>
        <w:t>年至今任：</w:t>
      </w:r>
      <w:r>
        <w:rPr/>
        <w:t> </w:t>
      </w:r>
      <w:r>
        <w:rPr>
          <w:spacing w:val="-4"/>
        </w:rPr>
        <w:t>佳通轮胎股份有限公司、永贵电器股份有限公司、青岛中资中程集团股份有限公司独立董事；</w:t>
      </w:r>
      <w:r>
        <w:rPr>
          <w:rFonts w:ascii="宋体" w:hAnsi="宋体" w:cs="宋体" w:eastAsia="宋体" w:hint="default"/>
          <w:spacing w:val="-4"/>
        </w:rPr>
        <w:t>2016</w:t>
      </w:r>
      <w:r>
        <w:rPr>
          <w:spacing w:val="-4"/>
        </w:rPr>
        <w:t>年至今任创业黑马（北京）</w:t>
      </w:r>
      <w:r>
        <w:rPr>
          <w:spacing w:val="-36"/>
        </w:rPr>
        <w:t> </w:t>
      </w:r>
      <w:r>
        <w:rPr>
          <w:spacing w:val="-36"/>
        </w:rPr>
      </w:r>
      <w:r>
        <w:rPr/>
        <w:t>科技股份有限公司独立董事。</w:t>
      </w:r>
      <w:r>
        <w:rPr>
          <w:rFonts w:ascii="宋体" w:hAnsi="宋体" w:cs="宋体" w:eastAsia="宋体" w:hint="default"/>
        </w:rPr>
        <w:t>2018</w:t>
      </w:r>
      <w:r>
        <w:rPr/>
        <w:t>年</w:t>
      </w:r>
      <w:r>
        <w:rPr>
          <w:rFonts w:ascii="宋体" w:hAnsi="宋体" w:cs="宋体" w:eastAsia="宋体" w:hint="default"/>
        </w:rPr>
        <w:t>10</w:t>
      </w:r>
      <w:r>
        <w:rPr/>
        <w:t>月起，担任本公司独立董事。</w:t>
      </w:r>
    </w:p>
    <w:p>
      <w:pPr>
        <w:spacing w:line="316" w:lineRule="auto" w:before="19"/>
        <w:ind w:left="536" w:right="1132" w:hanging="423"/>
        <w:jc w:val="left"/>
        <w:rPr>
          <w:rFonts w:ascii="宋体" w:hAnsi="宋体" w:cs="宋体" w:eastAsia="宋体" w:hint="default"/>
          <w:sz w:val="18"/>
          <w:szCs w:val="18"/>
        </w:rPr>
      </w:pPr>
      <w:r>
        <w:rPr>
          <w:rFonts w:ascii="宋体" w:hAnsi="宋体" w:cs="宋体" w:eastAsia="宋体" w:hint="default"/>
          <w:b/>
          <w:bCs/>
          <w:sz w:val="18"/>
          <w:szCs w:val="18"/>
        </w:rPr>
        <w:t>（二）公司现任监事简要情况</w:t>
      </w:r>
      <w:r>
        <w:rPr>
          <w:rFonts w:ascii="宋体" w:hAnsi="宋体" w:cs="宋体" w:eastAsia="宋体" w:hint="default"/>
          <w:b/>
          <w:bCs/>
          <w:w w:val="99"/>
          <w:sz w:val="18"/>
          <w:szCs w:val="18"/>
        </w:rPr>
        <w:t> </w:t>
      </w:r>
      <w:r>
        <w:rPr>
          <w:rFonts w:ascii="宋体" w:hAnsi="宋体" w:cs="宋体" w:eastAsia="宋体" w:hint="default"/>
          <w:b/>
          <w:bCs/>
          <w:spacing w:val="-1"/>
          <w:sz w:val="18"/>
          <w:szCs w:val="18"/>
        </w:rPr>
        <w:t>杨格平</w:t>
      </w:r>
      <w:r>
        <w:rPr>
          <w:rFonts w:ascii="宋体" w:hAnsi="宋体" w:cs="宋体" w:eastAsia="宋体" w:hint="default"/>
          <w:spacing w:val="-1"/>
          <w:sz w:val="18"/>
          <w:szCs w:val="18"/>
        </w:rPr>
        <w:t>，男，</w:t>
      </w:r>
      <w:r>
        <w:rPr>
          <w:rFonts w:ascii="宋体" w:hAnsi="宋体" w:cs="宋体" w:eastAsia="宋体" w:hint="default"/>
          <w:spacing w:val="-1"/>
          <w:sz w:val="18"/>
          <w:szCs w:val="18"/>
        </w:rPr>
        <w:t>1961</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月出生，中国籍，无境外永久居留权，毕业于云南大学计算数学专业，本科学历。</w:t>
      </w:r>
      <w:r>
        <w:rPr>
          <w:rFonts w:ascii="宋体" w:hAnsi="宋体" w:cs="宋体" w:eastAsia="宋体" w:hint="default"/>
          <w:spacing w:val="-1"/>
          <w:sz w:val="18"/>
          <w:szCs w:val="18"/>
        </w:rPr>
        <w:t>1983</w:t>
      </w:r>
      <w:r>
        <w:rPr>
          <w:rFonts w:ascii="宋体" w:hAnsi="宋体" w:cs="宋体" w:eastAsia="宋体" w:hint="default"/>
          <w:spacing w:val="-1"/>
          <w:sz w:val="18"/>
          <w:szCs w:val="18"/>
        </w:rPr>
        <w:t>年</w:t>
      </w:r>
      <w:r>
        <w:rPr>
          <w:rFonts w:ascii="宋体" w:hAnsi="宋体" w:cs="宋体" w:eastAsia="宋体" w:hint="default"/>
          <w:spacing w:val="-1"/>
          <w:sz w:val="18"/>
          <w:szCs w:val="18"/>
        </w:rPr>
        <w:t>-2000</w:t>
      </w:r>
    </w:p>
    <w:p>
      <w:pPr>
        <w:pStyle w:val="BodyText"/>
        <w:spacing w:line="316" w:lineRule="auto"/>
        <w:ind w:right="1132"/>
        <w:jc w:val="both"/>
      </w:pPr>
      <w:r>
        <w:rPr>
          <w:spacing w:val="-2"/>
        </w:rPr>
        <w:t>年，曾任南天电子信息产业集团公司业务经理、北京南天信息工程有限公司业务经理、云南南天电子信息产业股份有限公司</w:t>
      </w:r>
      <w:r>
        <w:rPr>
          <w:spacing w:val="-66"/>
        </w:rPr>
        <w:t> </w:t>
      </w:r>
      <w:r>
        <w:rPr>
          <w:spacing w:val="-66"/>
        </w:rPr>
      </w:r>
      <w:r>
        <w:rPr>
          <w:spacing w:val="-2"/>
        </w:rPr>
        <w:t>高级业务经理，负责市场开拓工作；</w:t>
      </w:r>
      <w:r>
        <w:rPr>
          <w:rFonts w:ascii="宋体" w:hAnsi="宋体" w:cs="宋体" w:eastAsia="宋体" w:hint="default"/>
          <w:spacing w:val="-2"/>
        </w:rPr>
        <w:t>2000</w:t>
      </w:r>
      <w:r>
        <w:rPr>
          <w:spacing w:val="-2"/>
        </w:rPr>
        <w:t>年入职先进数通有限，曾任公司北方区市场部总经理、商务部总经理，负责市场开</w:t>
      </w:r>
      <w:r>
        <w:rPr>
          <w:spacing w:val="-62"/>
        </w:rPr>
        <w:t> </w:t>
      </w:r>
      <w:r>
        <w:rPr>
          <w:spacing w:val="-62"/>
        </w:rPr>
      </w:r>
      <w:r>
        <w:rPr/>
        <w:t>拓、商务工作；现任公司监事会主席、商务部总经理。杨格平于金融信息化领域具有</w:t>
      </w:r>
      <w:r>
        <w:rPr>
          <w:rFonts w:ascii="宋体" w:hAnsi="宋体" w:cs="宋体" w:eastAsia="宋体" w:hint="default"/>
        </w:rPr>
        <w:t>30</w:t>
      </w:r>
      <w:r>
        <w:rPr/>
        <w:t>余年的从业经验。</w:t>
      </w:r>
    </w:p>
    <w:p>
      <w:pPr>
        <w:pStyle w:val="BodyText"/>
        <w:spacing w:line="316" w:lineRule="auto"/>
        <w:ind w:right="0" w:firstLine="422"/>
        <w:jc w:val="left"/>
      </w:pPr>
      <w:r>
        <w:rPr>
          <w:rFonts w:ascii="宋体" w:hAnsi="宋体" w:cs="宋体" w:eastAsia="宋体" w:hint="default"/>
          <w:b/>
          <w:bCs/>
          <w:spacing w:val="-5"/>
        </w:rPr>
        <w:t>李显</w:t>
      </w:r>
      <w:r>
        <w:rPr>
          <w:spacing w:val="-5"/>
        </w:rPr>
        <w:t>，男，</w:t>
      </w:r>
      <w:r>
        <w:rPr>
          <w:rFonts w:ascii="宋体" w:hAnsi="宋体" w:cs="宋体" w:eastAsia="宋体" w:hint="default"/>
          <w:spacing w:val="-5"/>
        </w:rPr>
        <w:t>1987</w:t>
      </w:r>
      <w:r>
        <w:rPr>
          <w:spacing w:val="-5"/>
        </w:rPr>
        <w:t>年</w:t>
      </w:r>
      <w:r>
        <w:rPr>
          <w:rFonts w:ascii="宋体" w:hAnsi="宋体" w:cs="宋体" w:eastAsia="宋体" w:hint="default"/>
          <w:spacing w:val="-5"/>
        </w:rPr>
        <w:t>8</w:t>
      </w:r>
      <w:r>
        <w:rPr>
          <w:spacing w:val="-5"/>
        </w:rPr>
        <w:t>月出生，中国籍，无境外永久居留权，毕业于湖北工业大学计算机科学与技术专业，本科学历。</w:t>
      </w:r>
      <w:r>
        <w:rPr>
          <w:rFonts w:ascii="宋体" w:hAnsi="宋体" w:cs="宋体" w:eastAsia="宋体" w:hint="default"/>
          <w:spacing w:val="-5"/>
        </w:rPr>
        <w:t>2013</w:t>
      </w:r>
      <w:r>
        <w:rPr>
          <w:rFonts w:ascii="宋体" w:hAnsi="宋体" w:cs="宋体" w:eastAsia="宋体" w:hint="default"/>
        </w:rPr>
        <w:t> </w:t>
      </w:r>
      <w:r>
        <w:rPr/>
        <w:t>年起就职于本公司，现任公司</w:t>
      </w:r>
      <w:r>
        <w:rPr>
          <w:rFonts w:ascii="宋体" w:hAnsi="宋体" w:cs="宋体" w:eastAsia="宋体" w:hint="default"/>
        </w:rPr>
        <w:t>IT</w:t>
      </w:r>
      <w:r>
        <w:rPr/>
        <w:t>专员，负责公司</w:t>
      </w:r>
      <w:r>
        <w:rPr>
          <w:rFonts w:ascii="宋体" w:hAnsi="宋体" w:cs="宋体" w:eastAsia="宋体" w:hint="default"/>
        </w:rPr>
        <w:t>IT</w:t>
      </w:r>
      <w:r>
        <w:rPr/>
        <w:t>应用系统的运维工作。</w:t>
      </w:r>
    </w:p>
    <w:p>
      <w:pPr>
        <w:pStyle w:val="BodyText"/>
        <w:spacing w:line="316" w:lineRule="auto"/>
        <w:ind w:right="0" w:firstLine="422"/>
        <w:jc w:val="left"/>
      </w:pPr>
      <w:r>
        <w:rPr>
          <w:rFonts w:ascii="宋体" w:hAnsi="宋体" w:cs="宋体" w:eastAsia="宋体" w:hint="default"/>
          <w:b/>
          <w:bCs/>
          <w:spacing w:val="-2"/>
        </w:rPr>
        <w:t>马明丽</w:t>
      </w:r>
      <w:r>
        <w:rPr>
          <w:spacing w:val="-2"/>
        </w:rPr>
        <w:t>，女，</w:t>
      </w:r>
      <w:r>
        <w:rPr>
          <w:rFonts w:ascii="宋体" w:hAnsi="宋体" w:cs="宋体" w:eastAsia="宋体" w:hint="default"/>
          <w:spacing w:val="-2"/>
        </w:rPr>
        <w:t>1982</w:t>
      </w:r>
      <w:r>
        <w:rPr>
          <w:spacing w:val="-2"/>
        </w:rPr>
        <w:t>年</w:t>
      </w:r>
      <w:r>
        <w:rPr>
          <w:rFonts w:ascii="宋体" w:hAnsi="宋体" w:cs="宋体" w:eastAsia="宋体" w:hint="default"/>
          <w:spacing w:val="-2"/>
        </w:rPr>
        <w:t>9</w:t>
      </w:r>
      <w:r>
        <w:rPr>
          <w:spacing w:val="-2"/>
        </w:rPr>
        <w:t>月出生，中国籍，无境外永久居留权，毕业于江南大学行政管理专业，大专学历。</w:t>
      </w:r>
      <w:r>
        <w:rPr>
          <w:rFonts w:ascii="宋体" w:hAnsi="宋体" w:cs="宋体" w:eastAsia="宋体" w:hint="default"/>
          <w:spacing w:val="-2"/>
        </w:rPr>
        <w:t>2003</w:t>
      </w:r>
      <w:r>
        <w:rPr>
          <w:spacing w:val="-2"/>
        </w:rPr>
        <w:t>年起就职</w:t>
      </w:r>
      <w:r>
        <w:rPr/>
        <w:t> 于本公司，曾任市场助理，客户经理等职务，现任公司集成服务事业部业务中心总监，负责销售及业务中心管理工作。</w:t>
      </w:r>
    </w:p>
    <w:p>
      <w:pPr>
        <w:spacing w:line="319" w:lineRule="auto" w:before="19"/>
        <w:ind w:left="536" w:right="0" w:hanging="423"/>
        <w:jc w:val="left"/>
        <w:rPr>
          <w:rFonts w:ascii="宋体" w:hAnsi="宋体" w:cs="宋体" w:eastAsia="宋体" w:hint="default"/>
          <w:sz w:val="18"/>
          <w:szCs w:val="18"/>
        </w:rPr>
      </w:pPr>
      <w:r>
        <w:rPr>
          <w:rFonts w:ascii="宋体" w:hAnsi="宋体" w:cs="宋体" w:eastAsia="宋体" w:hint="default"/>
          <w:b/>
          <w:bCs/>
          <w:sz w:val="18"/>
          <w:szCs w:val="18"/>
        </w:rPr>
        <w:t>（三）公司现任非董事高管简要情况</w:t>
      </w:r>
      <w:r>
        <w:rPr>
          <w:rFonts w:ascii="宋体" w:hAnsi="宋体" w:cs="宋体" w:eastAsia="宋体" w:hint="default"/>
          <w:b/>
          <w:bCs/>
          <w:w w:val="99"/>
          <w:sz w:val="18"/>
          <w:szCs w:val="18"/>
        </w:rPr>
        <w:t> </w:t>
      </w:r>
      <w:r>
        <w:rPr>
          <w:rFonts w:ascii="宋体" w:hAnsi="宋体" w:cs="宋体" w:eastAsia="宋体" w:hint="default"/>
          <w:b/>
          <w:bCs/>
          <w:sz w:val="18"/>
          <w:szCs w:val="18"/>
        </w:rPr>
        <w:t>吴文胜</w:t>
      </w:r>
      <w:r>
        <w:rPr>
          <w:rFonts w:ascii="宋体" w:hAnsi="宋体" w:cs="宋体" w:eastAsia="宋体" w:hint="default"/>
          <w:sz w:val="18"/>
          <w:szCs w:val="18"/>
        </w:rPr>
        <w:t>，女，</w:t>
      </w:r>
      <w:r>
        <w:rPr>
          <w:rFonts w:ascii="宋体" w:hAnsi="宋体" w:cs="宋体" w:eastAsia="宋体" w:hint="default"/>
          <w:sz w:val="18"/>
          <w:szCs w:val="18"/>
        </w:rPr>
        <w:t>1967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月出生，中国籍，无境外永久居留权，毕业于首都师范大学生物学专业，本科学历。</w:t>
      </w:r>
      <w:r>
        <w:rPr>
          <w:rFonts w:ascii="宋体" w:hAnsi="宋体" w:cs="宋体" w:eastAsia="宋体" w:hint="default"/>
          <w:sz w:val="18"/>
          <w:szCs w:val="18"/>
        </w:rPr>
        <w:t>1998</w:t>
      </w:r>
      <w:r>
        <w:rPr>
          <w:rFonts w:ascii="宋体" w:hAnsi="宋体" w:cs="宋体" w:eastAsia="宋体" w:hint="default"/>
          <w:sz w:val="18"/>
          <w:szCs w:val="18"/>
        </w:rPr>
        <w:t>年，</w:t>
      </w:r>
    </w:p>
    <w:p>
      <w:pPr>
        <w:pStyle w:val="BodyText"/>
        <w:spacing w:line="316" w:lineRule="auto" w:before="17"/>
        <w:ind w:right="1130"/>
        <w:jc w:val="both"/>
      </w:pPr>
      <w:r>
        <w:rPr/>
        <w:t>曾任北京同康信息有限责任公司会计，从事会计工作；</w:t>
      </w:r>
      <w:r>
        <w:rPr>
          <w:rFonts w:ascii="宋体" w:hAnsi="宋体" w:cs="宋体" w:eastAsia="宋体" w:hint="default"/>
        </w:rPr>
        <w:t>1998</w:t>
      </w:r>
      <w:r>
        <w:rPr/>
        <w:t>年</w:t>
      </w:r>
      <w:r>
        <w:rPr>
          <w:rFonts w:ascii="宋体" w:hAnsi="宋体" w:cs="宋体" w:eastAsia="宋体" w:hint="default"/>
        </w:rPr>
        <w:t>-1999</w:t>
      </w:r>
      <w:r>
        <w:rPr/>
        <w:t>年，曾任天华会计师事务所审计经理，从事审计工作；</w:t>
      </w:r>
      <w:r>
        <w:rPr>
          <w:spacing w:val="-82"/>
        </w:rPr>
        <w:t> </w:t>
      </w:r>
      <w:r>
        <w:rPr>
          <w:spacing w:val="-82"/>
        </w:rPr>
      </w:r>
      <w:r>
        <w:rPr>
          <w:rFonts w:ascii="宋体" w:hAnsi="宋体" w:cs="宋体" w:eastAsia="宋体" w:hint="default"/>
        </w:rPr>
        <w:t>2001</w:t>
      </w:r>
      <w:r>
        <w:rPr/>
        <w:t>年入职先进数通有限，曾任公司财务部经理，负责公司财务工作。现任公司财务总监。</w:t>
      </w:r>
    </w:p>
    <w:p>
      <w:pPr>
        <w:spacing w:after="0" w:line="316"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在股东单位任职情况</w:t>
      </w:r>
    </w:p>
    <w:p>
      <w:pPr>
        <w:pStyle w:val="BodyText"/>
        <w:spacing w:line="360" w:lineRule="auto" w:before="116"/>
        <w:ind w:right="9132"/>
        <w:jc w:val="left"/>
      </w:pPr>
      <w:r>
        <w:rPr/>
        <w:t>□ 适用 √ 不适用 在其他单位任职情况</w:t>
      </w:r>
    </w:p>
    <w:p>
      <w:pPr>
        <w:pStyle w:val="BodyText"/>
        <w:spacing w:line="240" w:lineRule="auto" w:before="2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794"/>
        <w:gridCol w:w="980"/>
        <w:gridCol w:w="1594"/>
      </w:tblGrid>
      <w:tr>
        <w:trPr>
          <w:trHeight w:val="102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12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阳光保险集团股份有限公司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金生无忧信息技术有限责任公司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软通动力信息技术（集团）有限公司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咨询顾问</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474" w:right="0" w:hanging="360"/>
        <w:jc w:val="left"/>
      </w:pPr>
      <w:r>
        <w:rPr/>
        <w:t>董事、监事、高级管理人员报酬的决策程序、确定依据、实际支付情况 </w:t>
      </w:r>
      <w:r>
        <w:rPr>
          <w:spacing w:val="-4"/>
        </w:rPr>
        <w:t>公司内部非独立董事、监事和高级管理人员的报酬，由公司董事会薪酬与考核委员会根据其本人在公司承担的具体职务，</w:t>
      </w:r>
    </w:p>
    <w:p>
      <w:pPr>
        <w:pStyle w:val="BodyText"/>
        <w:spacing w:line="224" w:lineRule="exact" w:before="0"/>
        <w:ind w:right="0"/>
        <w:jc w:val="left"/>
      </w:pPr>
      <w:r>
        <w:rPr/>
        <w:t>参考行业平均水平和公司前一年度的利润，结合其本人的工作绩效，提出议案。其中，董事和监事的薪酬相关的议案需要由</w:t>
      </w:r>
    </w:p>
    <w:p>
      <w:pPr>
        <w:pStyle w:val="BodyText"/>
        <w:spacing w:line="240" w:lineRule="auto" w:before="76"/>
        <w:ind w:right="0"/>
        <w:jc w:val="left"/>
      </w:pPr>
      <w:r>
        <w:rPr/>
        <w:t>董事会审议后，提交股东大会审议，审议通过后实施。高级管理人员的薪酬相关的议案，由董事会审议通过后实施。</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70"/>
        <w:gridCol w:w="1741"/>
        <w:gridCol w:w="1367"/>
        <w:gridCol w:w="1127"/>
        <w:gridCol w:w="1216"/>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8"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董事、董事会秘书、 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555.21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1,443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1,616</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1,616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1032"/>
        <w:jc w:val="left"/>
      </w:pPr>
      <w:r>
        <w:rPr/>
        <w:t>公司董事会薪酬与考核委员会组织公司人力行政部牵头制定公司薪酬政策。 公司薪酬分为基本薪酬与绩效薪酬两部分，基本薪酬区分不同岗位，根据行业与地区薪酬水品、承担职责、工作年限、</w:t>
      </w:r>
    </w:p>
    <w:p>
      <w:pPr>
        <w:pStyle w:val="BodyText"/>
        <w:spacing w:line="240" w:lineRule="auto"/>
        <w:ind w:right="0"/>
        <w:jc w:val="left"/>
      </w:pPr>
      <w:r>
        <w:rPr/>
        <w:t>历史绩效等因素确定。绩效薪酬按年度发放，区分不同岗位，根据公司整体经营状况及员工上一年绩效考评结果确定。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38" w:lineRule="auto" w:before="0"/>
        <w:ind w:left="47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w:t>
      </w:r>
      <w:r>
        <w:rPr>
          <w:spacing w:val="-2"/>
        </w:rPr>
        <w:t>报告期内，公司职工薪酬总额（计入成本部分）为人民币</w:t>
      </w:r>
      <w:r>
        <w:rPr>
          <w:rFonts w:ascii="宋体" w:hAnsi="宋体" w:cs="宋体" w:eastAsia="宋体" w:hint="default"/>
          <w:spacing w:val="-2"/>
        </w:rPr>
        <w:t>13,745</w:t>
      </w:r>
      <w:r>
        <w:rPr>
          <w:spacing w:val="-2"/>
        </w:rPr>
        <w:t>万元，占公司成本总额的</w:t>
      </w:r>
      <w:r>
        <w:rPr>
          <w:rFonts w:ascii="宋体" w:hAnsi="宋体" w:cs="宋体" w:eastAsia="宋体" w:hint="default"/>
          <w:spacing w:val="-2"/>
        </w:rPr>
        <w:t>11.75%</w:t>
      </w:r>
      <w:r>
        <w:rPr>
          <w:spacing w:val="-2"/>
        </w:rPr>
        <w:t>；公司利润约为职工薪</w:t>
      </w:r>
    </w:p>
    <w:p>
      <w:pPr>
        <w:pStyle w:val="BodyText"/>
        <w:spacing w:line="316" w:lineRule="auto" w:before="2"/>
        <w:ind w:left="474" w:right="0" w:hanging="360"/>
        <w:jc w:val="left"/>
      </w:pPr>
      <w:r>
        <w:rPr/>
        <w:t>酬的</w:t>
      </w:r>
      <w:r>
        <w:rPr>
          <w:rFonts w:ascii="宋体" w:hAnsi="宋体" w:cs="宋体" w:eastAsia="宋体" w:hint="default"/>
        </w:rPr>
        <w:t>37.24%</w:t>
      </w:r>
      <w:r>
        <w:rPr/>
        <w:t>，公司利润对职工薪酬变化较为敏感。 </w:t>
      </w:r>
      <w:r>
        <w:rPr>
          <w:spacing w:val="-2"/>
        </w:rPr>
        <w:t>报告期内，公司核心技术人员数量占公司员工数量的</w:t>
      </w:r>
      <w:r>
        <w:rPr>
          <w:rFonts w:ascii="宋体" w:hAnsi="宋体" w:cs="宋体" w:eastAsia="宋体" w:hint="default"/>
          <w:spacing w:val="-2"/>
        </w:rPr>
        <w:t>0.3%</w:t>
      </w:r>
      <w:r>
        <w:rPr>
          <w:spacing w:val="-2"/>
        </w:rPr>
        <w:t>，核心技术人员同比无变化。核心技术人员的薪酬占比约为公</w:t>
      </w:r>
    </w:p>
    <w:p>
      <w:pPr>
        <w:pStyle w:val="BodyText"/>
        <w:spacing w:line="240" w:lineRule="auto"/>
        <w:ind w:right="0"/>
        <w:jc w:val="left"/>
      </w:pPr>
      <w:r>
        <w:rPr/>
        <w:t>司薪酬总额的</w:t>
      </w:r>
      <w:r>
        <w:rPr>
          <w:rFonts w:ascii="宋体" w:hAnsi="宋体" w:cs="宋体" w:eastAsia="宋体" w:hint="default"/>
        </w:rPr>
        <w:t>1.28%</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firstLine="360"/>
        <w:jc w:val="both"/>
      </w:pPr>
      <w:r>
        <w:rPr>
          <w:spacing w:val="-2"/>
        </w:rPr>
        <w:t>针对不同类型的员工，公司有不同的培训计划。主要分为新人入职引导类、管理类、业务类和技术类培训。公司秉持资</w:t>
      </w:r>
      <w:r>
        <w:rPr/>
        <w:t> </w:t>
      </w:r>
      <w:r>
        <w:rPr>
          <w:spacing w:val="-2"/>
        </w:rPr>
        <w:t>源充分利用的原则，建立了自己的培训平台，并根据公司的《年度培训计划》在平台上传相应的培训类课程。公司员工可以</w:t>
      </w:r>
      <w:r>
        <w:rPr>
          <w:spacing w:val="-66"/>
        </w:rPr>
        <w:t> </w:t>
      </w:r>
      <w:r>
        <w:rPr>
          <w:spacing w:val="-66"/>
        </w:rPr>
      </w:r>
      <w:r>
        <w:rPr>
          <w:spacing w:val="-2"/>
        </w:rPr>
        <w:t>根据自己的需求，登录平台进行相应的课程培训。同时，公司财务部、人力行政部、运营管理中心、商务部等部门都针对部</w:t>
      </w:r>
      <w:r>
        <w:rPr>
          <w:spacing w:val="-68"/>
        </w:rPr>
        <w:t> </w:t>
      </w:r>
      <w:r>
        <w:rPr>
          <w:spacing w:val="-68"/>
        </w:rPr>
      </w:r>
      <w:r>
        <w:rPr/>
        <w:t>门内部控制体系和部门员工的专业能力组织了培训。公司多维度多体系的培训为公司人才培养提供了有力的支撑。</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1"/>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0" w:firstLine="360"/>
        <w:jc w:val="both"/>
      </w:pPr>
      <w:r>
        <w:rPr>
          <w:rFonts w:ascii="宋体" w:hAnsi="宋体" w:cs="宋体" w:eastAsia="宋体" w:hint="default"/>
          <w:spacing w:val="-11"/>
        </w:rPr>
        <w:t>2018</w:t>
      </w:r>
      <w:r>
        <w:rPr>
          <w:spacing w:val="-11"/>
        </w:rPr>
        <w:t>年度，公司严格按照《中国人民共和国公司法》（以下简称《公司法》）、《中华人民共和国证券法》、《上市公司治理</w:t>
      </w:r>
      <w:r>
        <w:rPr/>
        <w:t> </w:t>
      </w:r>
      <w:r>
        <w:rPr>
          <w:spacing w:val="-11"/>
        </w:rPr>
        <w:t>准则》、《上市公司信息披露管理办法》、《深圳证券交易所创业板股票上市规则》、《深圳证券交易所创业板上市公司规范运作</w:t>
      </w:r>
      <w:r>
        <w:rPr>
          <w:spacing w:val="-87"/>
        </w:rPr>
        <w:t> </w:t>
      </w:r>
      <w:r>
        <w:rPr>
          <w:spacing w:val="-87"/>
        </w:rPr>
      </w:r>
      <w:r>
        <w:rPr>
          <w:spacing w:val="-2"/>
        </w:rPr>
        <w:t>指引》等法律法规、规范性文件及监管部门的相关规定和要求，努力完善公司的治理结构和治理机制，不断提升公司的治理</w:t>
      </w:r>
      <w:r>
        <w:rPr>
          <w:spacing w:val="-66"/>
        </w:rPr>
        <w:t> </w:t>
      </w:r>
      <w:r>
        <w:rPr>
          <w:spacing w:val="-66"/>
        </w:rPr>
      </w:r>
      <w:r>
        <w:rPr>
          <w:spacing w:val="-2"/>
        </w:rPr>
        <w:t>水平，明确股东、董事、监事和高级管理人员的权利和义务，确保董事会对公司和股东负责，保护投资者合法权益，保障重</w:t>
      </w:r>
      <w:r>
        <w:rPr>
          <w:spacing w:val="-68"/>
        </w:rPr>
        <w:t> </w:t>
      </w:r>
      <w:r>
        <w:rPr>
          <w:spacing w:val="-68"/>
        </w:rPr>
      </w:r>
      <w:r>
        <w:rPr/>
        <w:t>大信息披露真实、准确、完整、及时、公平。</w:t>
      </w:r>
    </w:p>
    <w:p>
      <w:pPr>
        <w:pStyle w:val="BodyText"/>
        <w:spacing w:line="316" w:lineRule="auto"/>
        <w:ind w:right="1131" w:firstLine="360"/>
        <w:jc w:val="both"/>
      </w:pPr>
      <w:r>
        <w:rPr>
          <w:spacing w:val="-2"/>
        </w:rPr>
        <w:t>公司积极为公司党支部开展活动创造便利条件和提供支持，公司党支部在公司微家园开通了党建园地，并组织了系列党</w:t>
      </w:r>
      <w:r>
        <w:rPr/>
        <w:t> 建活动。</w:t>
      </w:r>
      <w:r>
        <w:rPr>
          <w:rFonts w:ascii="宋体" w:hAnsi="宋体" w:cs="宋体" w:eastAsia="宋体" w:hint="default"/>
        </w:rPr>
        <w:t>2018</w:t>
      </w:r>
      <w:r>
        <w:rPr/>
        <w:t>年，公司党支部获得了先进基层党组织称号。</w:t>
      </w:r>
    </w:p>
    <w:p>
      <w:pPr>
        <w:pStyle w:val="BodyText"/>
        <w:spacing w:line="316" w:lineRule="auto"/>
        <w:ind w:left="474" w:right="0"/>
        <w:jc w:val="left"/>
      </w:pPr>
      <w:r>
        <w:rPr>
          <w:rFonts w:ascii="宋体" w:hAnsi="宋体" w:cs="宋体" w:eastAsia="宋体" w:hint="default"/>
        </w:rPr>
        <w:t>1.</w:t>
      </w:r>
      <w:r>
        <w:rPr/>
        <w:t>股东与股东大会 </w:t>
      </w:r>
      <w:r>
        <w:rPr>
          <w:spacing w:val="-12"/>
        </w:rPr>
        <w:t>公司严格按照《公司法》、《上市公司股东大会规则》、《公司章程》、《股东大会议事规则》等相关法律法规、规范性文件</w:t>
      </w:r>
    </w:p>
    <w:p>
      <w:pPr>
        <w:pStyle w:val="BodyText"/>
        <w:spacing w:line="316" w:lineRule="auto"/>
        <w:ind w:right="0"/>
        <w:jc w:val="left"/>
      </w:pPr>
      <w:r>
        <w:rPr>
          <w:spacing w:val="-2"/>
        </w:rPr>
        <w:t>和公司规章制度的有关规定和要求，规范地召集、召开股东大会，设置会场，以现场会议和网络投票相结合的方式为股东参</w:t>
      </w:r>
      <w:r>
        <w:rPr>
          <w:spacing w:val="-66"/>
        </w:rPr>
        <w:t> </w:t>
      </w:r>
      <w:r>
        <w:rPr>
          <w:spacing w:val="-66"/>
        </w:rPr>
      </w:r>
      <w:r>
        <w:rPr/>
        <w:t>加股东大会提供便利条件，平等对待所有股东，保障股东依法享有各项合法权益，尤其是中小股东的合法权益。</w:t>
      </w:r>
    </w:p>
    <w:p>
      <w:pPr>
        <w:pStyle w:val="BodyText"/>
        <w:spacing w:line="240" w:lineRule="auto"/>
        <w:ind w:left="474" w:right="0"/>
        <w:jc w:val="left"/>
      </w:pPr>
      <w:r>
        <w:rPr>
          <w:rFonts w:ascii="宋体" w:hAnsi="宋体" w:cs="宋体" w:eastAsia="宋体" w:hint="default"/>
        </w:rPr>
        <w:t>2018</w:t>
      </w:r>
      <w:r>
        <w:rPr/>
        <w:t>年度，公司召开</w:t>
      </w:r>
      <w:r>
        <w:rPr>
          <w:rFonts w:ascii="宋体" w:hAnsi="宋体" w:cs="宋体" w:eastAsia="宋体" w:hint="default"/>
        </w:rPr>
        <w:t>1</w:t>
      </w:r>
      <w:r>
        <w:rPr/>
        <w:t>次年度股东大会和</w:t>
      </w:r>
      <w:r>
        <w:rPr>
          <w:rFonts w:ascii="宋体" w:hAnsi="宋体" w:cs="宋体" w:eastAsia="宋体" w:hint="default"/>
        </w:rPr>
        <w:t>4</w:t>
      </w:r>
      <w:r>
        <w:rPr/>
        <w:t>次临时股东大会，股东大会的提案均符合有关法律法规和公司章程的规定。</w:t>
      </w:r>
    </w:p>
    <w:p>
      <w:pPr>
        <w:pStyle w:val="BodyText"/>
        <w:spacing w:line="316" w:lineRule="auto" w:before="76"/>
        <w:ind w:left="474" w:right="0"/>
        <w:jc w:val="left"/>
      </w:pPr>
      <w:r>
        <w:rPr>
          <w:rFonts w:ascii="宋体" w:hAnsi="宋体" w:cs="宋体" w:eastAsia="宋体" w:hint="default"/>
        </w:rPr>
        <w:t>2.</w:t>
      </w:r>
      <w:r>
        <w:rPr/>
        <w:t>董事与董事会 </w:t>
      </w:r>
      <w:r>
        <w:rPr>
          <w:spacing w:val="-5"/>
        </w:rPr>
        <w:t>公司第二届董事会于</w:t>
      </w:r>
      <w:r>
        <w:rPr>
          <w:rFonts w:ascii="宋体" w:hAnsi="宋体" w:cs="宋体" w:eastAsia="宋体" w:hint="default"/>
          <w:spacing w:val="-5"/>
        </w:rPr>
        <w:t>2018</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10</w:t>
      </w:r>
      <w:r>
        <w:rPr>
          <w:spacing w:val="-5"/>
        </w:rPr>
        <w:t>日届满，公司依照《公司法》、《公司章程》等相关规定，经第二届董事会提名，经股</w:t>
      </w:r>
    </w:p>
    <w:p>
      <w:pPr>
        <w:pStyle w:val="BodyText"/>
        <w:spacing w:line="316" w:lineRule="auto"/>
        <w:ind w:right="1122"/>
        <w:jc w:val="left"/>
      </w:pPr>
      <w:r>
        <w:rPr/>
        <w:t>东大会累积投票制选举产生第三届董事会，第三届董事会设董事</w:t>
      </w:r>
      <w:r>
        <w:rPr>
          <w:rFonts w:ascii="宋体" w:hAnsi="宋体" w:cs="宋体" w:eastAsia="宋体" w:hint="default"/>
        </w:rPr>
        <w:t>9</w:t>
      </w:r>
      <w:r>
        <w:rPr/>
        <w:t>名，其中独立董事</w:t>
      </w:r>
      <w:r>
        <w:rPr>
          <w:rFonts w:ascii="宋体" w:hAnsi="宋体" w:cs="宋体" w:eastAsia="宋体" w:hint="default"/>
        </w:rPr>
        <w:t>3</w:t>
      </w:r>
      <w:r>
        <w:rPr/>
        <w:t>名，达到公司董事总数的</w:t>
      </w:r>
      <w:r>
        <w:rPr>
          <w:rFonts w:ascii="宋体" w:hAnsi="宋体" w:cs="宋体" w:eastAsia="宋体" w:hint="default"/>
        </w:rPr>
        <w:t>1/3</w:t>
      </w:r>
      <w:r>
        <w:rPr/>
        <w:t>，董事会 人数和人员构成均符合法律法规要求，专业结构合理。第三届董事会董事当选后切实履行了董事职责。</w:t>
      </w:r>
    </w:p>
    <w:p>
      <w:pPr>
        <w:pStyle w:val="BodyText"/>
        <w:spacing w:line="316" w:lineRule="auto"/>
        <w:ind w:right="1041" w:firstLine="360"/>
        <w:jc w:val="both"/>
      </w:pPr>
      <w:r>
        <w:rPr>
          <w:spacing w:val="-2"/>
        </w:rPr>
        <w:t>报告期内，第二届董事会召开</w:t>
      </w:r>
      <w:r>
        <w:rPr>
          <w:rFonts w:ascii="宋体" w:hAnsi="宋体" w:cs="宋体" w:eastAsia="宋体" w:hint="default"/>
          <w:spacing w:val="-2"/>
        </w:rPr>
        <w:t>2</w:t>
      </w:r>
      <w:r>
        <w:rPr>
          <w:spacing w:val="-2"/>
        </w:rPr>
        <w:t>次定期会议，</w:t>
      </w:r>
      <w:r>
        <w:rPr>
          <w:rFonts w:ascii="宋体" w:hAnsi="宋体" w:cs="宋体" w:eastAsia="宋体" w:hint="default"/>
          <w:spacing w:val="-2"/>
        </w:rPr>
        <w:t>7</w:t>
      </w:r>
      <w:r>
        <w:rPr>
          <w:spacing w:val="-2"/>
        </w:rPr>
        <w:t>次临时会议，第三届董事会召开</w:t>
      </w:r>
      <w:r>
        <w:rPr>
          <w:rFonts w:ascii="宋体" w:hAnsi="宋体" w:cs="宋体" w:eastAsia="宋体" w:hint="default"/>
          <w:spacing w:val="-2"/>
        </w:rPr>
        <w:t>3</w:t>
      </w:r>
      <w:r>
        <w:rPr>
          <w:spacing w:val="-2"/>
        </w:rPr>
        <w:t>次临时会议，各位董事按时出席董事会，</w:t>
      </w:r>
      <w:r>
        <w:rPr/>
        <w:t> 忠实、勤勉、谨慎履职，对审议事项均发表明确意见。董事会会议记录完整、真实并妥善保存。</w:t>
      </w:r>
    </w:p>
    <w:p>
      <w:pPr>
        <w:pStyle w:val="BodyText"/>
        <w:spacing w:line="316" w:lineRule="auto"/>
        <w:ind w:right="1131" w:firstLine="360"/>
        <w:jc w:val="both"/>
      </w:pPr>
      <w:r>
        <w:rPr>
          <w:spacing w:val="-2"/>
        </w:rPr>
        <w:t>公司董事会下设战略委员会、提名委员会、薪酬与考核委员会、审计委员会四个专门委员会，各专门委员会人员组成符</w:t>
      </w:r>
      <w:r>
        <w:rPr/>
        <w:t> 合法律法规和公司章程的规定，为董事会的决策提供了科学和专业的意见和参考。</w:t>
      </w:r>
    </w:p>
    <w:p>
      <w:pPr>
        <w:pStyle w:val="BodyText"/>
        <w:spacing w:line="316" w:lineRule="auto"/>
        <w:ind w:left="474" w:right="0"/>
        <w:jc w:val="left"/>
      </w:pPr>
      <w:r>
        <w:rPr>
          <w:rFonts w:ascii="宋体" w:hAnsi="宋体" w:cs="宋体" w:eastAsia="宋体" w:hint="default"/>
        </w:rPr>
        <w:t>3.</w:t>
      </w:r>
      <w:r>
        <w:rPr/>
        <w:t>监事与监事会 </w:t>
      </w:r>
      <w:r>
        <w:rPr>
          <w:spacing w:val="-5"/>
        </w:rPr>
        <w:t>公司第二届董事会于</w:t>
      </w:r>
      <w:r>
        <w:rPr>
          <w:rFonts w:ascii="宋体" w:hAnsi="宋体" w:cs="宋体" w:eastAsia="宋体" w:hint="default"/>
          <w:spacing w:val="-5"/>
        </w:rPr>
        <w:t>2018</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10</w:t>
      </w:r>
      <w:r>
        <w:rPr>
          <w:spacing w:val="-5"/>
        </w:rPr>
        <w:t>日届满，公司依照《公司法》、《公司章程》等相关规定公司经股东大会和公司职工代</w:t>
      </w:r>
    </w:p>
    <w:p>
      <w:pPr>
        <w:pStyle w:val="BodyText"/>
        <w:spacing w:line="316" w:lineRule="auto"/>
        <w:ind w:left="474" w:right="1122" w:hanging="360"/>
        <w:jc w:val="left"/>
      </w:pPr>
      <w:r>
        <w:rPr/>
        <w:t>表大会选举产生第三届监事会，公司第三届监事会设监事</w:t>
      </w:r>
      <w:r>
        <w:rPr>
          <w:rFonts w:ascii="宋体" w:hAnsi="宋体" w:cs="宋体" w:eastAsia="宋体" w:hint="default"/>
        </w:rPr>
        <w:t>3</w:t>
      </w:r>
      <w:r>
        <w:rPr/>
        <w:t>名，其中职工代表监事</w:t>
      </w:r>
      <w:r>
        <w:rPr>
          <w:rFonts w:ascii="宋体" w:hAnsi="宋体" w:cs="宋体" w:eastAsia="宋体" w:hint="default"/>
        </w:rPr>
        <w:t>2</w:t>
      </w:r>
      <w:r>
        <w:rPr/>
        <w:t>名。 </w:t>
      </w:r>
      <w:r>
        <w:rPr>
          <w:rFonts w:ascii="宋体" w:hAnsi="宋体" w:cs="宋体" w:eastAsia="宋体" w:hint="default"/>
        </w:rPr>
        <w:t>2018</w:t>
      </w:r>
      <w:r>
        <w:rPr/>
        <w:t>年度，第二届监事会监事会召开</w:t>
      </w:r>
      <w:r>
        <w:rPr>
          <w:rFonts w:ascii="宋体" w:hAnsi="宋体" w:cs="宋体" w:eastAsia="宋体" w:hint="default"/>
        </w:rPr>
        <w:t>4</w:t>
      </w:r>
      <w:r>
        <w:rPr/>
        <w:t>次临时会议，</w:t>
      </w:r>
      <w:r>
        <w:rPr>
          <w:rFonts w:ascii="宋体" w:hAnsi="宋体" w:cs="宋体" w:eastAsia="宋体" w:hint="default"/>
        </w:rPr>
        <w:t>2</w:t>
      </w:r>
      <w:r>
        <w:rPr/>
        <w:t>次定期会议，第三届监事会召开</w:t>
      </w:r>
      <w:r>
        <w:rPr>
          <w:rFonts w:ascii="宋体" w:hAnsi="宋体" w:cs="宋体" w:eastAsia="宋体" w:hint="default"/>
        </w:rPr>
        <w:t>3</w:t>
      </w:r>
      <w:r>
        <w:rPr/>
        <w:t>次临时会议，各位监事按时出席</w:t>
      </w:r>
    </w:p>
    <w:p>
      <w:pPr>
        <w:pStyle w:val="BodyText"/>
        <w:spacing w:line="316" w:lineRule="auto"/>
        <w:ind w:left="474" w:right="0" w:hanging="360"/>
        <w:jc w:val="left"/>
      </w:pPr>
      <w:r>
        <w:rPr/>
        <w:t>会议，能够有效的行使对董事、高级管理人员以及对公司财务的监督和检查权。监事会会议记录完整、真实并妥善保存。 </w:t>
      </w:r>
      <w:r>
        <w:rPr>
          <w:rFonts w:ascii="宋体" w:hAnsi="宋体" w:cs="宋体" w:eastAsia="宋体" w:hint="default"/>
        </w:rPr>
        <w:t>4.</w:t>
      </w:r>
      <w:r>
        <w:rPr/>
        <w:t>高级管理人员与公司激励约束机制 </w:t>
      </w:r>
      <w:r>
        <w:rPr>
          <w:spacing w:val="-2"/>
        </w:rPr>
        <w:t>公司依照有关法律法规和公司章程聘任高级管理人员，并实施绩效与履职评价，使个人业绩与薪酬相关联，充分调动高</w:t>
      </w:r>
    </w:p>
    <w:p>
      <w:pPr>
        <w:pStyle w:val="BodyText"/>
        <w:spacing w:line="316" w:lineRule="auto"/>
        <w:ind w:right="0"/>
        <w:jc w:val="left"/>
      </w:pPr>
      <w:r>
        <w:rPr>
          <w:spacing w:val="-2"/>
        </w:rPr>
        <w:t>级管理人员的积极性。</w:t>
      </w:r>
      <w:r>
        <w:rPr>
          <w:rFonts w:ascii="宋体" w:hAnsi="宋体" w:cs="宋体" w:eastAsia="宋体" w:hint="default"/>
          <w:spacing w:val="-2"/>
        </w:rPr>
        <w:t>2018</w:t>
      </w:r>
      <w:r>
        <w:rPr>
          <w:spacing w:val="-2"/>
        </w:rPr>
        <w:t>年度，为了吸引和留住优秀人才，有效的将股东利益、公司利益和核心团队利益结合在一起，使</w:t>
      </w:r>
      <w:r>
        <w:rPr>
          <w:spacing w:val="-62"/>
        </w:rPr>
        <w:t> </w:t>
      </w:r>
      <w:r>
        <w:rPr>
          <w:spacing w:val="-62"/>
        </w:rPr>
      </w:r>
      <w:r>
        <w:rPr/>
        <w:t>各方共同关注公司的长远发展，在充分保障股东利益的前提下，公司实施了股权激励。</w:t>
      </w:r>
    </w:p>
    <w:p>
      <w:pPr>
        <w:pStyle w:val="BodyText"/>
        <w:spacing w:line="316" w:lineRule="auto"/>
        <w:ind w:left="474" w:right="1032"/>
        <w:jc w:val="left"/>
      </w:pPr>
      <w:r>
        <w:rPr>
          <w:rFonts w:ascii="宋体" w:hAnsi="宋体" w:cs="宋体" w:eastAsia="宋体" w:hint="default"/>
        </w:rPr>
        <w:t>5.</w:t>
      </w:r>
      <w:r>
        <w:rPr/>
        <w:t>关联方 </w:t>
      </w:r>
      <w:r>
        <w:rPr>
          <w:spacing w:val="-4"/>
        </w:rPr>
        <w:t>公司参照《创业板上市规则》以及其他相关规定，定期核查并更新公司关联人信息，确保关联人信息准确、真实、完整。</w:t>
      </w:r>
    </w:p>
    <w:p>
      <w:pPr>
        <w:pStyle w:val="BodyText"/>
        <w:spacing w:line="316" w:lineRule="auto"/>
        <w:ind w:right="0"/>
        <w:jc w:val="left"/>
      </w:pPr>
      <w:r>
        <w:rPr>
          <w:spacing w:val="-2"/>
        </w:rPr>
        <w:t>公司专门在合同系统中增加了关联方识别功能，对与关联方相关的合同、协议，增加董事会办公室审批环节，确保关联交易</w:t>
      </w:r>
      <w:r>
        <w:rPr>
          <w:spacing w:val="-66"/>
        </w:rPr>
        <w:t> </w:t>
      </w:r>
      <w:r>
        <w:rPr>
          <w:spacing w:val="-66"/>
        </w:rPr>
      </w:r>
      <w:r>
        <w:rPr/>
        <w:t>按照相关法规履行审批程序，达到标准及时披露。</w:t>
      </w:r>
    </w:p>
    <w:p>
      <w:pPr>
        <w:pStyle w:val="BodyText"/>
        <w:spacing w:line="319" w:lineRule="auto"/>
        <w:ind w:left="474" w:right="0"/>
        <w:jc w:val="left"/>
      </w:pPr>
      <w:r>
        <w:rPr>
          <w:rFonts w:ascii="宋体" w:hAnsi="宋体" w:cs="宋体" w:eastAsia="宋体" w:hint="default"/>
        </w:rPr>
        <w:t>6.</w:t>
      </w:r>
      <w:r>
        <w:rPr/>
        <w:t>信息披露和内部控制 </w:t>
      </w:r>
      <w:r>
        <w:rPr>
          <w:spacing w:val="-2"/>
        </w:rPr>
        <w:t>公司严格按照法律法规、自律规则和公司章程的规定，真实、准确、完整、及时、公平地披露信息，无虚假记载、误导</w:t>
      </w:r>
    </w:p>
    <w:p>
      <w:pPr>
        <w:pStyle w:val="BodyText"/>
        <w:spacing w:line="316" w:lineRule="auto" w:before="17"/>
        <w:ind w:right="0"/>
        <w:jc w:val="left"/>
      </w:pPr>
      <w:r>
        <w:rPr>
          <w:spacing w:val="-2"/>
        </w:rPr>
        <w:t>性陈述、重大遗漏或者其他不正当披露。公司设立了内部审计机构，监控内部风险，对公司的运营、财务和法律法规执行情</w:t>
      </w:r>
      <w:r>
        <w:rPr>
          <w:spacing w:val="-66"/>
        </w:rPr>
        <w:t> </w:t>
      </w:r>
      <w:r>
        <w:rPr>
          <w:spacing w:val="-66"/>
        </w:rPr>
      </w:r>
      <w:r>
        <w:rPr/>
        <w:t>况进行检查和监督，及时提出改进意见和预防措施。</w:t>
      </w:r>
    </w:p>
    <w:p>
      <w:pPr>
        <w:spacing w:after="0" w:line="316"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60" w:lineRule="auto" w:before="116"/>
        <w:ind w:right="3552"/>
        <w:jc w:val="left"/>
      </w:pPr>
      <w:r>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公司不存在与控股股东在业务、人员、资产、机构、财务等方面不独立的情况。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390"/>
        <w:gridCol w:w="1542"/>
        <w:gridCol w:w="1216"/>
        <w:gridCol w:w="1239"/>
        <w:gridCol w:w="247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2018-010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2018-030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2018-058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2018-072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988"/>
        <w:gridCol w:w="1367"/>
        <w:gridCol w:w="976"/>
      </w:tblGrid>
      <w:tr>
        <w:trPr>
          <w:trHeight w:val="402" w:hRule="exact"/>
        </w:trPr>
        <w:tc>
          <w:tcPr>
            <w:tcW w:w="941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7" w:right="129"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2" w:right="121"/>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988"/>
        <w:gridCol w:w="1367"/>
        <w:gridCol w:w="976"/>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4812"/>
        <w:jc w:val="left"/>
      </w:pPr>
      <w:r>
        <w:rPr/>
        <w:t>连续两次未亲自出席董事会的说明 公司独立董事未出现两次未亲自出席董事会情况。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60" w:lineRule="auto" w:before="116"/>
        <w:ind w:right="6972"/>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57" w:lineRule="auto" w:before="116"/>
        <w:ind w:right="6792"/>
        <w:jc w:val="left"/>
      </w:pPr>
      <w:r>
        <w:rPr/>
        <w:t>√ 是 □ 否 独立董事对公司有关建议被采纳或未被采纳的说明</w:t>
      </w:r>
    </w:p>
    <w:p>
      <w:pPr>
        <w:pStyle w:val="BodyText"/>
        <w:spacing w:line="240" w:lineRule="auto" w:before="28"/>
        <w:ind w:left="474" w:right="0"/>
        <w:jc w:val="left"/>
      </w:pPr>
      <w:r>
        <w:rPr>
          <w:spacing w:val="-4"/>
        </w:rPr>
        <w:t>报告期内，公司独立董事对公司年度经营计划编制、股权激励方案制定、对外投资等事项提出了建议，公司均予以采纳。</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0" w:firstLine="360"/>
        <w:jc w:val="both"/>
      </w:pPr>
      <w:r>
        <w:rPr>
          <w:spacing w:val="-2"/>
        </w:rPr>
        <w:t>公司战略委员会根据公司《战略委员会实施细则》及其他有关规定开展工作并认真履行职责。报告期内，战略委员就公</w:t>
      </w:r>
      <w:r>
        <w:rPr/>
        <w:t> </w:t>
      </w:r>
      <w:r>
        <w:rPr>
          <w:spacing w:val="-2"/>
        </w:rPr>
        <w:t>司年度经营计划制定、购置募投项目办公场地、对外投资等事项进行了审议并提出建议，为公司的长期发展和投资决策起到</w:t>
      </w:r>
      <w:r>
        <w:rPr>
          <w:spacing w:val="-66"/>
        </w:rPr>
        <w:t> </w:t>
      </w:r>
      <w:r>
        <w:rPr>
          <w:spacing w:val="-66"/>
        </w:rPr>
      </w:r>
      <w:r>
        <w:rPr/>
        <w:t>重要作用。</w:t>
      </w:r>
    </w:p>
    <w:p>
      <w:pPr>
        <w:pStyle w:val="BodyText"/>
        <w:spacing w:line="316" w:lineRule="auto"/>
        <w:ind w:right="1032" w:firstLine="360"/>
        <w:jc w:val="left"/>
      </w:pPr>
      <w:r>
        <w:rPr/>
        <w:t>公司薪酬与考核委员会根据公司《薪酬与考核委员会实施细则》及其他有关规定开展工作并认真履行职责。报告期内， </w:t>
      </w:r>
      <w:r>
        <w:rPr>
          <w:spacing w:val="-2"/>
        </w:rPr>
        <w:t>公司薪酬与考核委员会审核了公司董事、高级管理人员</w:t>
      </w:r>
      <w:r>
        <w:rPr>
          <w:rFonts w:ascii="宋体" w:hAnsi="宋体" w:cs="宋体" w:eastAsia="宋体" w:hint="default"/>
          <w:spacing w:val="-2"/>
        </w:rPr>
        <w:t>2017</w:t>
      </w:r>
      <w:r>
        <w:rPr>
          <w:spacing w:val="-2"/>
        </w:rPr>
        <w:t>年度业绩、向董事会提出了董事、监事、高级管理人员</w:t>
      </w:r>
      <w:r>
        <w:rPr>
          <w:rFonts w:ascii="宋体" w:hAnsi="宋体" w:cs="宋体" w:eastAsia="宋体" w:hint="default"/>
          <w:spacing w:val="-2"/>
        </w:rPr>
        <w:t>2018</w:t>
      </w:r>
      <w:r>
        <w:rPr>
          <w:spacing w:val="-2"/>
        </w:rPr>
        <w:t>年度</w:t>
      </w:r>
      <w:r>
        <w:rPr>
          <w:spacing w:val="-58"/>
        </w:rPr>
        <w:t> </w:t>
      </w:r>
      <w:r>
        <w:rPr>
          <w:spacing w:val="-2"/>
        </w:rPr>
        <w:t>薪酬方案。为了进一步建立、健全公司长效激励约束机制，吸引和留住优秀人才，充分调动公司核心团队的积极性，薪酬与</w:t>
      </w:r>
      <w:r>
        <w:rPr>
          <w:spacing w:val="-66"/>
        </w:rPr>
        <w:t> </w:t>
      </w:r>
      <w:r>
        <w:rPr>
          <w:spacing w:val="-66"/>
        </w:rPr>
      </w:r>
      <w:r>
        <w:rPr>
          <w:spacing w:val="-2"/>
        </w:rPr>
        <w:t>考核委员会根据相关法律法规拟定了《北京先进数通信息技术股份公司</w:t>
      </w:r>
      <w:r>
        <w:rPr>
          <w:rFonts w:ascii="宋体" w:hAnsi="宋体" w:cs="宋体" w:eastAsia="宋体" w:hint="default"/>
          <w:spacing w:val="-2"/>
        </w:rPr>
        <w:t>2018</w:t>
      </w:r>
      <w:r>
        <w:rPr>
          <w:spacing w:val="-2"/>
        </w:rPr>
        <w:t>年限制性股票激励计划（草案）》及其摘要，向</w:t>
      </w:r>
      <w:r>
        <w:rPr>
          <w:spacing w:val="-61"/>
        </w:rPr>
        <w:t> </w:t>
      </w:r>
      <w:r>
        <w:rPr>
          <w:spacing w:val="-61"/>
        </w:rPr>
      </w:r>
      <w:r>
        <w:rPr>
          <w:spacing w:val="-2"/>
        </w:rPr>
        <w:t>董事会提出股权激励的方案并予以采纳实施。公司第二届董事会、监事会于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日任期届满，薪酬与考核委员会根</w:t>
      </w:r>
      <w:r>
        <w:rPr>
          <w:spacing w:val="-58"/>
        </w:rPr>
        <w:t> </w:t>
      </w:r>
      <w:r>
        <w:rPr>
          <w:spacing w:val="-58"/>
        </w:rPr>
      </w:r>
      <w:r>
        <w:rPr/>
        <w:t>据公司所处的行业和地域的薪酬水平拟定了公司第三届董事会董事、监事会监事薪酬方案并提交公司董事会审议。</w:t>
      </w:r>
    </w:p>
    <w:p>
      <w:pPr>
        <w:pStyle w:val="BodyText"/>
        <w:spacing w:line="316" w:lineRule="auto"/>
        <w:ind w:right="1032" w:firstLine="360"/>
        <w:jc w:val="left"/>
      </w:pPr>
      <w:r>
        <w:rPr/>
        <w:t>公司提名委员会根据公司《提名委员会实施细则》及其他有关规定开展工作并认真履行职责。报告期内，对公司董事、 </w:t>
      </w:r>
      <w:r>
        <w:rPr>
          <w:spacing w:val="-2"/>
        </w:rPr>
        <w:t>监事和高级管理人员等是否有法律法规规定的不适合担任公司董事、监事及高级管理人员的情形进行审查。公司第二届董事</w:t>
      </w:r>
      <w:r>
        <w:rPr>
          <w:spacing w:val="-64"/>
        </w:rPr>
        <w:t> </w:t>
      </w:r>
      <w:r>
        <w:rPr>
          <w:spacing w:val="-64"/>
        </w:rPr>
      </w:r>
      <w:r>
        <w:rPr>
          <w:spacing w:val="-2"/>
        </w:rPr>
        <w:t>会、监事会于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日任期届满，提名委员会提名了第三届董事会独立董事和非独立董事的候选人并审核了候选人的</w:t>
      </w:r>
      <w:r>
        <w:rPr>
          <w:spacing w:val="-56"/>
        </w:rPr>
        <w:t> </w:t>
      </w:r>
      <w:r>
        <w:rPr>
          <w:spacing w:val="-56"/>
        </w:rPr>
      </w:r>
      <w:r>
        <w:rPr/>
        <w:t>资格，此项提名已经公司董事会和股东大会的审议通过，保持了公司治理结构的完整。</w:t>
      </w:r>
    </w:p>
    <w:p>
      <w:pPr>
        <w:pStyle w:val="BodyText"/>
        <w:spacing w:line="319" w:lineRule="auto"/>
        <w:ind w:right="1130" w:firstLine="360"/>
        <w:jc w:val="both"/>
      </w:pPr>
      <w:r>
        <w:rPr>
          <w:spacing w:val="-2"/>
        </w:rPr>
        <w:t>公司审计委员会在公司定期报告的编制和披露过程中，勤勉尽责地开展工作，认真履行责任和义务。报告期内，与负责</w:t>
      </w:r>
      <w:r>
        <w:rPr/>
        <w:t> </w:t>
      </w:r>
      <w:r>
        <w:rPr>
          <w:spacing w:val="-2"/>
        </w:rPr>
        <w:t>审计的注册会计师和公司财务负责人保持顺畅沟通，及时了解审计工作的进展情况，对于审计过程中发现的问题，审计委员</w:t>
      </w:r>
      <w:r>
        <w:rPr>
          <w:spacing w:val="-66"/>
        </w:rPr>
        <w:t> </w:t>
      </w:r>
      <w:r>
        <w:rPr>
          <w:spacing w:val="-66"/>
        </w:rPr>
      </w:r>
      <w:r>
        <w:rPr>
          <w:spacing w:val="-2"/>
        </w:rPr>
        <w:t>会督促公司及时预防和改进，保证公司定期报告的真实、准确、完整和及时。审计委员会作为内部审计部门的领导机构，督</w:t>
      </w:r>
      <w:r>
        <w:rPr>
          <w:spacing w:val="-66"/>
        </w:rPr>
        <w:t> </w:t>
      </w:r>
      <w:r>
        <w:rPr>
          <w:spacing w:val="-66"/>
        </w:rPr>
      </w:r>
      <w:r>
        <w:rPr>
          <w:spacing w:val="-2"/>
        </w:rPr>
        <w:t>促内部审计部门对公司募集资金使用、对外担保、关联交易、公司与董事、监事、高级管理人员及其关联人资金往来情况等</w:t>
      </w:r>
      <w:r>
        <w:rPr>
          <w:spacing w:val="-66"/>
        </w:rPr>
        <w:t> </w:t>
      </w:r>
      <w:r>
        <w:rPr>
          <w:spacing w:val="-66"/>
        </w:rPr>
      </w:r>
      <w:r>
        <w:rPr/>
        <w:t>进行定期核查，对内部审计部门提交的内部审计报告及相关资料出具书面的评估意见，并提交董事会审议。</w:t>
      </w:r>
    </w:p>
    <w:p>
      <w:pPr>
        <w:spacing w:after="0" w:line="319" w:lineRule="auto"/>
        <w:jc w:val="both"/>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60" w:lineRule="auto" w:before="116"/>
        <w:ind w:right="7332"/>
        <w:jc w:val="left"/>
      </w:pPr>
      <w:r>
        <w:rPr/>
        <w:t>□ 是 √ 否 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公司按照《董事、监事、高级管理人员薪酬与考核管理办法》，建立了高级管理人员的薪酬与公司业绩挂钩的绩效考核</w:t>
      </w:r>
      <w:r>
        <w:rPr/>
        <w:t> </w:t>
      </w:r>
      <w:r>
        <w:rPr>
          <w:spacing w:val="-2"/>
        </w:rPr>
        <w:t>机制，实行基本薪酬与绩效薪酬相结合的薪酬制度，由董事会薪酬与考核委员会对高级管理人员进行年度考核评定，提出考</w:t>
      </w:r>
      <w:r>
        <w:rPr>
          <w:spacing w:val="-66"/>
        </w:rPr>
        <w:t> </w:t>
      </w:r>
      <w:r>
        <w:rPr>
          <w:spacing w:val="-66"/>
        </w:rPr>
      </w:r>
      <w:r>
        <w:rPr/>
        <w:t>核对象的年度绩效薪酬与下一年度基本薪酬方案。</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23"/>
        <w:gridCol w:w="3872"/>
        <w:gridCol w:w="2864"/>
      </w:tblGrid>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458"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103" w:right="156"/>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 标准如下：</w:t>
            </w:r>
          </w:p>
          <w:p>
            <w:pPr>
              <w:pStyle w:val="TableParagraph"/>
              <w:spacing w:line="319" w:lineRule="auto" w:before="58"/>
              <w:ind w:left="103" w:right="246"/>
              <w:jc w:val="left"/>
              <w:rPr>
                <w:rFonts w:ascii="宋体" w:hAnsi="宋体" w:cs="宋体" w:eastAsia="宋体" w:hint="default"/>
                <w:sz w:val="18"/>
                <w:szCs w:val="18"/>
              </w:rPr>
            </w:pPr>
            <w:r>
              <w:rPr>
                <w:rFonts w:ascii="宋体" w:hAnsi="宋体" w:cs="宋体" w:eastAsia="宋体" w:hint="default"/>
                <w:sz w:val="18"/>
                <w:szCs w:val="18"/>
              </w:rPr>
              <w:t>① 公司董事、监事和高级管理人员的舞弊行 为；</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② 公司更正已公布的财务报告；</w:t>
            </w:r>
          </w:p>
          <w:p>
            <w:pPr>
              <w:pStyle w:val="TableParagraph"/>
              <w:spacing w:line="316" w:lineRule="auto" w:before="76"/>
              <w:ind w:left="103" w:right="246"/>
              <w:jc w:val="left"/>
              <w:rPr>
                <w:rFonts w:ascii="宋体" w:hAnsi="宋体" w:cs="宋体" w:eastAsia="宋体" w:hint="default"/>
                <w:sz w:val="18"/>
                <w:szCs w:val="18"/>
              </w:rPr>
            </w:pPr>
            <w:r>
              <w:rPr>
                <w:rFonts w:ascii="宋体" w:hAnsi="宋体" w:cs="宋体" w:eastAsia="宋体" w:hint="default"/>
                <w:sz w:val="18"/>
                <w:szCs w:val="18"/>
              </w:rPr>
              <w:t>③ 注册会计师发现的却未被公司内部控制识 别的当期财务报告中的重大错报；</w:t>
            </w:r>
          </w:p>
          <w:p>
            <w:pPr>
              <w:pStyle w:val="TableParagraph"/>
              <w:spacing w:line="319" w:lineRule="auto" w:before="19"/>
              <w:ind w:left="103" w:right="246"/>
              <w:jc w:val="left"/>
              <w:rPr>
                <w:rFonts w:ascii="宋体" w:hAnsi="宋体" w:cs="宋体" w:eastAsia="宋体" w:hint="default"/>
                <w:sz w:val="18"/>
                <w:szCs w:val="18"/>
              </w:rPr>
            </w:pPr>
            <w:r>
              <w:rPr>
                <w:rFonts w:ascii="宋体" w:hAnsi="宋体" w:cs="宋体" w:eastAsia="宋体" w:hint="default"/>
                <w:sz w:val="18"/>
                <w:szCs w:val="18"/>
              </w:rPr>
              <w:t>④ 审计委员会和审计部门对公司的对外财务 报告和财务报告内部控制监督无效。</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5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 </w:t>
            </w:r>
            <w:r>
              <w:rPr>
                <w:rFonts w:ascii="宋体" w:hAnsi="宋体" w:cs="宋体" w:eastAsia="宋体" w:hint="default"/>
                <w:spacing w:val="-4"/>
                <w:sz w:val="18"/>
                <w:szCs w:val="18"/>
              </w:rPr>
              <w:t>对业务流程有效性的影响程度、发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生的可能性作判定。如果缺陷发生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的可能性高，会严重降低工作效率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或效果、或严重加大效果的不确定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性、或使之严重偏离预期目标为重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大缺陷；如果缺陷发生的可能性较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高，会显著降低工作效率或效果、 </w:t>
            </w:r>
            <w:r>
              <w:rPr>
                <w:rFonts w:ascii="宋体" w:hAnsi="宋体" w:cs="宋体" w:eastAsia="宋体" w:hint="default"/>
                <w:spacing w:val="-4"/>
                <w:sz w:val="18"/>
                <w:szCs w:val="18"/>
              </w:rPr>
              <w:t>或显著加大效果的不确定性、或使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之显著偏离预期目标为重要缺陷； </w:t>
            </w:r>
            <w:r>
              <w:rPr>
                <w:rFonts w:ascii="宋体" w:hAnsi="宋体" w:cs="宋体" w:eastAsia="宋体" w:hint="default"/>
                <w:spacing w:val="-4"/>
                <w:sz w:val="18"/>
                <w:szCs w:val="18"/>
              </w:rPr>
              <w:t>如果缺陷发生的可能性较小，会降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低工作效率或效果、或加大效果的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不确定性、或使之偏离预期目标为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一般缺陷。</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23"/>
        <w:gridCol w:w="3872"/>
        <w:gridCol w:w="2864"/>
      </w:tblGrid>
      <w:tr>
        <w:trPr>
          <w:trHeight w:val="352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1"/>
              <w:jc w:val="left"/>
              <w:rPr>
                <w:rFonts w:ascii="宋体" w:hAnsi="宋体" w:cs="宋体" w:eastAsia="宋体" w:hint="default"/>
                <w:sz w:val="18"/>
                <w:szCs w:val="18"/>
              </w:rPr>
            </w:pPr>
            <w:r>
              <w:rPr>
                <w:rFonts w:ascii="宋体" w:hAnsi="宋体" w:cs="宋体" w:eastAsia="宋体" w:hint="default"/>
                <w:spacing w:val="-2"/>
                <w:sz w:val="18"/>
                <w:szCs w:val="18"/>
              </w:rPr>
              <w:t>定量标准以营业收入、资产总额作为衡量指标。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一般缺陷；如果超过营业收入的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则认定为重要缺陷；如果超过营业收入的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则认定为重大缺陷；如果该缺陷单独或连同其 他缺陷可能导致的财务报告错报金额小于资产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，则认定为一般缺陷；如果超过资产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 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，则认定为重大缺陷；一般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缺陷为重大缺陷、重要缺陷以外的缺陷。</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101" w:right="231"/>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 定量标准参照财务报告内部控制 缺陷的定量标准执行。</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52"/>
        <w:gridCol w:w="6712"/>
      </w:tblGrid>
      <w:tr>
        <w:trPr>
          <w:trHeight w:val="402" w:hRule="exact"/>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大信会计师事务所认为：先进数通按照《企业内部控制基本规范》和相关规定于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 持了有效的财务报告内部控制。</w:t>
            </w:r>
          </w:p>
        </w:tc>
      </w:tr>
      <w:tr>
        <w:trPr>
          <w:trHeight w:val="40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日在巨潮资讯网刊登的《内部控制鉴证报告》</w:t>
            </w:r>
          </w:p>
        </w:tc>
      </w:tr>
      <w:tr>
        <w:trPr>
          <w:trHeight w:val="40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57" w:lineRule="auto" w:before="117"/>
        <w:ind w:right="4632"/>
        <w:jc w:val="left"/>
      </w:pPr>
      <w:r>
        <w:rPr/>
        <w:t>□ 是 √ 否 会计师事务所出具的内部控制鉴证报告与董事会的自我评价报告意见是否一致</w:t>
      </w:r>
    </w:p>
    <w:p>
      <w:pPr>
        <w:pStyle w:val="BodyText"/>
        <w:spacing w:line="240" w:lineRule="auto" w:before="28"/>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56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1-02257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王卓、于曙光</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b/>
          <w:bCs/>
          <w:w w:val="95"/>
          <w:sz w:val="18"/>
          <w:szCs w:val="18"/>
        </w:rPr>
        <w:t>北京先进数通信息技术股份公司全体股东：</w:t>
      </w:r>
      <w:r>
        <w:rPr>
          <w:rFonts w:ascii="宋体" w:hAnsi="宋体" w:cs="宋体" w:eastAsia="宋体" w:hint="default"/>
          <w:sz w:val="18"/>
          <w:szCs w:val="18"/>
        </w:rPr>
      </w:r>
    </w:p>
    <w:p>
      <w:pPr>
        <w:pStyle w:val="BodyText"/>
        <w:spacing w:line="240" w:lineRule="auto" w:before="51"/>
        <w:ind w:left="113" w:right="-19"/>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before="0"/>
        <w:ind w:left="113" w:right="0"/>
        <w:jc w:val="left"/>
      </w:pPr>
      <w:r>
        <w:rPr/>
        <w:t>大信审字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1-02257</w:t>
      </w:r>
      <w:r>
        <w:rPr/>
        <w:t>号</w:t>
      </w:r>
    </w:p>
    <w:p>
      <w:pPr>
        <w:spacing w:after="0" w:line="240" w:lineRule="auto"/>
        <w:jc w:val="left"/>
        <w:sectPr>
          <w:type w:val="continuous"/>
          <w:pgSz w:w="11910" w:h="16840"/>
          <w:pgMar w:top="1100" w:bottom="1200" w:left="1020" w:right="0"/>
          <w:cols w:num="3" w:equalWidth="0">
            <w:col w:w="3544" w:space="736"/>
            <w:col w:w="1195" w:space="2005"/>
            <w:col w:w="3410"/>
          </w:cols>
        </w:sectPr>
      </w:pPr>
    </w:p>
    <w:p>
      <w:pPr>
        <w:spacing w:line="240" w:lineRule="auto" w:before="5"/>
        <w:rPr>
          <w:rFonts w:ascii="宋体" w:hAnsi="宋体" w:cs="宋体" w:eastAsia="宋体" w:hint="default"/>
          <w:sz w:val="14"/>
          <w:szCs w:val="14"/>
        </w:rPr>
      </w:pPr>
    </w:p>
    <w:p>
      <w:pPr>
        <w:pStyle w:val="BodyText"/>
        <w:spacing w:line="316" w:lineRule="auto" w:before="44"/>
        <w:ind w:left="474" w:right="1118"/>
        <w:jc w:val="left"/>
      </w:pPr>
      <w:r>
        <w:rPr/>
        <w:t>一、审计意见 </w:t>
      </w:r>
      <w:r>
        <w:rPr>
          <w:spacing w:val="-2"/>
        </w:rPr>
        <w:t>我们审计了北京先进数通信息技术股份公司（以下简称“贵公司”）的财务报表，包括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w:t>
      </w:r>
    </w:p>
    <w:p>
      <w:pPr>
        <w:pStyle w:val="BodyText"/>
        <w:spacing w:line="316" w:lineRule="auto"/>
        <w:ind w:right="1118"/>
        <w:jc w:val="left"/>
      </w:pPr>
      <w:r>
        <w:rPr>
          <w:spacing w:val="-2"/>
        </w:rPr>
        <w:t>资产负债表，</w:t>
      </w:r>
      <w:r>
        <w:rPr>
          <w:rFonts w:ascii="宋体" w:hAnsi="宋体" w:cs="宋体" w:eastAsia="宋体" w:hint="default"/>
          <w:spacing w:val="-2"/>
        </w:rPr>
        <w:t>2018</w:t>
      </w:r>
      <w:r>
        <w:rPr>
          <w:spacing w:val="-2"/>
        </w:rPr>
        <w:t>年度的合并及母公司利润表、合并及母公司现金流量表、合并及母公司股东权益变动表，以及财务报表附</w:t>
      </w:r>
      <w:r>
        <w:rPr>
          <w:spacing w:val="-61"/>
        </w:rPr>
        <w:t> </w:t>
      </w:r>
      <w:r>
        <w:rPr>
          <w:spacing w:val="-61"/>
        </w:rPr>
      </w:r>
      <w:r>
        <w:rPr/>
        <w:t>注。</w:t>
      </w:r>
    </w:p>
    <w:p>
      <w:pPr>
        <w:pStyle w:val="BodyText"/>
        <w:spacing w:line="316" w:lineRule="auto"/>
        <w:ind w:right="0" w:firstLine="360"/>
        <w:jc w:val="left"/>
      </w:pPr>
      <w:r>
        <w:rPr>
          <w:spacing w:val="-2"/>
        </w:rPr>
        <w:t>我们认为，后附的财务报表在所有重大方面按照企业会计准则的规定编制，公允反映了贵公司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母公司财务状况以及</w:t>
      </w:r>
      <w:r>
        <w:rPr>
          <w:rFonts w:ascii="宋体" w:hAnsi="宋体" w:cs="宋体" w:eastAsia="宋体" w:hint="default"/>
        </w:rPr>
        <w:t>2018</w:t>
      </w:r>
      <w:r>
        <w:rPr/>
        <w:t>年度的合并及母公司经营成果和现金流量。</w:t>
      </w:r>
    </w:p>
    <w:p>
      <w:pPr>
        <w:spacing w:line="240" w:lineRule="auto" w:before="4"/>
        <w:rPr>
          <w:rFonts w:ascii="宋体" w:hAnsi="宋体" w:cs="宋体" w:eastAsia="宋体" w:hint="default"/>
          <w:sz w:val="25"/>
          <w:szCs w:val="25"/>
        </w:rPr>
      </w:pPr>
    </w:p>
    <w:p>
      <w:pPr>
        <w:pStyle w:val="BodyText"/>
        <w:spacing w:line="316" w:lineRule="auto" w:before="0"/>
        <w:ind w:left="474" w:right="0"/>
        <w:jc w:val="left"/>
      </w:pPr>
      <w:r>
        <w:rPr/>
        <w:t>二、形成审计意见的基础 </w:t>
      </w:r>
      <w:r>
        <w:rPr>
          <w:spacing w:val="-2"/>
        </w:rPr>
        <w:t>我们按照中国注册会计师审计准则的规定执行了审计工作。审计报告的“注册会计师对财务报表审计的责任”部分进一</w:t>
      </w:r>
    </w:p>
    <w:p>
      <w:pPr>
        <w:pStyle w:val="BodyText"/>
        <w:spacing w:line="316" w:lineRule="auto"/>
        <w:ind w:right="1118"/>
        <w:jc w:val="left"/>
      </w:pPr>
      <w:r>
        <w:rPr>
          <w:spacing w:val="-2"/>
        </w:rPr>
        <w:t>步阐述了我们在这些准则下的责任。按照中国注册会计师职业道德守则，我们独立于贵公司，并履行了职业道德方面的其他</w:t>
      </w:r>
      <w:r>
        <w:rPr>
          <w:spacing w:val="-66"/>
        </w:rPr>
        <w:t> </w:t>
      </w:r>
      <w:r>
        <w:rPr>
          <w:spacing w:val="-66"/>
        </w:rPr>
      </w:r>
      <w:r>
        <w:rPr/>
        <w:t>责任。</w:t>
      </w:r>
    </w:p>
    <w:p>
      <w:pPr>
        <w:pStyle w:val="BodyText"/>
        <w:spacing w:line="240" w:lineRule="auto"/>
        <w:ind w:left="474"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ind w:right="0"/>
        <w:jc w:val="left"/>
      </w:pPr>
      <w:r>
        <w:rPr/>
        <w:t>审计并形成审计意见为背景，我们不对这些事项单独发表意见。</w:t>
      </w:r>
    </w:p>
    <w:p>
      <w:pPr>
        <w:pStyle w:val="BodyText"/>
        <w:spacing w:line="316" w:lineRule="auto" w:before="76"/>
        <w:ind w:left="474" w:right="9132"/>
        <w:jc w:val="left"/>
      </w:pPr>
      <w:r>
        <w:rPr/>
        <w:t>（一）营业收入 </w:t>
      </w:r>
      <w:r>
        <w:rPr>
          <w:rFonts w:ascii="宋体" w:hAnsi="宋体" w:cs="宋体" w:eastAsia="宋体" w:hint="default"/>
        </w:rPr>
        <w:t>1.</w:t>
      </w:r>
      <w:r>
        <w:rPr/>
        <w:t>事项描述</w:t>
      </w:r>
    </w:p>
    <w:p>
      <w:pPr>
        <w:pStyle w:val="BodyText"/>
        <w:spacing w:line="316" w:lineRule="auto"/>
        <w:ind w:right="1033" w:firstLine="360"/>
        <w:jc w:val="left"/>
      </w:pPr>
      <w:r>
        <w:rPr>
          <w:spacing w:val="-2"/>
        </w:rPr>
        <w:t>公司营业收入由</w:t>
      </w:r>
      <w:r>
        <w:rPr>
          <w:rFonts w:ascii="宋体" w:hAnsi="宋体" w:cs="宋体" w:eastAsia="宋体" w:hint="default"/>
          <w:spacing w:val="-2"/>
        </w:rPr>
        <w:t>IT</w:t>
      </w:r>
      <w:r>
        <w:rPr>
          <w:spacing w:val="-2"/>
        </w:rPr>
        <w:t>基础设施建设、软件解决方案、</w:t>
      </w:r>
      <w:r>
        <w:rPr>
          <w:rFonts w:ascii="宋体" w:hAnsi="宋体" w:cs="宋体" w:eastAsia="宋体" w:hint="default"/>
          <w:spacing w:val="-2"/>
        </w:rPr>
        <w:t>IT</w:t>
      </w:r>
      <w:r>
        <w:rPr>
          <w:spacing w:val="-2"/>
        </w:rPr>
        <w:t>运行维护服务三种类型组成。</w:t>
      </w:r>
      <w:r>
        <w:rPr>
          <w:rFonts w:ascii="宋体" w:hAnsi="宋体" w:cs="宋体" w:eastAsia="宋体" w:hint="default"/>
          <w:spacing w:val="-2"/>
        </w:rPr>
        <w:t>IT</w:t>
      </w:r>
      <w:r>
        <w:rPr>
          <w:spacing w:val="-2"/>
        </w:rPr>
        <w:t>基础设施建设主要以货物的验收报</w:t>
      </w:r>
      <w:r>
        <w:rPr/>
        <w:t> </w:t>
      </w:r>
      <w:r>
        <w:rPr>
          <w:spacing w:val="-2"/>
        </w:rPr>
        <w:t>告作为收入确认的依据，软件解决方案主要以工作量确认单作为确认收入的依据，</w:t>
      </w:r>
      <w:r>
        <w:rPr>
          <w:rFonts w:ascii="宋体" w:hAnsi="宋体" w:cs="宋体" w:eastAsia="宋体" w:hint="default"/>
          <w:spacing w:val="-2"/>
        </w:rPr>
        <w:t>IT</w:t>
      </w:r>
      <w:r>
        <w:rPr>
          <w:spacing w:val="-2"/>
        </w:rPr>
        <w:t>运行维护服务主要以合同约定的服务期</w:t>
      </w:r>
      <w:r>
        <w:rPr>
          <w:spacing w:val="-61"/>
        </w:rPr>
        <w:t> </w:t>
      </w:r>
      <w:r>
        <w:rPr>
          <w:spacing w:val="-2"/>
        </w:rPr>
        <w:t>限内按月确认收入。报告期内，如财务报表附注五、（二十八）所述，公司营业收入分别为</w:t>
      </w:r>
      <w:r>
        <w:rPr>
          <w:rFonts w:ascii="宋体" w:hAnsi="宋体" w:cs="宋体" w:eastAsia="宋体" w:hint="default"/>
          <w:spacing w:val="-2"/>
        </w:rPr>
        <w:t>2018</w:t>
      </w:r>
      <w:r>
        <w:rPr>
          <w:spacing w:val="-2"/>
        </w:rPr>
        <w:t>年度</w:t>
      </w:r>
      <w:r>
        <w:rPr>
          <w:spacing w:val="1"/>
        </w:rPr>
        <w:t> </w:t>
      </w:r>
      <w:r>
        <w:rPr>
          <w:rFonts w:ascii="宋体" w:hAnsi="宋体" w:cs="宋体" w:eastAsia="宋体" w:hint="default"/>
        </w:rPr>
        <w:t>1,390,348,474.90</w:t>
      </w:r>
      <w:r>
        <w:rPr/>
        <w:t>元、 </w:t>
      </w:r>
      <w:r>
        <w:rPr>
          <w:rFonts w:ascii="宋体" w:hAnsi="宋体" w:cs="宋体" w:eastAsia="宋体" w:hint="default"/>
        </w:rPr>
        <w:t>2017</w:t>
      </w:r>
      <w:r>
        <w:rPr/>
        <w:t>年度</w:t>
      </w:r>
      <w:r>
        <w:rPr>
          <w:rFonts w:ascii="宋体" w:hAnsi="宋体" w:cs="宋体" w:eastAsia="宋体" w:hint="default"/>
        </w:rPr>
        <w:t>1,011,762,811.34</w:t>
      </w:r>
      <w:r>
        <w:rPr/>
        <w:t>，营业收入呈增长趋势。</w:t>
      </w:r>
    </w:p>
    <w:p>
      <w:pPr>
        <w:pStyle w:val="BodyText"/>
        <w:spacing w:line="319" w:lineRule="auto"/>
        <w:ind w:left="474" w:right="2112"/>
        <w:jc w:val="left"/>
      </w:pPr>
      <w:r>
        <w:rPr/>
        <w:t>基于营业收入的增长成为影响利润的重要指标之一，因此我们将营业收入的真实性确定为关键审计事项。 </w:t>
      </w:r>
      <w:r>
        <w:rPr>
          <w:rFonts w:ascii="宋体" w:hAnsi="宋体" w:cs="宋体" w:eastAsia="宋体" w:hint="default"/>
        </w:rPr>
        <w:t>2.</w:t>
      </w:r>
      <w:r>
        <w:rPr/>
        <w:t>审计应对</w:t>
      </w:r>
    </w:p>
    <w:p>
      <w:pPr>
        <w:pStyle w:val="BodyText"/>
        <w:spacing w:line="240" w:lineRule="auto" w:before="17"/>
        <w:ind w:left="474" w:right="0"/>
        <w:jc w:val="left"/>
      </w:pPr>
      <w:r>
        <w:rPr/>
        <w:t>（</w:t>
      </w:r>
      <w:r>
        <w:rPr>
          <w:rFonts w:ascii="宋体" w:hAnsi="宋体" w:cs="宋体" w:eastAsia="宋体" w:hint="default"/>
        </w:rPr>
        <w:t>1</w:t>
      </w:r>
      <w:r>
        <w:rPr/>
        <w:t>）了解公司关于销售与收款的相关内部控制的有效性。</w:t>
      </w:r>
    </w:p>
    <w:p>
      <w:pPr>
        <w:pStyle w:val="BodyText"/>
        <w:spacing w:line="316" w:lineRule="auto" w:before="76"/>
        <w:ind w:right="1122" w:firstLine="360"/>
        <w:jc w:val="left"/>
      </w:pPr>
      <w:r>
        <w:rPr/>
        <w:t>（</w:t>
      </w:r>
      <w:r>
        <w:rPr>
          <w:rFonts w:ascii="宋体" w:hAnsi="宋体" w:cs="宋体" w:eastAsia="宋体" w:hint="default"/>
        </w:rPr>
        <w:t>2</w:t>
      </w:r>
      <w:r>
        <w:rPr/>
        <w:t>）对</w:t>
      </w:r>
      <w:r>
        <w:rPr>
          <w:rFonts w:ascii="宋体" w:hAnsi="宋体" w:cs="宋体" w:eastAsia="宋体" w:hint="default"/>
        </w:rPr>
        <w:t>IT</w:t>
      </w:r>
      <w:r>
        <w:rPr/>
        <w:t>基础设施建设、软件解决方案、</w:t>
      </w:r>
      <w:r>
        <w:rPr>
          <w:rFonts w:ascii="宋体" w:hAnsi="宋体" w:cs="宋体" w:eastAsia="宋体" w:hint="default"/>
        </w:rPr>
        <w:t>IT</w:t>
      </w:r>
      <w:r>
        <w:rPr/>
        <w:t>运行维护服务三种类型的收入，分别按照合同检查各类收入合理保证的样 本量，分别收集样本的合同、验收报告、工作量确认单。</w:t>
      </w:r>
    </w:p>
    <w:p>
      <w:pPr>
        <w:pStyle w:val="BodyText"/>
        <w:spacing w:line="240" w:lineRule="auto"/>
        <w:ind w:left="474" w:right="0"/>
        <w:jc w:val="left"/>
      </w:pPr>
      <w:r>
        <w:rPr/>
        <w:t>（</w:t>
      </w:r>
      <w:r>
        <w:rPr>
          <w:rFonts w:ascii="宋体" w:hAnsi="宋体" w:cs="宋体" w:eastAsia="宋体" w:hint="default"/>
        </w:rPr>
        <w:t>3</w:t>
      </w:r>
      <w:r>
        <w:rPr/>
        <w:t>）检查大额收入开票情况的原始凭证。</w:t>
      </w:r>
    </w:p>
    <w:p>
      <w:pPr>
        <w:spacing w:after="0" w:line="240" w:lineRule="auto"/>
        <w:jc w:val="left"/>
        <w:sectPr>
          <w:type w:val="continuous"/>
          <w:pgSz w:w="11910" w:h="16840"/>
          <w:pgMar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0"/>
        <w:jc w:val="left"/>
      </w:pPr>
      <w:r>
        <w:rPr/>
        <w:t>（</w:t>
      </w:r>
      <w:r>
        <w:rPr>
          <w:rFonts w:ascii="宋体" w:hAnsi="宋体" w:cs="宋体" w:eastAsia="宋体" w:hint="default"/>
        </w:rPr>
        <w:t>4</w:t>
      </w:r>
      <w:r>
        <w:rPr/>
        <w:t>）检查大额收入回款情况的银行回款单。</w:t>
      </w:r>
    </w:p>
    <w:p>
      <w:pPr>
        <w:pStyle w:val="BodyText"/>
        <w:spacing w:line="240" w:lineRule="auto" w:before="76"/>
        <w:ind w:left="474" w:right="0"/>
        <w:jc w:val="left"/>
      </w:pPr>
      <w:r>
        <w:rPr/>
        <w:t>（</w:t>
      </w:r>
      <w:r>
        <w:rPr>
          <w:rFonts w:ascii="宋体" w:hAnsi="宋体" w:cs="宋体" w:eastAsia="宋体" w:hint="default"/>
        </w:rPr>
        <w:t>5</w:t>
      </w:r>
      <w:r>
        <w:rPr/>
        <w:t>）对收入执行独立发函程序，并保持回函达到合理保证。</w:t>
      </w:r>
    </w:p>
    <w:p>
      <w:pPr>
        <w:pStyle w:val="BodyText"/>
        <w:spacing w:line="316" w:lineRule="auto" w:before="76"/>
        <w:ind w:left="474" w:right="8772"/>
        <w:jc w:val="left"/>
      </w:pPr>
      <w:r>
        <w:rPr/>
        <w:t>（二）应收账款减值 </w:t>
      </w:r>
      <w:r>
        <w:rPr>
          <w:rFonts w:ascii="宋体" w:hAnsi="宋体" w:cs="宋体" w:eastAsia="宋体" w:hint="default"/>
        </w:rPr>
        <w:t>1</w:t>
      </w:r>
      <w:r>
        <w:rPr/>
        <w:t>、事项描述</w:t>
      </w:r>
    </w:p>
    <w:p>
      <w:pPr>
        <w:pStyle w:val="BodyText"/>
        <w:spacing w:line="316" w:lineRule="auto"/>
        <w:ind w:right="1032" w:firstLine="360"/>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日，贵公司的应收账款原值为人民币</w:t>
      </w:r>
      <w:r>
        <w:rPr>
          <w:rFonts w:ascii="宋体" w:hAnsi="宋体" w:cs="宋体" w:eastAsia="宋体" w:hint="default"/>
        </w:rPr>
        <w:t>47,785.62</w:t>
      </w:r>
      <w:r>
        <w:rPr/>
        <w:t>万元，坏账准备为人民币</w:t>
      </w:r>
      <w:r>
        <w:rPr>
          <w:rFonts w:ascii="宋体" w:hAnsi="宋体" w:cs="宋体" w:eastAsia="宋体" w:hint="default"/>
        </w:rPr>
        <w:t>1,156.04</w:t>
      </w:r>
      <w:r>
        <w:rPr/>
        <w:t>万元。管理层在对应 收账款的可回收性进行评估时，需要综合考虑应收账款的账龄、货物的留置权、债务人的还款记录、债务人的行业现状等。 由于应收账款余额重大且坏账准备的评估涉及管理层判断，因此我们将应收账款的减值作为关键审计事项。</w:t>
      </w:r>
    </w:p>
    <w:p>
      <w:pPr>
        <w:pStyle w:val="BodyText"/>
        <w:spacing w:line="240" w:lineRule="auto"/>
        <w:ind w:left="474" w:right="0"/>
        <w:jc w:val="left"/>
      </w:pPr>
      <w:r>
        <w:rPr>
          <w:rFonts w:ascii="宋体" w:hAnsi="宋体" w:cs="宋体" w:eastAsia="宋体" w:hint="default"/>
        </w:rPr>
        <w:t>2</w:t>
      </w:r>
      <w:r>
        <w:rPr/>
        <w:t>、审计应对</w:t>
      </w:r>
    </w:p>
    <w:p>
      <w:pPr>
        <w:pStyle w:val="BodyText"/>
        <w:spacing w:line="240" w:lineRule="auto" w:before="76"/>
        <w:ind w:left="474" w:right="0"/>
        <w:jc w:val="left"/>
      </w:pPr>
      <w:r>
        <w:rPr/>
        <w:t>（</w:t>
      </w:r>
      <w:r>
        <w:rPr>
          <w:rFonts w:ascii="宋体" w:hAnsi="宋体" w:cs="宋体" w:eastAsia="宋体" w:hint="default"/>
        </w:rPr>
        <w:t>1</w:t>
      </w:r>
      <w:r>
        <w:rPr/>
        <w:t>）核对记账凭证、发票等支持性记录，检查应收账款账龄的准确性。</w:t>
      </w:r>
    </w:p>
    <w:p>
      <w:pPr>
        <w:pStyle w:val="BodyText"/>
        <w:spacing w:line="240" w:lineRule="auto" w:before="76"/>
        <w:ind w:left="474" w:right="0"/>
        <w:jc w:val="left"/>
      </w:pPr>
      <w:r>
        <w:rPr/>
        <w:t>（</w:t>
      </w:r>
      <w:r>
        <w:rPr>
          <w:rFonts w:ascii="宋体" w:hAnsi="宋体" w:cs="宋体" w:eastAsia="宋体" w:hint="default"/>
        </w:rPr>
        <w:t>2</w:t>
      </w:r>
      <w:r>
        <w:rPr/>
        <w:t>）与管理层进行访谈，了解主要债务人的信息以及管理层对于其可回收性的评估。</w:t>
      </w:r>
    </w:p>
    <w:p>
      <w:pPr>
        <w:pStyle w:val="BodyText"/>
        <w:spacing w:line="240" w:lineRule="auto" w:before="76"/>
        <w:ind w:left="474" w:right="0"/>
        <w:jc w:val="left"/>
      </w:pPr>
      <w:r>
        <w:rPr/>
        <w:t>（</w:t>
      </w:r>
      <w:r>
        <w:rPr>
          <w:rFonts w:ascii="宋体" w:hAnsi="宋体" w:cs="宋体" w:eastAsia="宋体" w:hint="default"/>
        </w:rPr>
        <w:t>3</w:t>
      </w:r>
      <w:r>
        <w:rPr/>
        <w:t>）检查还款记录以及期后还款的相关信息；</w:t>
      </w:r>
    </w:p>
    <w:p>
      <w:pPr>
        <w:pStyle w:val="BodyText"/>
        <w:spacing w:line="316" w:lineRule="auto" w:before="76"/>
        <w:ind w:right="1122" w:firstLine="360"/>
        <w:jc w:val="left"/>
      </w:pPr>
      <w:r>
        <w:rPr/>
        <w:t>（</w:t>
      </w:r>
      <w:r>
        <w:rPr>
          <w:rFonts w:ascii="宋体" w:hAnsi="宋体" w:cs="宋体" w:eastAsia="宋体" w:hint="default"/>
        </w:rPr>
        <w:t>4</w:t>
      </w:r>
      <w:r>
        <w:rPr/>
        <w:t>）选取样本对金额重大的应收账款余额实施函证程序，将函证结果与贵公司记录的金额进行核对。并保持回函达到 合理保证。</w:t>
      </w:r>
    </w:p>
    <w:p>
      <w:pPr>
        <w:pStyle w:val="BodyText"/>
        <w:spacing w:line="316" w:lineRule="auto"/>
        <w:ind w:right="1122" w:firstLine="360"/>
        <w:jc w:val="left"/>
      </w:pPr>
      <w:r>
        <w:rPr/>
        <w:t>（</w:t>
      </w:r>
      <w:r>
        <w:rPr>
          <w:rFonts w:ascii="宋体" w:hAnsi="宋体" w:cs="宋体" w:eastAsia="宋体" w:hint="default"/>
        </w:rPr>
        <w:t>5</w:t>
      </w:r>
      <w:r>
        <w:rPr/>
        <w:t>）通过比较国内的同行业其他上市公司公开披露的信息，对贵公司应收账款坏账准备占应收账款余额比例的总体合 理性进行评估。</w:t>
      </w:r>
    </w:p>
    <w:p>
      <w:pPr>
        <w:spacing w:line="240" w:lineRule="auto" w:before="4"/>
        <w:rPr>
          <w:rFonts w:ascii="宋体" w:hAnsi="宋体" w:cs="宋体" w:eastAsia="宋体" w:hint="default"/>
          <w:sz w:val="25"/>
          <w:szCs w:val="25"/>
        </w:rPr>
      </w:pPr>
    </w:p>
    <w:p>
      <w:pPr>
        <w:pStyle w:val="BodyText"/>
        <w:spacing w:line="316" w:lineRule="auto" w:before="0"/>
        <w:ind w:left="474" w:right="1118"/>
        <w:jc w:val="left"/>
      </w:pPr>
      <w:r>
        <w:rPr/>
        <w:t>四、其他信息 </w:t>
      </w:r>
      <w:r>
        <w:rPr>
          <w:spacing w:val="-2"/>
        </w:rPr>
        <w:t>贵公司管理层（以下简称管理层）对其他信息负责。其他信息包括贵公司</w:t>
      </w:r>
      <w:r>
        <w:rPr>
          <w:rFonts w:ascii="宋体" w:hAnsi="宋体" w:cs="宋体" w:eastAsia="宋体" w:hint="default"/>
          <w:spacing w:val="-2"/>
        </w:rPr>
        <w:t>2018</w:t>
      </w:r>
      <w:r>
        <w:rPr>
          <w:spacing w:val="-2"/>
        </w:rPr>
        <w:t>年年度报告中涵盖的信息，但不包括财务</w:t>
      </w:r>
    </w:p>
    <w:p>
      <w:pPr>
        <w:pStyle w:val="BodyText"/>
        <w:spacing w:line="316" w:lineRule="auto"/>
        <w:ind w:left="474" w:right="1118" w:hanging="360"/>
        <w:jc w:val="left"/>
      </w:pPr>
      <w:r>
        <w:rPr/>
        <w:t>报表和我们的审计报告。 我们对财务报表发表的审计意见并不涵盖其他信息，我们也不对其他信息发表任何形式的鉴证结论。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9" w:lineRule="auto"/>
        <w:ind w:left="47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7"/>
        <w:ind w:right="0"/>
        <w:jc w:val="left"/>
      </w:pPr>
      <w:r>
        <w:rPr/>
        <w:t>报告。</w:t>
      </w:r>
    </w:p>
    <w:p>
      <w:pPr>
        <w:spacing w:line="240" w:lineRule="auto" w:before="0"/>
        <w:rPr>
          <w:rFonts w:ascii="宋体" w:hAnsi="宋体" w:cs="宋体" w:eastAsia="宋体" w:hint="default"/>
          <w:sz w:val="18"/>
          <w:szCs w:val="18"/>
        </w:rPr>
      </w:pPr>
    </w:p>
    <w:p>
      <w:pPr>
        <w:pStyle w:val="BodyText"/>
        <w:spacing w:line="316" w:lineRule="auto" w:before="153"/>
        <w:ind w:left="474" w:right="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ind w:left="474" w:right="0" w:hanging="360"/>
        <w:jc w:val="left"/>
      </w:pPr>
      <w:r>
        <w:rPr/>
        <w:t>务报表不存在由于舞弊或错误导致的重大错报。 </w:t>
      </w:r>
      <w:r>
        <w:rPr>
          <w:spacing w:val="-2"/>
        </w:rPr>
        <w:t>在编制财务报表时，管理层负责评估贵公司的持续经营能力，披露与持续经营相关的事项，并运用持续经营假设，除非</w:t>
      </w:r>
    </w:p>
    <w:p>
      <w:pPr>
        <w:pStyle w:val="BodyText"/>
        <w:spacing w:line="316" w:lineRule="auto"/>
        <w:ind w:left="474" w:right="6072" w:hanging="360"/>
        <w:jc w:val="left"/>
      </w:pPr>
      <w:r>
        <w:rPr/>
        <w:t>管理层计划清算贵公司、终止运营或别无其他现实的选择。 治理层负责监督贵公司的财务报告过程。</w:t>
      </w:r>
    </w:p>
    <w:p>
      <w:pPr>
        <w:spacing w:line="240" w:lineRule="auto" w:before="4"/>
        <w:rPr>
          <w:rFonts w:ascii="宋体" w:hAnsi="宋体" w:cs="宋体" w:eastAsia="宋体" w:hint="default"/>
          <w:sz w:val="25"/>
          <w:szCs w:val="25"/>
        </w:rPr>
      </w:pPr>
    </w:p>
    <w:p>
      <w:pPr>
        <w:pStyle w:val="BodyText"/>
        <w:spacing w:line="316" w:lineRule="auto" w:before="0"/>
        <w:ind w:left="474" w:right="0"/>
        <w:jc w:val="left"/>
      </w:pPr>
      <w:r>
        <w:rPr/>
        <w:t>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ind w:right="1131"/>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ind w:left="474" w:right="0"/>
        <w:jc w:val="left"/>
      </w:pPr>
      <w:r>
        <w:rPr/>
        <w:t>在按照审计准则执行审计工作的过程中，我们运用职业判断，并保持职业怀疑。同时，我们也执行以下工作：</w:t>
      </w:r>
    </w:p>
    <w:p>
      <w:pPr>
        <w:pStyle w:val="BodyText"/>
        <w:spacing w:line="319" w:lineRule="auto" w:before="7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474" w:right="0"/>
        <w:jc w:val="left"/>
      </w:pPr>
      <w:r>
        <w:rPr/>
        <w:t>（二）了解与审计相关的内部控制，以设计恰当的审计程序。</w:t>
      </w:r>
    </w:p>
    <w:p>
      <w:pPr>
        <w:pStyle w:val="BodyText"/>
        <w:spacing w:line="240" w:lineRule="auto" w:before="76"/>
        <w:ind w:left="474" w:right="0"/>
        <w:jc w:val="left"/>
      </w:pPr>
      <w:r>
        <w:rPr/>
        <w:t>（三）评价管理层选用会计政策的恰当性和作出会计估计及相关披露的合理性。</w:t>
      </w:r>
    </w:p>
    <w:p>
      <w:pPr>
        <w:pStyle w:val="BodyText"/>
        <w:spacing w:line="240" w:lineRule="auto" w:before="76"/>
        <w:ind w:left="474" w:right="0"/>
        <w:jc w:val="left"/>
      </w:pPr>
      <w:r>
        <w:rPr/>
        <w:t>（四）对管理层使用持续经营假设的恰当性得出结论。同时，根据获取的审计证据，就可能导致对贵公司持续经营能力</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2"/>
        <w:jc w:val="both"/>
      </w:pP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截至审计报告日可获得的信息。然而，未来的事项或情况可能导致贵公司不能持续经营。</w:t>
      </w:r>
    </w:p>
    <w:p>
      <w:pPr>
        <w:pStyle w:val="BodyText"/>
        <w:spacing w:line="240" w:lineRule="auto"/>
        <w:ind w:left="474" w:right="0"/>
        <w:jc w:val="left"/>
      </w:pPr>
      <w:r>
        <w:rPr/>
        <w:t>（五）评价财务报表的总体列报、结构和内容（包括披露</w:t>
      </w:r>
      <w:r>
        <w:rPr>
          <w:spacing w:val="-90"/>
        </w:rPr>
        <w:t>）</w:t>
      </w:r>
      <w:r>
        <w:rPr/>
        <w:t>，并评价财务报表是否公允反映相关交易和事项。</w:t>
      </w:r>
    </w:p>
    <w:p>
      <w:pPr>
        <w:pStyle w:val="BodyText"/>
        <w:spacing w:line="316" w:lineRule="auto" w:before="77"/>
        <w:ind w:right="1043" w:firstLine="360"/>
        <w:jc w:val="both"/>
      </w:pPr>
      <w:r>
        <w:rPr>
          <w:spacing w:val="-4"/>
        </w:rPr>
        <w:t>（六）就贵公司中实体或业务活动的财务信息获取充分、恰当的审计证据，以对财务报表发表审计意见。我们负责指导、</w:t>
      </w:r>
      <w:r>
        <w:rPr/>
        <w:t> 监督和执行集团审计，并对审计意见承担全部责任。</w:t>
      </w:r>
    </w:p>
    <w:p>
      <w:pPr>
        <w:pStyle w:val="BodyText"/>
        <w:spacing w:line="316" w:lineRule="auto"/>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ind w:right="1131" w:firstLine="360"/>
        <w:jc w:val="both"/>
      </w:pPr>
      <w:r>
        <w:rPr/>
        <w:t>我们还就遵守与独立性相关的职业道德要求向治理层提供声明</w:t>
      </w:r>
      <w:r>
        <w:rPr>
          <w:spacing w:val="-82"/>
        </w:rPr>
        <w:t>，</w:t>
      </w:r>
      <w:r>
        <w:rPr/>
        <w:t>并与治理层沟通可能被合理认为影响我们独立性的所有</w:t>
      </w:r>
      <w:r>
        <w:rPr/>
        <w:t> 关系和其他事项，以及相关的防范措施（如适用</w:t>
      </w:r>
      <w:r>
        <w:rPr>
          <w:spacing w:val="-90"/>
        </w:rPr>
        <w:t>）</w:t>
      </w:r>
      <w:r>
        <w:rPr/>
        <w:t>。</w:t>
      </w:r>
    </w:p>
    <w:p>
      <w:pPr>
        <w:pStyle w:val="BodyText"/>
        <w:spacing w:line="316" w:lineRule="auto"/>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4408" w:val="left" w:leader="none"/>
        </w:tabs>
        <w:spacing w:line="240" w:lineRule="auto" w:before="0"/>
        <w:ind w:left="537" w:right="0"/>
        <w:jc w:val="left"/>
      </w:pPr>
      <w:r>
        <w:rPr/>
        <w:t>大信会计师事务所（特殊普通合伙）</w:t>
        <w:tab/>
        <w:t>中国注册会计师：</w:t>
      </w:r>
    </w:p>
    <w:p>
      <w:pPr>
        <w:pStyle w:val="BodyText"/>
        <w:spacing w:line="240" w:lineRule="auto" w:before="76"/>
        <w:ind w:left="2384" w:right="3318"/>
        <w:jc w:val="center"/>
      </w:pPr>
      <w:r>
        <w:rPr/>
        <w:t>（项目合伙人）</w:t>
      </w:r>
    </w:p>
    <w:p>
      <w:pPr>
        <w:spacing w:line="240" w:lineRule="auto" w:before="0"/>
        <w:rPr>
          <w:rFonts w:ascii="宋体" w:hAnsi="宋体" w:cs="宋体" w:eastAsia="宋体" w:hint="default"/>
          <w:sz w:val="18"/>
          <w:szCs w:val="18"/>
        </w:rPr>
      </w:pPr>
    </w:p>
    <w:p>
      <w:pPr>
        <w:pStyle w:val="BodyText"/>
        <w:tabs>
          <w:tab w:pos="4524" w:val="left" w:leader="none"/>
        </w:tabs>
        <w:spacing w:line="240" w:lineRule="auto" w:before="153"/>
        <w:ind w:left="1374" w:right="0"/>
        <w:jc w:val="left"/>
      </w:pPr>
      <w:r>
        <w:rPr/>
        <w:t>中 国  ·  北 京</w:t>
        <w:tab/>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before="0"/>
        <w:ind w:left="0" w:right="1130"/>
        <w:jc w:val="right"/>
      </w:pPr>
      <w:r>
        <w:rPr/>
        <w:t>二○一九年四月九日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both"/>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财务附注中报表的单位为：人民币元</w:t>
      </w:r>
    </w:p>
    <w:p>
      <w:pPr>
        <w:spacing w:after="0" w:line="240" w:lineRule="auto"/>
        <w:jc w:val="both"/>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tabs>
          <w:tab w:pos="4734" w:val="left" w:leader="none"/>
          <w:tab w:pos="8935" w:val="left" w:leader="none"/>
        </w:tabs>
        <w:spacing w:line="240" w:lineRule="auto" w:before="0"/>
        <w:ind w:right="0"/>
        <w:jc w:val="left"/>
      </w:pPr>
      <w:r>
        <w:rPr/>
        <w:t>编制单位：北京先进数通信息技术股份公司</w:t>
        <w:tab/>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单位：元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716"/>
        <w:gridCol w:w="2525"/>
        <w:gridCol w:w="2339"/>
      </w:tblGrid>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258,257,805.43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345,175,989.29</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467,825,243.85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33,934,078.55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12,864,031.94</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609,095.89</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335,165,856.00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226,609,158.54</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747,019.88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7,689.56</w:t>
            </w: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1,110,466,559.69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1,141,316,997.53</w:t>
            </w:r>
          </w:p>
        </w:tc>
      </w:tr>
      <w:tr>
        <w:trPr>
          <w:trHeight w:val="39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100,656,313.20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102,416,094.05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6,416,918.16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16"/>
        <w:gridCol w:w="2525"/>
        <w:gridCol w:w="2339"/>
      </w:tblGrid>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9,385,732.53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5,143,570.45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15,809,224.30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9,986,831.88</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335,326.47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292,612.62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2,833,686.78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5,190,828.45</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53,291,700.00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208,237,662.85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188,738,555.61</w:t>
            </w: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1,318,704,222.54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r>
      <w:tr>
        <w:trPr>
          <w:trHeight w:val="39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194,230,756.50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168,052,707.91</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48,691,758.96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19,001,660.91</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43,496,141.30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27,627,409.56</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10,929,210.68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22,111,550.22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15,300,058.19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5,856,007.32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16"/>
        <w:gridCol w:w="2525"/>
        <w:gridCol w:w="2339"/>
      </w:tblGrid>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542,647,925.63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592,649,335.92</w:t>
            </w:r>
          </w:p>
        </w:tc>
      </w:tr>
      <w:tr>
        <w:trPr>
          <w:trHeight w:val="39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542,917,925.63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593,279,335.92</w:t>
            </w:r>
          </w:p>
        </w:tc>
      </w:tr>
      <w:tr>
        <w:trPr>
          <w:trHeight w:val="39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181,166,996.00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355,267,253.00</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-9,446,642.95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31,144,910.29</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268,108,998.88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234,278,293.12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775,786,296.91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r>
      <w:tr>
        <w:trPr>
          <w:trHeight w:val="402" w:hRule="exact"/>
        </w:trPr>
        <w:tc>
          <w:tcPr>
            <w:tcW w:w="4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1,318,704,222.54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r>
    </w:tbl>
    <w:p>
      <w:pPr>
        <w:spacing w:line="240" w:lineRule="auto" w:before="3"/>
        <w:rPr>
          <w:rFonts w:ascii="Times New Roman" w:hAnsi="Times New Roman" w:cs="Times New Roman" w:eastAsia="Times New Roman" w:hint="default"/>
          <w:sz w:val="23"/>
          <w:szCs w:val="23"/>
        </w:rPr>
      </w:pPr>
    </w:p>
    <w:p>
      <w:pPr>
        <w:pStyle w:val="BodyText"/>
        <w:tabs>
          <w:tab w:pos="3444" w:val="left" w:leader="none"/>
          <w:tab w:pos="7675" w:val="left" w:leader="none"/>
        </w:tabs>
        <w:spacing w:line="240" w:lineRule="auto" w:before="44"/>
        <w:ind w:right="0"/>
        <w:jc w:val="left"/>
      </w:pPr>
      <w:r>
        <w:rPr/>
        <w:t>法定代表人：林鸿</w:t>
        <w:tab/>
        <w:t>主管会计工作负责人：吴文胜</w:t>
        <w:tab/>
        <w:t>会计机构负责人：刘芹芹</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55"/>
        <w:gridCol w:w="2525"/>
        <w:gridCol w:w="2392"/>
      </w:tblGrid>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248,588,916.06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335,335,749.97</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467,825,243.85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33,934,078.55</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83,050,206.15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76,925,883.95</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609,095.89</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335,165,856.00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226,609,158.54</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721,637.99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1,170,839,175.74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1,195,530,920.66</w:t>
            </w:r>
          </w:p>
        </w:tc>
      </w:tr>
      <w:tr>
        <w:trPr>
          <w:trHeight w:val="39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61,667,379.57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6,416,918.16</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9,385,732.53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5,143,570.45</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15,809,224.30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9,986,831.88</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335,326.47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292,612.62</w:t>
            </w:r>
          </w:p>
        </w:tc>
      </w:tr>
      <w:tr>
        <w:trPr>
          <w:trHeight w:val="403"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2,833,686.78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5,190,828.45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55"/>
        <w:gridCol w:w="2525"/>
        <w:gridCol w:w="2392"/>
      </w:tblGrid>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53,291,700.00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161,581,349.65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140,322,461.56</w:t>
            </w: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1,332,420,525.39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1,335,853,382.22</w:t>
            </w:r>
          </w:p>
        </w:tc>
      </w:tr>
      <w:tr>
        <w:trPr>
          <w:trHeight w:val="393"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194,230,756.50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168,052,707.91</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48,691,758.96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19,001,660.91</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43,496,141.30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27,627,409.56</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10,929,210.68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22,111,550.22</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15,300,058.19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5,856,007.32</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542,647,925.63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592,649,335.92</w:t>
            </w:r>
          </w:p>
        </w:tc>
      </w:tr>
      <w:tr>
        <w:trPr>
          <w:trHeight w:val="39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630,000.00</w:t>
            </w: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542,917,925.63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593,279,335.92</w:t>
            </w:r>
          </w:p>
        </w:tc>
      </w:tr>
      <w:tr>
        <w:trPr>
          <w:trHeight w:val="393"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181,166,996.00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2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55"/>
        <w:gridCol w:w="2526"/>
        <w:gridCol w:w="2392"/>
      </w:tblGrid>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2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2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313,052,012.83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355,267,253.00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13,597,396.78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2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2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36,502,328.93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31,144,910.29</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272,378,658.78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236,161,883.01</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789,502,599.76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742,574,046.30</w:t>
            </w:r>
          </w:p>
        </w:tc>
      </w:tr>
      <w:tr>
        <w:trPr>
          <w:trHeight w:val="402" w:hRule="exact"/>
        </w:trPr>
        <w:tc>
          <w:tcPr>
            <w:tcW w:w="4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1,332,420,525.39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1,335,853,382.22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2564"/>
        <w:gridCol w:w="2315"/>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1,011,762,811.34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1,011,762,811.34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1,328,615,605.52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960,706,800.38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1,169,716,001.27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824,976,926.13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2,526,457.10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2,934,402.13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43,678,054.36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42,532,442.93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52,446,578.62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46,891,975.03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42,983,089.49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31,017,791.42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14,651,343.98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7,950,251.87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16,838,323.54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12,398,413.77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2,308,538.24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4,842,729.83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2,614,080.70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4,403,010.87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1,471,674.11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1,270,881.87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-1,669,666.76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-1,669,666.76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-357.32</w:t>
            </w: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60,976,809.08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50,657,226.07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383,330.25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278,974.19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9"/>
        <w:gridCol w:w="2564"/>
        <w:gridCol w:w="2315"/>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391,775.99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44,964.94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60,968,363.34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50,891,235.32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9,780,247.00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7,961,160.97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5"/>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5"/>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-5,532,403.76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45,655,712.58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39,015,835.16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45,655,712.58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39,015,835.16</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0.28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r>
    </w:tbl>
    <w:p>
      <w:pPr>
        <w:pStyle w:val="BodyText"/>
        <w:tabs>
          <w:tab w:pos="3444" w:val="left" w:leader="none"/>
          <w:tab w:pos="767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法定代表人：林鸿</w:t>
        <w:tab/>
        <w:t>主管会计工作负责人：吴文胜</w:t>
        <w:tab/>
        <w:t>会计机构负责人：刘芹芹</w:t>
      </w:r>
    </w:p>
    <w:p>
      <w:pPr>
        <w:spacing w:after="0" w:line="59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6"/>
        <w:gridCol w:w="2556"/>
        <w:gridCol w:w="2315"/>
      </w:tblGrid>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1,390,348,474.90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1,011,748,900.74</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1,169,716,001.27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824,976,926.13</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2,526,457.10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2,904,382.13</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43,678,054.36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42,532,442.93</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52,179,848.86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46,688,478.79</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42,983,089.49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31,017,791.42</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14,761,279.63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7,951,046.02</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16,838,323.54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12,399,295.58</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2,194,796.02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4,839,178.83</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2,612,181.89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4,402,491.60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1,471,674.11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1,270,881.87</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-357.32</w:t>
            </w: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63,362,879.09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52,508,804.71</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383,330.25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278,974.19</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391,775.99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44,964.94</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63,354,433.35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52,742,813.96</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9,780,247.00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7,961,160.97</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53,574,186.35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44,781,652.99</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1"/>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53,574,186.35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44,781,652.99</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1"/>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6"/>
        <w:gridCol w:w="2556"/>
        <w:gridCol w:w="2315"/>
      </w:tblGrid>
      <w:tr>
        <w:trPr>
          <w:trHeight w:val="714"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7" w:right="0"/>
              <w:jc w:val="left"/>
              <w:rPr>
                <w:rFonts w:ascii="Times New Roman" w:hAnsi="Times New Roman" w:cs="Times New Roman" w:eastAsia="Times New Roman" w:hint="default"/>
                <w:sz w:val="18"/>
                <w:szCs w:val="18"/>
              </w:rPr>
            </w:pPr>
            <w:r>
              <w:rPr>
                <w:rFonts w:ascii="Times New Roman"/>
                <w:sz w:val="18"/>
              </w:rPr>
              <w:t>53,574,186.35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6" w:right="0"/>
              <w:jc w:val="left"/>
              <w:rPr>
                <w:rFonts w:ascii="Times New Roman" w:hAnsi="Times New Roman" w:cs="Times New Roman" w:eastAsia="Times New Roman" w:hint="default"/>
                <w:sz w:val="18"/>
                <w:szCs w:val="18"/>
              </w:rPr>
            </w:pPr>
            <w:r>
              <w:rPr>
                <w:rFonts w:ascii="Times New Roman"/>
                <w:sz w:val="18"/>
              </w:rPr>
              <w:t>44,781,652.99</w:t>
            </w:r>
          </w:p>
        </w:tc>
      </w:tr>
      <w:tr>
        <w:trPr>
          <w:trHeight w:val="39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56"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644"/>
        <w:gridCol w:w="2111"/>
        <w:gridCol w:w="1909"/>
      </w:tblGrid>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1,666,831,709.83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1,042,936,846.49</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1,552,450.76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678,060.51</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25,581,715.78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22,886,414.38</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1,693,965,876.37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1,066,501,321.38</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1,275,477,546.45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891,722,774.98</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22"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22"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231,234,164.51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221,654,028.02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34,154,526.72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28,174,415.32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65,623,174.43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63,479,164.84</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1,606,489,412.11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1,205,030,383.16</w:t>
            </w:r>
          </w:p>
        </w:tc>
      </w:tr>
      <w:tr>
        <w:trPr>
          <w:trHeight w:val="407"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87,476,464.26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-138,529,061.78</w:t>
            </w:r>
          </w:p>
        </w:tc>
      </w:tr>
      <w:tr>
        <w:trPr>
          <w:trHeight w:val="397"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21,000.00</w:t>
            </w:r>
          </w:p>
        </w:tc>
        <w:tc>
          <w:tcPr>
            <w:tcW w:w="19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644"/>
        <w:gridCol w:w="2111"/>
        <w:gridCol w:w="1909"/>
      </w:tblGrid>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63"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21,000.00</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31,312,738.23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64,787,558.78</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6,000,000.00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114,000,000.00</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63"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37,312,738.23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178,787,558.78</w:t>
            </w:r>
          </w:p>
        </w:tc>
      </w:tr>
      <w:tr>
        <w:trPr>
          <w:trHeight w:val="407"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-37,291,738.23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-178,787,558.78</w:t>
            </w:r>
          </w:p>
        </w:tc>
      </w:tr>
      <w:tr>
        <w:trPr>
          <w:trHeight w:val="39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13,058,730.00</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383,814,624.33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63"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396,873,354.33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503,814,624.33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262,829,839.02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28,838,315.48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24,999,295.58</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63"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2111"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532,652,939.81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287,829,134.60</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-135,779,585.48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224,000,704.42</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108,383.19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-136,258.20</w:t>
            </w:r>
            <w:r>
              <w:rPr>
                <w:rFonts w:ascii="Times New Roman"/>
                <w:sz w:val="18"/>
              </w:rPr>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-85,486,476.26</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-93,452,174.34</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341,409,880.20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r>
      <w:tr>
        <w:trPr>
          <w:trHeight w:val="402" w:hRule="exact"/>
        </w:trPr>
        <w:tc>
          <w:tcPr>
            <w:tcW w:w="5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255,923,403.94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690"/>
        <w:gridCol w:w="2127"/>
        <w:gridCol w:w="1871"/>
      </w:tblGrid>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2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1,666,831,709.83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1,042,922,935.89</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2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1,552,450.76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678,060.51</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22"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25,581,493.50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22,883,111.00</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1,693,965,654.09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1,066,484,107.40</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1,275,477,546.45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891,722,774.98</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231,234,164.51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221,654,028.02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34,136,834.39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28,137,246.14</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71,469,294.53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147,133,951.73</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1,612,317,839.88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1,288,648,000.87</w:t>
            </w:r>
          </w:p>
        </w:tc>
      </w:tr>
      <w:tr>
        <w:trPr>
          <w:trHeight w:val="407"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81,647,814.21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-222,163,893.47</w:t>
            </w:r>
          </w:p>
        </w:tc>
      </w:tr>
      <w:tr>
        <w:trPr>
          <w:trHeight w:val="397"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19,962,581.12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21,000.00</w:t>
            </w: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21,000.00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19,962,581.12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31,312,738.23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64,787,558.78</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31,312,738.23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124,787,558.78</w:t>
            </w:r>
          </w:p>
        </w:tc>
      </w:tr>
      <w:tr>
        <w:trPr>
          <w:trHeight w:val="407"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-31,291,738.23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-104,824,977.66</w:t>
            </w:r>
          </w:p>
        </w:tc>
      </w:tr>
      <w:tr>
        <w:trPr>
          <w:trHeight w:val="397"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13,058,730.00</w:t>
            </w: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383,814,624.33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511,829,839.02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396,873,354.33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511,829,839.02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690"/>
        <w:gridCol w:w="2127"/>
        <w:gridCol w:w="1871"/>
      </w:tblGrid>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503,814,624.33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262,829,839.02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28,838,315.48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24,999,295.58</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532,652,939.81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287,829,134.60</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-135,779,585.48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224,000,704.42</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108,383.19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-136,258.20</w:t>
            </w:r>
            <w:r>
              <w:rPr>
                <w:rFonts w:ascii="Times New Roman"/>
                <w:sz w:val="18"/>
              </w:rPr>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-85,315,126.31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-103,124,424.91</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63"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331,569,640.88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434,694,065.79</w:t>
            </w:r>
          </w:p>
        </w:tc>
      </w:tr>
      <w:tr>
        <w:trPr>
          <w:trHeight w:val="402" w:hRule="exact"/>
        </w:trPr>
        <w:tc>
          <w:tcPr>
            <w:tcW w:w="5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246,254,514.57</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331,569,640.88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816"/>
        <w:gridCol w:w="456"/>
        <w:gridCol w:w="416"/>
        <w:gridCol w:w="419"/>
        <w:gridCol w:w="743"/>
        <w:gridCol w:w="724"/>
        <w:gridCol w:w="770"/>
        <w:gridCol w:w="551"/>
        <w:gridCol w:w="813"/>
        <w:gridCol w:w="598"/>
        <w:gridCol w:w="737"/>
        <w:gridCol w:w="508"/>
        <w:gridCol w:w="774"/>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2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70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58" w:right="157"/>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111" w:right="11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38" w:type="dxa"/>
            <w:vMerge/>
            <w:tcBorders>
              <w:left w:val="single" w:sz="4" w:space="0" w:color="000000"/>
              <w:right w:val="single" w:sz="4" w:space="0" w:color="000000"/>
            </w:tcBorders>
            <w:shd w:val="clear" w:color="auto" w:fill="D2D2D2"/>
          </w:tcPr>
          <w:p>
            <w:pP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9" w:right="191"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86" w:right="18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75" w:right="102" w:hanging="74"/>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8" w:right="18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11" w:right="12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3" w:right="18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08" w:type="dxa"/>
            <w:vMerge/>
            <w:tcBorders>
              <w:left w:val="single" w:sz="4" w:space="0" w:color="000000"/>
              <w:right w:val="single" w:sz="4" w:space="0" w:color="000000"/>
            </w:tcBorders>
            <w:shd w:val="clear" w:color="auto" w:fill="D2D2D2"/>
          </w:tcPr>
          <w:p>
            <w:pPr/>
          </w:p>
        </w:tc>
        <w:tc>
          <w:tcPr>
            <w:tcW w:w="774"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2" w:right="13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743"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shd w:val="clear" w:color="auto" w:fill="D2D2D2"/>
          </w:tcPr>
          <w:p>
            <w:pPr/>
          </w:p>
        </w:tc>
        <w:tc>
          <w:tcPr>
            <w:tcW w:w="77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598"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Times New Roman" w:hAnsi="Times New Roman" w:cs="Times New Roman" w:eastAsia="Times New Roman" w:hint="default"/>
                <w:sz w:val="16"/>
                <w:szCs w:val="16"/>
              </w:rPr>
            </w:pPr>
            <w:r>
              <w:rPr>
                <w:rFonts w:ascii="Times New Roman"/>
                <w:sz w:val="16"/>
              </w:rPr>
              <w:t>120,000,</w:t>
            </w:r>
          </w:p>
          <w:p>
            <w:pPr>
              <w:pStyle w:val="TableParagraph"/>
              <w:spacing w:line="240" w:lineRule="auto" w:before="128"/>
              <w:ind w:left="157" w:right="0"/>
              <w:jc w:val="center"/>
              <w:rPr>
                <w:rFonts w:ascii="Times New Roman" w:hAnsi="Times New Roman" w:cs="Times New Roman" w:eastAsia="Times New Roman" w:hint="default"/>
                <w:sz w:val="16"/>
                <w:szCs w:val="16"/>
              </w:rPr>
            </w:pPr>
            <w:r>
              <w:rPr>
                <w:rFonts w:ascii="Times New Roman"/>
                <w:sz w:val="16"/>
              </w:rPr>
              <w:t>000.00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355,267</w:t>
            </w:r>
          </w:p>
          <w:p>
            <w:pPr>
              <w:pStyle w:val="TableParagraph"/>
              <w:spacing w:line="240" w:lineRule="auto" w:before="128"/>
              <w:ind w:left="148" w:right="0"/>
              <w:jc w:val="left"/>
              <w:rPr>
                <w:rFonts w:ascii="Times New Roman" w:hAnsi="Times New Roman" w:cs="Times New Roman" w:eastAsia="Times New Roman" w:hint="default"/>
                <w:sz w:val="16"/>
                <w:szCs w:val="16"/>
              </w:rPr>
            </w:pPr>
            <w:r>
              <w:rPr>
                <w:rFonts w:ascii="Times New Roman"/>
                <w:sz w:val="16"/>
              </w:rPr>
              <w:t>,253.00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center"/>
              <w:rPr>
                <w:rFonts w:ascii="Times New Roman" w:hAnsi="Times New Roman" w:cs="Times New Roman" w:eastAsia="Times New Roman" w:hint="default"/>
                <w:sz w:val="16"/>
                <w:szCs w:val="16"/>
              </w:rPr>
            </w:pPr>
            <w:r>
              <w:rPr>
                <w:rFonts w:ascii="Times New Roman"/>
                <w:sz w:val="16"/>
              </w:rPr>
              <w:t>-3,914,2</w:t>
            </w:r>
          </w:p>
          <w:p>
            <w:pPr>
              <w:pStyle w:val="TableParagraph"/>
              <w:spacing w:line="240" w:lineRule="auto" w:before="128"/>
              <w:ind w:left="194" w:right="0"/>
              <w:jc w:val="center"/>
              <w:rPr>
                <w:rFonts w:ascii="Times New Roman" w:hAnsi="Times New Roman" w:cs="Times New Roman" w:eastAsia="Times New Roman" w:hint="default"/>
                <w:sz w:val="16"/>
                <w:szCs w:val="16"/>
              </w:rPr>
            </w:pPr>
            <w:r>
              <w:rPr>
                <w:rFonts w:ascii="Times New Roman"/>
                <w:sz w:val="16"/>
              </w:rPr>
              <w:t>39.19</w:t>
            </w: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6"/>
                <w:szCs w:val="16"/>
              </w:rPr>
            </w:pPr>
            <w:r>
              <w:rPr>
                <w:rFonts w:ascii="Times New Roman"/>
                <w:sz w:val="16"/>
              </w:rPr>
              <w:t>31,144,9</w:t>
            </w:r>
          </w:p>
          <w:p>
            <w:pPr>
              <w:pStyle w:val="TableParagraph"/>
              <w:spacing w:line="240" w:lineRule="auto" w:before="128"/>
              <w:ind w:left="340" w:right="0"/>
              <w:jc w:val="left"/>
              <w:rPr>
                <w:rFonts w:ascii="Times New Roman" w:hAnsi="Times New Roman" w:cs="Times New Roman" w:eastAsia="Times New Roman" w:hint="default"/>
                <w:sz w:val="16"/>
                <w:szCs w:val="16"/>
              </w:rPr>
            </w:pPr>
            <w:r>
              <w:rPr>
                <w:rFonts w:ascii="Times New Roman"/>
                <w:sz w:val="16"/>
              </w:rPr>
              <w:t>10.29</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234,278</w:t>
            </w:r>
          </w:p>
          <w:p>
            <w:pPr>
              <w:pStyle w:val="TableParagraph"/>
              <w:spacing w:line="240" w:lineRule="auto" w:before="128"/>
              <w:ind w:left="143" w:right="0"/>
              <w:jc w:val="left"/>
              <w:rPr>
                <w:rFonts w:ascii="Times New Roman" w:hAnsi="Times New Roman" w:cs="Times New Roman" w:eastAsia="Times New Roman" w:hint="default"/>
                <w:sz w:val="16"/>
                <w:szCs w:val="16"/>
              </w:rPr>
            </w:pPr>
            <w:r>
              <w:rPr>
                <w:rFonts w:ascii="Times New Roman"/>
                <w:sz w:val="16"/>
              </w:rPr>
              <w:t>,293.12</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736,776</w:t>
            </w:r>
          </w:p>
          <w:p>
            <w:pPr>
              <w:pStyle w:val="TableParagraph"/>
              <w:spacing w:line="240" w:lineRule="auto" w:before="128"/>
              <w:ind w:left="181" w:right="0"/>
              <w:jc w:val="left"/>
              <w:rPr>
                <w:rFonts w:ascii="Times New Roman" w:hAnsi="Times New Roman" w:cs="Times New Roman" w:eastAsia="Times New Roman" w:hint="default"/>
                <w:sz w:val="16"/>
                <w:szCs w:val="16"/>
              </w:rPr>
            </w:pPr>
            <w:r>
              <w:rPr>
                <w:rFonts w:ascii="Times New Roman"/>
                <w:sz w:val="16"/>
              </w:rPr>
              <w:t>,217.22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Times New Roman" w:hAnsi="Times New Roman" w:cs="Times New Roman" w:eastAsia="Times New Roman" w:hint="default"/>
                <w:sz w:val="16"/>
                <w:szCs w:val="16"/>
              </w:rPr>
            </w:pPr>
            <w:r>
              <w:rPr>
                <w:rFonts w:ascii="Times New Roman"/>
                <w:sz w:val="16"/>
              </w:rPr>
              <w:t>120,000,</w:t>
            </w:r>
          </w:p>
          <w:p>
            <w:pPr>
              <w:pStyle w:val="TableParagraph"/>
              <w:spacing w:line="240" w:lineRule="auto" w:before="128"/>
              <w:ind w:left="157" w:right="0"/>
              <w:jc w:val="center"/>
              <w:rPr>
                <w:rFonts w:ascii="Times New Roman" w:hAnsi="Times New Roman" w:cs="Times New Roman" w:eastAsia="Times New Roman" w:hint="default"/>
                <w:sz w:val="16"/>
                <w:szCs w:val="16"/>
              </w:rPr>
            </w:pPr>
            <w:r>
              <w:rPr>
                <w:rFonts w:ascii="Times New Roman"/>
                <w:sz w:val="16"/>
              </w:rPr>
              <w:t>000.00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355,267</w:t>
            </w:r>
          </w:p>
          <w:p>
            <w:pPr>
              <w:pStyle w:val="TableParagraph"/>
              <w:spacing w:line="240" w:lineRule="auto" w:before="128"/>
              <w:ind w:left="148" w:right="0"/>
              <w:jc w:val="left"/>
              <w:rPr>
                <w:rFonts w:ascii="Times New Roman" w:hAnsi="Times New Roman" w:cs="Times New Roman" w:eastAsia="Times New Roman" w:hint="default"/>
                <w:sz w:val="16"/>
                <w:szCs w:val="16"/>
              </w:rPr>
            </w:pPr>
            <w:r>
              <w:rPr>
                <w:rFonts w:ascii="Times New Roman"/>
                <w:sz w:val="16"/>
              </w:rPr>
              <w:t>,253.00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center"/>
              <w:rPr>
                <w:rFonts w:ascii="Times New Roman" w:hAnsi="Times New Roman" w:cs="Times New Roman" w:eastAsia="Times New Roman" w:hint="default"/>
                <w:sz w:val="16"/>
                <w:szCs w:val="16"/>
              </w:rPr>
            </w:pPr>
            <w:r>
              <w:rPr>
                <w:rFonts w:ascii="Times New Roman"/>
                <w:sz w:val="16"/>
              </w:rPr>
              <w:t>-3,914,2</w:t>
            </w:r>
          </w:p>
          <w:p>
            <w:pPr>
              <w:pStyle w:val="TableParagraph"/>
              <w:spacing w:line="240" w:lineRule="auto" w:before="128"/>
              <w:ind w:left="194" w:right="0"/>
              <w:jc w:val="center"/>
              <w:rPr>
                <w:rFonts w:ascii="Times New Roman" w:hAnsi="Times New Roman" w:cs="Times New Roman" w:eastAsia="Times New Roman" w:hint="default"/>
                <w:sz w:val="16"/>
                <w:szCs w:val="16"/>
              </w:rPr>
            </w:pPr>
            <w:r>
              <w:rPr>
                <w:rFonts w:ascii="Times New Roman"/>
                <w:sz w:val="16"/>
              </w:rPr>
              <w:t>39.19</w:t>
            </w: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6"/>
                <w:szCs w:val="16"/>
              </w:rPr>
            </w:pPr>
            <w:r>
              <w:rPr>
                <w:rFonts w:ascii="Times New Roman"/>
                <w:sz w:val="16"/>
              </w:rPr>
              <w:t>31,144,9</w:t>
            </w:r>
          </w:p>
          <w:p>
            <w:pPr>
              <w:pStyle w:val="TableParagraph"/>
              <w:spacing w:line="240" w:lineRule="auto" w:before="128"/>
              <w:ind w:left="340" w:right="0"/>
              <w:jc w:val="left"/>
              <w:rPr>
                <w:rFonts w:ascii="Times New Roman" w:hAnsi="Times New Roman" w:cs="Times New Roman" w:eastAsia="Times New Roman" w:hint="default"/>
                <w:sz w:val="16"/>
                <w:szCs w:val="16"/>
              </w:rPr>
            </w:pPr>
            <w:r>
              <w:rPr>
                <w:rFonts w:ascii="Times New Roman"/>
                <w:sz w:val="16"/>
              </w:rPr>
              <w:t>10.29</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234,278</w:t>
            </w:r>
          </w:p>
          <w:p>
            <w:pPr>
              <w:pStyle w:val="TableParagraph"/>
              <w:spacing w:line="240" w:lineRule="auto" w:before="128"/>
              <w:ind w:left="143" w:right="0"/>
              <w:jc w:val="left"/>
              <w:rPr>
                <w:rFonts w:ascii="Times New Roman" w:hAnsi="Times New Roman" w:cs="Times New Roman" w:eastAsia="Times New Roman" w:hint="default"/>
                <w:sz w:val="16"/>
                <w:szCs w:val="16"/>
              </w:rPr>
            </w:pPr>
            <w:r>
              <w:rPr>
                <w:rFonts w:ascii="Times New Roman"/>
                <w:sz w:val="16"/>
              </w:rPr>
              <w:t>,293.12</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736,776</w:t>
            </w:r>
          </w:p>
          <w:p>
            <w:pPr>
              <w:pStyle w:val="TableParagraph"/>
              <w:spacing w:line="240" w:lineRule="auto" w:before="128"/>
              <w:ind w:left="181" w:right="0"/>
              <w:jc w:val="left"/>
              <w:rPr>
                <w:rFonts w:ascii="Times New Roman" w:hAnsi="Times New Roman" w:cs="Times New Roman" w:eastAsia="Times New Roman" w:hint="default"/>
                <w:sz w:val="16"/>
                <w:szCs w:val="16"/>
              </w:rPr>
            </w:pPr>
            <w:r>
              <w:rPr>
                <w:rFonts w:ascii="Times New Roman"/>
                <w:sz w:val="16"/>
              </w:rPr>
              <w:t>,217.22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6"/>
                <w:szCs w:val="16"/>
              </w:rPr>
            </w:pPr>
            <w:r>
              <w:rPr>
                <w:rFonts w:ascii="Times New Roman"/>
                <w:sz w:val="16"/>
              </w:rPr>
              <w:t>61,166,9</w:t>
            </w:r>
          </w:p>
          <w:p>
            <w:pPr>
              <w:pStyle w:val="TableParagraph"/>
              <w:spacing w:line="240" w:lineRule="auto" w:before="128"/>
              <w:ind w:left="341" w:right="0"/>
              <w:jc w:val="left"/>
              <w:rPr>
                <w:rFonts w:ascii="Times New Roman" w:hAnsi="Times New Roman" w:cs="Times New Roman" w:eastAsia="Times New Roman" w:hint="default"/>
                <w:sz w:val="16"/>
                <w:szCs w:val="16"/>
              </w:rPr>
            </w:pPr>
            <w:r>
              <w:rPr>
                <w:rFonts w:ascii="Times New Roman"/>
                <w:sz w:val="16"/>
              </w:rPr>
              <w:t>96.00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6"/>
                <w:szCs w:val="16"/>
              </w:rPr>
            </w:pPr>
            <w:r>
              <w:rPr>
                <w:rFonts w:ascii="Times New Roman"/>
                <w:sz w:val="16"/>
              </w:rPr>
              <w:t>-42,215</w:t>
            </w:r>
          </w:p>
          <w:p>
            <w:pPr>
              <w:pStyle w:val="TableParagraph"/>
              <w:spacing w:line="240" w:lineRule="auto" w:before="128"/>
              <w:ind w:left="148" w:right="0"/>
              <w:jc w:val="left"/>
              <w:rPr>
                <w:rFonts w:ascii="Times New Roman" w:hAnsi="Times New Roman" w:cs="Times New Roman" w:eastAsia="Times New Roman" w:hint="default"/>
                <w:sz w:val="16"/>
                <w:szCs w:val="16"/>
              </w:rPr>
            </w:pPr>
            <w:r>
              <w:rPr>
                <w:rFonts w:ascii="Times New Roman"/>
                <w:sz w:val="16"/>
              </w:rPr>
              <w:t>,240.17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6"/>
                <w:szCs w:val="16"/>
              </w:rPr>
            </w:pPr>
            <w:r>
              <w:rPr>
                <w:rFonts w:ascii="Times New Roman"/>
                <w:sz w:val="16"/>
              </w:rPr>
              <w:t>13,597,</w:t>
            </w:r>
          </w:p>
          <w:p>
            <w:pPr>
              <w:pStyle w:val="TableParagraph"/>
              <w:spacing w:line="240" w:lineRule="auto" w:before="128"/>
              <w:ind w:left="169" w:right="0"/>
              <w:jc w:val="left"/>
              <w:rPr>
                <w:rFonts w:ascii="Times New Roman" w:hAnsi="Times New Roman" w:cs="Times New Roman" w:eastAsia="Times New Roman" w:hint="default"/>
                <w:sz w:val="16"/>
                <w:szCs w:val="16"/>
              </w:rPr>
            </w:pPr>
            <w:r>
              <w:rPr>
                <w:rFonts w:ascii="Times New Roman"/>
                <w:sz w:val="16"/>
              </w:rPr>
              <w:t>396.78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6"/>
                <w:szCs w:val="16"/>
              </w:rPr>
            </w:pPr>
            <w:r>
              <w:rPr>
                <w:rFonts w:ascii="Times New Roman"/>
                <w:sz w:val="16"/>
              </w:rPr>
              <w:t>-5,532,4</w:t>
            </w:r>
          </w:p>
          <w:p>
            <w:pPr>
              <w:pStyle w:val="TableParagraph"/>
              <w:spacing w:line="240" w:lineRule="auto" w:before="128"/>
              <w:ind w:left="194" w:right="0"/>
              <w:jc w:val="center"/>
              <w:rPr>
                <w:rFonts w:ascii="Times New Roman" w:hAnsi="Times New Roman" w:cs="Times New Roman" w:eastAsia="Times New Roman" w:hint="default"/>
                <w:sz w:val="16"/>
                <w:szCs w:val="16"/>
              </w:rPr>
            </w:pPr>
            <w:r>
              <w:rPr>
                <w:rFonts w:ascii="Times New Roman"/>
                <w:sz w:val="16"/>
              </w:rPr>
              <w:t>03.76</w:t>
            </w: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0" w:right="0"/>
              <w:jc w:val="left"/>
              <w:rPr>
                <w:rFonts w:ascii="Times New Roman" w:hAnsi="Times New Roman" w:cs="Times New Roman" w:eastAsia="Times New Roman" w:hint="default"/>
                <w:sz w:val="16"/>
                <w:szCs w:val="16"/>
              </w:rPr>
            </w:pPr>
            <w:r>
              <w:rPr>
                <w:rFonts w:ascii="Times New Roman"/>
                <w:sz w:val="16"/>
              </w:rPr>
              <w:t>5,357,41</w:t>
            </w:r>
          </w:p>
          <w:p>
            <w:pPr>
              <w:pStyle w:val="TableParagraph"/>
              <w:spacing w:line="240" w:lineRule="auto" w:before="128"/>
              <w:ind w:left="421" w:right="0"/>
              <w:jc w:val="left"/>
              <w:rPr>
                <w:rFonts w:ascii="Times New Roman" w:hAnsi="Times New Roman" w:cs="Times New Roman" w:eastAsia="Times New Roman" w:hint="default"/>
                <w:sz w:val="16"/>
                <w:szCs w:val="16"/>
              </w:rPr>
            </w:pPr>
            <w:r>
              <w:rPr>
                <w:rFonts w:ascii="Times New Roman"/>
                <w:sz w:val="16"/>
              </w:rPr>
              <w:t>8.64</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6"/>
                <w:szCs w:val="16"/>
              </w:rPr>
            </w:pPr>
            <w:r>
              <w:rPr>
                <w:rFonts w:ascii="Times New Roman"/>
                <w:sz w:val="16"/>
              </w:rPr>
              <w:t>33,830,</w:t>
            </w:r>
          </w:p>
          <w:p>
            <w:pPr>
              <w:pStyle w:val="TableParagraph"/>
              <w:spacing w:line="240" w:lineRule="auto" w:before="128"/>
              <w:ind w:left="183" w:right="0"/>
              <w:jc w:val="left"/>
              <w:rPr>
                <w:rFonts w:ascii="Times New Roman" w:hAnsi="Times New Roman" w:cs="Times New Roman" w:eastAsia="Times New Roman" w:hint="default"/>
                <w:sz w:val="16"/>
                <w:szCs w:val="16"/>
              </w:rPr>
            </w:pPr>
            <w:r>
              <w:rPr>
                <w:rFonts w:ascii="Times New Roman"/>
                <w:sz w:val="16"/>
              </w:rPr>
              <w:t>705.76</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1" w:right="0"/>
              <w:jc w:val="left"/>
              <w:rPr>
                <w:rFonts w:ascii="Times New Roman" w:hAnsi="Times New Roman" w:cs="Times New Roman" w:eastAsia="Times New Roman" w:hint="default"/>
                <w:sz w:val="16"/>
                <w:szCs w:val="16"/>
              </w:rPr>
            </w:pPr>
            <w:r>
              <w:rPr>
                <w:rFonts w:ascii="Times New Roman"/>
                <w:sz w:val="16"/>
              </w:rPr>
              <w:t>39,010,</w:t>
            </w:r>
          </w:p>
          <w:p>
            <w:pPr>
              <w:pStyle w:val="TableParagraph"/>
              <w:spacing w:line="240" w:lineRule="auto" w:before="128"/>
              <w:ind w:left="220" w:right="0"/>
              <w:jc w:val="left"/>
              <w:rPr>
                <w:rFonts w:ascii="Times New Roman" w:hAnsi="Times New Roman" w:cs="Times New Roman" w:eastAsia="Times New Roman" w:hint="default"/>
                <w:sz w:val="16"/>
                <w:szCs w:val="16"/>
              </w:rPr>
            </w:pPr>
            <w:r>
              <w:rPr>
                <w:rFonts w:ascii="Times New Roman"/>
                <w:sz w:val="16"/>
              </w:rPr>
              <w:t>079.69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center"/>
              <w:rPr>
                <w:rFonts w:ascii="Times New Roman" w:hAnsi="Times New Roman" w:cs="Times New Roman" w:eastAsia="Times New Roman" w:hint="default"/>
                <w:sz w:val="16"/>
                <w:szCs w:val="16"/>
              </w:rPr>
            </w:pPr>
            <w:r>
              <w:rPr>
                <w:rFonts w:ascii="Times New Roman"/>
                <w:sz w:val="16"/>
              </w:rPr>
              <w:t>-5,532,4</w:t>
            </w:r>
          </w:p>
          <w:p>
            <w:pPr>
              <w:pStyle w:val="TableParagraph"/>
              <w:spacing w:line="240" w:lineRule="auto" w:before="128"/>
              <w:ind w:left="194" w:right="0"/>
              <w:jc w:val="center"/>
              <w:rPr>
                <w:rFonts w:ascii="Times New Roman" w:hAnsi="Times New Roman" w:cs="Times New Roman" w:eastAsia="Times New Roman" w:hint="default"/>
                <w:sz w:val="16"/>
                <w:szCs w:val="16"/>
              </w:rPr>
            </w:pPr>
            <w:r>
              <w:rPr>
                <w:rFonts w:ascii="Times New Roman"/>
                <w:sz w:val="16"/>
              </w:rPr>
              <w:t>03.76</w:t>
            </w: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6"/>
                <w:szCs w:val="16"/>
              </w:rPr>
            </w:pPr>
            <w:r>
              <w:rPr>
                <w:rFonts w:ascii="Times New Roman"/>
                <w:sz w:val="16"/>
              </w:rPr>
              <w:t>51,188,</w:t>
            </w:r>
          </w:p>
          <w:p>
            <w:pPr>
              <w:pStyle w:val="TableParagraph"/>
              <w:spacing w:line="240" w:lineRule="auto" w:before="128"/>
              <w:ind w:left="189" w:right="0"/>
              <w:jc w:val="left"/>
              <w:rPr>
                <w:rFonts w:ascii="Times New Roman" w:hAnsi="Times New Roman" w:cs="Times New Roman" w:eastAsia="Times New Roman" w:hint="default"/>
                <w:sz w:val="16"/>
                <w:szCs w:val="16"/>
              </w:rPr>
            </w:pPr>
            <w:r>
              <w:rPr>
                <w:rFonts w:ascii="Times New Roman"/>
                <w:sz w:val="16"/>
              </w:rPr>
              <w:t>116.34</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1" w:right="0"/>
              <w:jc w:val="left"/>
              <w:rPr>
                <w:rFonts w:ascii="Times New Roman" w:hAnsi="Times New Roman" w:cs="Times New Roman" w:eastAsia="Times New Roman" w:hint="default"/>
                <w:sz w:val="16"/>
                <w:szCs w:val="16"/>
              </w:rPr>
            </w:pPr>
            <w:r>
              <w:rPr>
                <w:rFonts w:ascii="Times New Roman"/>
                <w:sz w:val="16"/>
              </w:rPr>
              <w:t>45,655,</w:t>
            </w:r>
          </w:p>
          <w:p>
            <w:pPr>
              <w:pStyle w:val="TableParagraph"/>
              <w:spacing w:line="240" w:lineRule="auto" w:before="128"/>
              <w:ind w:left="220" w:right="0"/>
              <w:jc w:val="left"/>
              <w:rPr>
                <w:rFonts w:ascii="Times New Roman" w:hAnsi="Times New Roman" w:cs="Times New Roman" w:eastAsia="Times New Roman" w:hint="default"/>
                <w:sz w:val="16"/>
                <w:szCs w:val="16"/>
              </w:rPr>
            </w:pPr>
            <w:r>
              <w:rPr>
                <w:rFonts w:ascii="Times New Roman"/>
                <w:sz w:val="16"/>
              </w:rPr>
              <w:t>712.58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1,167,00</w:t>
            </w:r>
          </w:p>
          <w:p>
            <w:pPr>
              <w:pStyle w:val="TableParagraph"/>
              <w:spacing w:line="240" w:lineRule="auto" w:before="128"/>
              <w:ind w:left="422" w:right="0"/>
              <w:jc w:val="left"/>
              <w:rPr>
                <w:rFonts w:ascii="Times New Roman" w:hAnsi="Times New Roman" w:cs="Times New Roman" w:eastAsia="Times New Roman" w:hint="default"/>
                <w:sz w:val="16"/>
                <w:szCs w:val="16"/>
              </w:rPr>
            </w:pPr>
            <w:r>
              <w:rPr>
                <w:rFonts w:ascii="Times New Roman"/>
                <w:sz w:val="16"/>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Times New Roman" w:hAnsi="Times New Roman" w:cs="Times New Roman" w:eastAsia="Times New Roman" w:hint="default"/>
                <w:sz w:val="16"/>
                <w:szCs w:val="16"/>
              </w:rPr>
            </w:pPr>
            <w:r>
              <w:rPr>
                <w:rFonts w:ascii="Times New Roman"/>
                <w:sz w:val="16"/>
              </w:rPr>
              <w:t>17,784,</w:t>
            </w:r>
          </w:p>
          <w:p>
            <w:pPr>
              <w:pStyle w:val="TableParagraph"/>
              <w:spacing w:line="240" w:lineRule="auto" w:before="128"/>
              <w:ind w:left="188" w:right="0"/>
              <w:jc w:val="left"/>
              <w:rPr>
                <w:rFonts w:ascii="Times New Roman" w:hAnsi="Times New Roman" w:cs="Times New Roman" w:eastAsia="Times New Roman" w:hint="default"/>
                <w:sz w:val="16"/>
                <w:szCs w:val="16"/>
              </w:rPr>
            </w:pPr>
            <w:r>
              <w:rPr>
                <w:rFonts w:ascii="Times New Roman"/>
                <w:sz w:val="16"/>
              </w:rPr>
              <w:t>755.83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Times New Roman" w:hAnsi="Times New Roman" w:cs="Times New Roman" w:eastAsia="Times New Roman" w:hint="default"/>
                <w:sz w:val="16"/>
                <w:szCs w:val="16"/>
              </w:rPr>
            </w:pPr>
            <w:r>
              <w:rPr>
                <w:rFonts w:ascii="Times New Roman"/>
                <w:sz w:val="16"/>
              </w:rPr>
              <w:t>13,597,</w:t>
            </w:r>
          </w:p>
          <w:p>
            <w:pPr>
              <w:pStyle w:val="TableParagraph"/>
              <w:spacing w:line="240" w:lineRule="auto" w:before="128"/>
              <w:ind w:left="169" w:right="0"/>
              <w:jc w:val="left"/>
              <w:rPr>
                <w:rFonts w:ascii="Times New Roman" w:hAnsi="Times New Roman" w:cs="Times New Roman" w:eastAsia="Times New Roman" w:hint="default"/>
                <w:sz w:val="16"/>
                <w:szCs w:val="16"/>
              </w:rPr>
            </w:pPr>
            <w:r>
              <w:rPr>
                <w:rFonts w:ascii="Times New Roman"/>
                <w:sz w:val="16"/>
              </w:rPr>
              <w:t>396.78</w:t>
            </w: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 w:right="0"/>
              <w:jc w:val="center"/>
              <w:rPr>
                <w:rFonts w:ascii="Times New Roman" w:hAnsi="Times New Roman" w:cs="Times New Roman" w:eastAsia="Times New Roman" w:hint="default"/>
                <w:sz w:val="16"/>
                <w:szCs w:val="16"/>
              </w:rPr>
            </w:pPr>
            <w:r>
              <w:rPr>
                <w:rFonts w:ascii="Times New Roman"/>
                <w:sz w:val="16"/>
              </w:rPr>
              <w:t>5,354,3</w:t>
            </w:r>
          </w:p>
          <w:p>
            <w:pPr>
              <w:pStyle w:val="TableParagraph"/>
              <w:spacing w:line="240" w:lineRule="auto" w:before="128"/>
              <w:ind w:left="198" w:right="0"/>
              <w:jc w:val="center"/>
              <w:rPr>
                <w:rFonts w:ascii="Times New Roman" w:hAnsi="Times New Roman" w:cs="Times New Roman" w:eastAsia="Times New Roman" w:hint="default"/>
                <w:sz w:val="16"/>
                <w:szCs w:val="16"/>
              </w:rPr>
            </w:pPr>
            <w:r>
              <w:rPr>
                <w:rFonts w:ascii="Times New Roman"/>
                <w:sz w:val="16"/>
              </w:rPr>
              <w:t>59.05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1,167,00</w:t>
            </w:r>
          </w:p>
          <w:p>
            <w:pPr>
              <w:pStyle w:val="TableParagraph"/>
              <w:spacing w:line="240" w:lineRule="auto" w:before="128"/>
              <w:ind w:left="422" w:right="0"/>
              <w:jc w:val="left"/>
              <w:rPr>
                <w:rFonts w:ascii="Times New Roman" w:hAnsi="Times New Roman" w:cs="Times New Roman" w:eastAsia="Times New Roman" w:hint="default"/>
                <w:sz w:val="16"/>
                <w:szCs w:val="16"/>
              </w:rPr>
            </w:pPr>
            <w:r>
              <w:rPr>
                <w:rFonts w:ascii="Times New Roman"/>
                <w:sz w:val="16"/>
              </w:rPr>
              <w:t>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4" w:right="0"/>
              <w:jc w:val="left"/>
              <w:rPr>
                <w:rFonts w:ascii="Times New Roman" w:hAnsi="Times New Roman" w:cs="Times New Roman" w:eastAsia="Times New Roman" w:hint="default"/>
                <w:sz w:val="16"/>
                <w:szCs w:val="16"/>
              </w:rPr>
            </w:pPr>
            <w:r>
              <w:rPr>
                <w:rFonts w:ascii="Times New Roman"/>
                <w:sz w:val="16"/>
              </w:rPr>
              <w:t>11,891,</w:t>
            </w:r>
          </w:p>
          <w:p>
            <w:pPr>
              <w:pStyle w:val="TableParagraph"/>
              <w:spacing w:line="240" w:lineRule="auto" w:before="128"/>
              <w:ind w:left="188" w:right="0"/>
              <w:jc w:val="left"/>
              <w:rPr>
                <w:rFonts w:ascii="Times New Roman" w:hAnsi="Times New Roman" w:cs="Times New Roman" w:eastAsia="Times New Roman" w:hint="default"/>
                <w:sz w:val="16"/>
                <w:szCs w:val="16"/>
              </w:rPr>
            </w:pPr>
            <w:r>
              <w:rPr>
                <w:rFonts w:ascii="Times New Roman"/>
                <w:sz w:val="16"/>
              </w:rPr>
              <w:t>730.00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Times New Roman" w:hAnsi="Times New Roman" w:cs="Times New Roman" w:eastAsia="Times New Roman" w:hint="default"/>
                <w:sz w:val="16"/>
                <w:szCs w:val="16"/>
              </w:rPr>
            </w:pPr>
            <w:r>
              <w:rPr>
                <w:rFonts w:ascii="Times New Roman"/>
                <w:sz w:val="16"/>
              </w:rPr>
              <w:t>13,712,</w:t>
            </w:r>
          </w:p>
          <w:p>
            <w:pPr>
              <w:pStyle w:val="TableParagraph"/>
              <w:spacing w:line="240" w:lineRule="auto" w:before="128"/>
              <w:ind w:left="169" w:right="0"/>
              <w:jc w:val="left"/>
              <w:rPr>
                <w:rFonts w:ascii="Times New Roman" w:hAnsi="Times New Roman" w:cs="Times New Roman" w:eastAsia="Times New Roman" w:hint="default"/>
                <w:sz w:val="16"/>
                <w:szCs w:val="16"/>
              </w:rPr>
            </w:pPr>
            <w:r>
              <w:rPr>
                <w:rFonts w:ascii="Times New Roman"/>
                <w:sz w:val="16"/>
              </w:rPr>
              <w:t>972.37</w:t>
            </w: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Times New Roman" w:hAnsi="Times New Roman" w:cs="Times New Roman" w:eastAsia="Times New Roman" w:hint="default"/>
                <w:sz w:val="16"/>
                <w:szCs w:val="16"/>
              </w:rPr>
            </w:pPr>
            <w:r>
              <w:rPr>
                <w:rFonts w:ascii="Times New Roman"/>
                <w:sz w:val="16"/>
              </w:rPr>
              <w:t>-654,24</w:t>
            </w:r>
          </w:p>
          <w:p>
            <w:pPr>
              <w:pStyle w:val="TableParagraph"/>
              <w:spacing w:line="240" w:lineRule="auto" w:before="128"/>
              <w:ind w:left="381" w:right="0"/>
              <w:jc w:val="left"/>
              <w:rPr>
                <w:rFonts w:ascii="Times New Roman" w:hAnsi="Times New Roman" w:cs="Times New Roman" w:eastAsia="Times New Roman" w:hint="default"/>
                <w:sz w:val="16"/>
                <w:szCs w:val="16"/>
              </w:rPr>
            </w:pPr>
            <w:r>
              <w:rPr>
                <w:rFonts w:ascii="Times New Roman"/>
                <w:sz w:val="16"/>
              </w:rPr>
              <w:t>2.37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6"/>
                <w:szCs w:val="16"/>
              </w:rPr>
            </w:pPr>
            <w:r>
              <w:rPr>
                <w:rFonts w:ascii="Times New Roman"/>
                <w:sz w:val="16"/>
              </w:rPr>
              <w:t>5,893,0</w:t>
            </w:r>
          </w:p>
          <w:p>
            <w:pPr>
              <w:pStyle w:val="TableParagraph"/>
              <w:spacing w:line="240" w:lineRule="auto" w:before="128"/>
              <w:ind w:left="164" w:right="0"/>
              <w:jc w:val="center"/>
              <w:rPr>
                <w:rFonts w:ascii="Times New Roman" w:hAnsi="Times New Roman" w:cs="Times New Roman" w:eastAsia="Times New Roman" w:hint="default"/>
                <w:sz w:val="16"/>
                <w:szCs w:val="16"/>
              </w:rPr>
            </w:pPr>
            <w:r>
              <w:rPr>
                <w:rFonts w:ascii="Times New Roman"/>
                <w:sz w:val="16"/>
              </w:rPr>
              <w:t>25.83</w:t>
            </w: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5,893,0</w:t>
            </w:r>
          </w:p>
          <w:p>
            <w:pPr>
              <w:pStyle w:val="TableParagraph"/>
              <w:spacing w:line="240" w:lineRule="auto" w:before="128"/>
              <w:ind w:left="198" w:right="0"/>
              <w:jc w:val="center"/>
              <w:rPr>
                <w:rFonts w:ascii="Times New Roman" w:hAnsi="Times New Roman" w:cs="Times New Roman" w:eastAsia="Times New Roman" w:hint="default"/>
                <w:sz w:val="16"/>
                <w:szCs w:val="16"/>
              </w:rPr>
            </w:pPr>
            <w:r>
              <w:rPr>
                <w:rFonts w:ascii="Times New Roman"/>
                <w:sz w:val="16"/>
              </w:rPr>
              <w:t>25.83</w:t>
            </w:r>
          </w:p>
        </w:tc>
      </w:tr>
    </w:tbl>
    <w:p>
      <w:pPr>
        <w:spacing w:after="0" w:line="240" w:lineRule="auto"/>
        <w:jc w:val="center"/>
        <w:rPr>
          <w:rFonts w:ascii="Times New Roman" w:hAnsi="Times New Roman" w:cs="Times New Roman" w:eastAsia="Times New Roman" w:hint="default"/>
          <w:sz w:val="16"/>
          <w:szCs w:val="16"/>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816"/>
        <w:gridCol w:w="456"/>
        <w:gridCol w:w="416"/>
        <w:gridCol w:w="419"/>
        <w:gridCol w:w="743"/>
        <w:gridCol w:w="724"/>
        <w:gridCol w:w="770"/>
        <w:gridCol w:w="551"/>
        <w:gridCol w:w="813"/>
        <w:gridCol w:w="598"/>
        <w:gridCol w:w="737"/>
        <w:gridCol w:w="508"/>
        <w:gridCol w:w="774"/>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16"/>
                <w:szCs w:val="16"/>
              </w:rPr>
            </w:pPr>
            <w:r>
              <w:rPr>
                <w:rFonts w:ascii="Times New Roman"/>
                <w:sz w:val="16"/>
              </w:rPr>
              <w:t>-115,57</w:t>
            </w:r>
          </w:p>
          <w:p>
            <w:pPr>
              <w:pStyle w:val="TableParagraph"/>
              <w:spacing w:line="240" w:lineRule="auto" w:before="129"/>
              <w:ind w:left="330" w:right="0"/>
              <w:jc w:val="left"/>
              <w:rPr>
                <w:rFonts w:ascii="Times New Roman" w:hAnsi="Times New Roman" w:cs="Times New Roman" w:eastAsia="Times New Roman" w:hint="default"/>
                <w:sz w:val="16"/>
                <w:szCs w:val="16"/>
              </w:rPr>
            </w:pPr>
            <w:r>
              <w:rPr>
                <w:rFonts w:ascii="Times New Roman"/>
                <w:sz w:val="16"/>
              </w:rPr>
              <w:t>5.59</w:t>
            </w: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left"/>
              <w:rPr>
                <w:rFonts w:ascii="Times New Roman" w:hAnsi="Times New Roman" w:cs="Times New Roman" w:eastAsia="Times New Roman" w:hint="default"/>
                <w:sz w:val="16"/>
                <w:szCs w:val="16"/>
              </w:rPr>
            </w:pPr>
            <w:r>
              <w:rPr>
                <w:rFonts w:ascii="Times New Roman"/>
                <w:sz w:val="16"/>
              </w:rPr>
              <w:t>115,575.</w:t>
            </w:r>
          </w:p>
          <w:p>
            <w:pPr>
              <w:pStyle w:val="TableParagraph"/>
              <w:spacing w:line="240" w:lineRule="auto" w:before="129"/>
              <w:ind w:left="501" w:right="0"/>
              <w:jc w:val="left"/>
              <w:rPr>
                <w:rFonts w:ascii="Times New Roman" w:hAnsi="Times New Roman" w:cs="Times New Roman" w:eastAsia="Times New Roman" w:hint="default"/>
                <w:sz w:val="16"/>
                <w:szCs w:val="16"/>
              </w:rPr>
            </w:pPr>
            <w:r>
              <w:rPr>
                <w:rFonts w:ascii="Times New Roman"/>
                <w:sz w:val="16"/>
              </w:rPr>
              <w:t>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6"/>
                <w:szCs w:val="16"/>
              </w:rPr>
            </w:pPr>
            <w:r>
              <w:rPr>
                <w:rFonts w:ascii="Times New Roman"/>
                <w:sz w:val="16"/>
              </w:rPr>
              <w:t>5,357,41</w:t>
            </w:r>
          </w:p>
          <w:p>
            <w:pPr>
              <w:pStyle w:val="TableParagraph"/>
              <w:spacing w:line="240" w:lineRule="auto" w:before="129"/>
              <w:ind w:left="421" w:right="0"/>
              <w:jc w:val="left"/>
              <w:rPr>
                <w:rFonts w:ascii="Times New Roman" w:hAnsi="Times New Roman" w:cs="Times New Roman" w:eastAsia="Times New Roman" w:hint="default"/>
                <w:sz w:val="16"/>
                <w:szCs w:val="16"/>
              </w:rPr>
            </w:pPr>
            <w:r>
              <w:rPr>
                <w:rFonts w:ascii="Times New Roman"/>
                <w:sz w:val="16"/>
              </w:rPr>
              <w:t>8.64</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-17,357</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,410.58</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6"/>
                <w:szCs w:val="16"/>
              </w:rPr>
            </w:pPr>
            <w:r>
              <w:rPr>
                <w:rFonts w:ascii="Times New Roman"/>
                <w:sz w:val="16"/>
              </w:rPr>
              <w:t>-11,999,</w:t>
            </w:r>
          </w:p>
          <w:p>
            <w:pPr>
              <w:pStyle w:val="TableParagraph"/>
              <w:spacing w:line="240" w:lineRule="auto" w:before="129"/>
              <w:ind w:left="220" w:right="0"/>
              <w:jc w:val="left"/>
              <w:rPr>
                <w:rFonts w:ascii="Times New Roman" w:hAnsi="Times New Roman" w:cs="Times New Roman" w:eastAsia="Times New Roman" w:hint="default"/>
                <w:sz w:val="16"/>
                <w:szCs w:val="16"/>
              </w:rPr>
            </w:pPr>
            <w:r>
              <w:rPr>
                <w:rFonts w:ascii="Times New Roman"/>
                <w:sz w:val="16"/>
              </w:rPr>
              <w:t>991.94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6"/>
                <w:szCs w:val="16"/>
              </w:rPr>
            </w:pPr>
            <w:r>
              <w:rPr>
                <w:rFonts w:ascii="Times New Roman"/>
                <w:sz w:val="16"/>
              </w:rPr>
              <w:t>5,357,41</w:t>
            </w:r>
          </w:p>
          <w:p>
            <w:pPr>
              <w:pStyle w:val="TableParagraph"/>
              <w:spacing w:line="240" w:lineRule="auto" w:before="129"/>
              <w:ind w:left="421" w:right="0"/>
              <w:jc w:val="left"/>
              <w:rPr>
                <w:rFonts w:ascii="Times New Roman" w:hAnsi="Times New Roman" w:cs="Times New Roman" w:eastAsia="Times New Roman" w:hint="default"/>
                <w:sz w:val="16"/>
                <w:szCs w:val="16"/>
              </w:rPr>
            </w:pPr>
            <w:r>
              <w:rPr>
                <w:rFonts w:ascii="Times New Roman"/>
                <w:sz w:val="16"/>
              </w:rPr>
              <w:t>8.64</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Times New Roman" w:hAnsi="Times New Roman" w:cs="Times New Roman" w:eastAsia="Times New Roman" w:hint="default"/>
                <w:sz w:val="16"/>
                <w:szCs w:val="16"/>
              </w:rPr>
            </w:pPr>
            <w:r>
              <w:rPr>
                <w:rFonts w:ascii="Times New Roman"/>
                <w:sz w:val="16"/>
              </w:rPr>
              <w:t>-5,357,</w:t>
            </w:r>
          </w:p>
          <w:p>
            <w:pPr>
              <w:pStyle w:val="TableParagraph"/>
              <w:spacing w:line="240" w:lineRule="auto" w:before="129"/>
              <w:ind w:left="183" w:right="0"/>
              <w:jc w:val="left"/>
              <w:rPr>
                <w:rFonts w:ascii="Times New Roman" w:hAnsi="Times New Roman" w:cs="Times New Roman" w:eastAsia="Times New Roman" w:hint="default"/>
                <w:sz w:val="16"/>
                <w:szCs w:val="16"/>
              </w:rPr>
            </w:pPr>
            <w:r>
              <w:rPr>
                <w:rFonts w:ascii="Times New Roman"/>
                <w:sz w:val="16"/>
              </w:rPr>
              <w:t>418.64</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6"/>
                <w:szCs w:val="16"/>
              </w:rPr>
            </w:pPr>
            <w:r>
              <w:rPr>
                <w:rFonts w:ascii="Times New Roman"/>
                <w:sz w:val="16"/>
              </w:rPr>
              <w:t>-11,999</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,991.94</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Times New Roman" w:hAnsi="Times New Roman" w:cs="Times New Roman" w:eastAsia="Times New Roman" w:hint="default"/>
                <w:sz w:val="16"/>
                <w:szCs w:val="16"/>
              </w:rPr>
            </w:pPr>
            <w:r>
              <w:rPr>
                <w:rFonts w:ascii="Times New Roman"/>
                <w:sz w:val="16"/>
              </w:rPr>
              <w:t>-11,999,</w:t>
            </w:r>
          </w:p>
          <w:p>
            <w:pPr>
              <w:pStyle w:val="TableParagraph"/>
              <w:spacing w:line="240" w:lineRule="auto" w:before="129"/>
              <w:ind w:left="220" w:right="0"/>
              <w:jc w:val="left"/>
              <w:rPr>
                <w:rFonts w:ascii="Times New Roman" w:hAnsi="Times New Roman" w:cs="Times New Roman" w:eastAsia="Times New Roman" w:hint="default"/>
                <w:sz w:val="16"/>
                <w:szCs w:val="16"/>
              </w:rPr>
            </w:pPr>
            <w:r>
              <w:rPr>
                <w:rFonts w:ascii="Times New Roman"/>
                <w:sz w:val="16"/>
              </w:rPr>
              <w:t>991.94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59,999,9</w:t>
            </w:r>
          </w:p>
          <w:p>
            <w:pPr>
              <w:pStyle w:val="TableParagraph"/>
              <w:spacing w:line="240" w:lineRule="auto" w:before="129"/>
              <w:ind w:left="341" w:right="0"/>
              <w:jc w:val="left"/>
              <w:rPr>
                <w:rFonts w:ascii="Times New Roman" w:hAnsi="Times New Roman" w:cs="Times New Roman" w:eastAsia="Times New Roman" w:hint="default"/>
                <w:sz w:val="16"/>
                <w:szCs w:val="16"/>
              </w:rPr>
            </w:pPr>
            <w:r>
              <w:rPr>
                <w:rFonts w:ascii="Times New Roman"/>
                <w:sz w:val="16"/>
              </w:rPr>
              <w:t>96.00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5" w:right="0"/>
              <w:jc w:val="left"/>
              <w:rPr>
                <w:rFonts w:ascii="Times New Roman" w:hAnsi="Times New Roman" w:cs="Times New Roman" w:eastAsia="Times New Roman" w:hint="default"/>
                <w:sz w:val="16"/>
                <w:szCs w:val="16"/>
              </w:rPr>
            </w:pPr>
            <w:r>
              <w:rPr>
                <w:rFonts w:ascii="Times New Roman"/>
                <w:sz w:val="16"/>
              </w:rPr>
              <w:t>-59,999</w:t>
            </w:r>
          </w:p>
          <w:p>
            <w:pPr>
              <w:pStyle w:val="TableParagraph"/>
              <w:spacing w:line="240" w:lineRule="auto" w:before="129"/>
              <w:ind w:left="148" w:right="0"/>
              <w:jc w:val="left"/>
              <w:rPr>
                <w:rFonts w:ascii="Times New Roman" w:hAnsi="Times New Roman" w:cs="Times New Roman" w:eastAsia="Times New Roman" w:hint="default"/>
                <w:sz w:val="16"/>
                <w:szCs w:val="16"/>
              </w:rPr>
            </w:pPr>
            <w:r>
              <w:rPr>
                <w:rFonts w:ascii="Times New Roman"/>
                <w:sz w:val="16"/>
              </w:rPr>
              <w:t>,996.00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6"/>
                <w:szCs w:val="16"/>
              </w:rPr>
            </w:pPr>
            <w:r>
              <w:rPr>
                <w:rFonts w:ascii="Times New Roman"/>
                <w:sz w:val="16"/>
              </w:rPr>
              <w:t>59,999,9</w:t>
            </w:r>
          </w:p>
          <w:p>
            <w:pPr>
              <w:pStyle w:val="TableParagraph"/>
              <w:spacing w:line="240" w:lineRule="auto" w:before="129"/>
              <w:ind w:left="341" w:right="0"/>
              <w:jc w:val="left"/>
              <w:rPr>
                <w:rFonts w:ascii="Times New Roman" w:hAnsi="Times New Roman" w:cs="Times New Roman" w:eastAsia="Times New Roman" w:hint="default"/>
                <w:sz w:val="16"/>
                <w:szCs w:val="16"/>
              </w:rPr>
            </w:pPr>
            <w:r>
              <w:rPr>
                <w:rFonts w:ascii="Times New Roman"/>
                <w:sz w:val="16"/>
              </w:rPr>
              <w:t>96.00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5" w:right="0"/>
              <w:jc w:val="left"/>
              <w:rPr>
                <w:rFonts w:ascii="Times New Roman" w:hAnsi="Times New Roman" w:cs="Times New Roman" w:eastAsia="Times New Roman" w:hint="default"/>
                <w:sz w:val="16"/>
                <w:szCs w:val="16"/>
              </w:rPr>
            </w:pPr>
            <w:r>
              <w:rPr>
                <w:rFonts w:ascii="Times New Roman"/>
                <w:sz w:val="16"/>
              </w:rPr>
              <w:t>-59,999</w:t>
            </w:r>
          </w:p>
          <w:p>
            <w:pPr>
              <w:pStyle w:val="TableParagraph"/>
              <w:spacing w:line="240" w:lineRule="auto" w:before="129"/>
              <w:ind w:left="148" w:right="0"/>
              <w:jc w:val="left"/>
              <w:rPr>
                <w:rFonts w:ascii="Times New Roman" w:hAnsi="Times New Roman" w:cs="Times New Roman" w:eastAsia="Times New Roman" w:hint="default"/>
                <w:sz w:val="16"/>
                <w:szCs w:val="16"/>
              </w:rPr>
            </w:pPr>
            <w:r>
              <w:rPr>
                <w:rFonts w:ascii="Times New Roman"/>
                <w:sz w:val="16"/>
              </w:rPr>
              <w:t>,996.00</w:t>
            </w: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Times New Roman" w:hAnsi="Times New Roman" w:cs="Times New Roman" w:eastAsia="Times New Roman" w:hint="default"/>
                <w:sz w:val="16"/>
                <w:szCs w:val="16"/>
              </w:rPr>
            </w:pPr>
            <w:r>
              <w:rPr>
                <w:rFonts w:ascii="Times New Roman"/>
                <w:sz w:val="16"/>
              </w:rPr>
              <w:t>181,166,</w:t>
            </w:r>
          </w:p>
          <w:p>
            <w:pPr>
              <w:pStyle w:val="TableParagraph"/>
              <w:spacing w:line="240" w:lineRule="auto" w:before="129"/>
              <w:ind w:left="157" w:right="0"/>
              <w:jc w:val="center"/>
              <w:rPr>
                <w:rFonts w:ascii="Times New Roman" w:hAnsi="Times New Roman" w:cs="Times New Roman" w:eastAsia="Times New Roman" w:hint="default"/>
                <w:sz w:val="16"/>
                <w:szCs w:val="16"/>
              </w:rPr>
            </w:pPr>
            <w:r>
              <w:rPr>
                <w:rFonts w:ascii="Times New Roman"/>
                <w:sz w:val="16"/>
              </w:rPr>
              <w:t>996.00</w:t>
            </w:r>
          </w:p>
        </w:tc>
        <w:tc>
          <w:tcPr>
            <w:tcW w:w="45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313,052</w:t>
            </w:r>
          </w:p>
          <w:p>
            <w:pPr>
              <w:pStyle w:val="TableParagraph"/>
              <w:spacing w:line="240" w:lineRule="auto" w:before="129"/>
              <w:ind w:left="148" w:right="0"/>
              <w:jc w:val="left"/>
              <w:rPr>
                <w:rFonts w:ascii="Times New Roman" w:hAnsi="Times New Roman" w:cs="Times New Roman" w:eastAsia="Times New Roman" w:hint="default"/>
                <w:sz w:val="16"/>
                <w:szCs w:val="16"/>
              </w:rPr>
            </w:pPr>
            <w:r>
              <w:rPr>
                <w:rFonts w:ascii="Times New Roman"/>
                <w:sz w:val="16"/>
              </w:rPr>
              <w:t>,012.83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0"/>
              <w:jc w:val="left"/>
              <w:rPr>
                <w:rFonts w:ascii="Times New Roman" w:hAnsi="Times New Roman" w:cs="Times New Roman" w:eastAsia="Times New Roman" w:hint="default"/>
                <w:sz w:val="16"/>
                <w:szCs w:val="16"/>
              </w:rPr>
            </w:pPr>
            <w:r>
              <w:rPr>
                <w:rFonts w:ascii="Times New Roman"/>
                <w:sz w:val="16"/>
              </w:rPr>
              <w:t>13,597,</w:t>
            </w:r>
          </w:p>
          <w:p>
            <w:pPr>
              <w:pStyle w:val="TableParagraph"/>
              <w:spacing w:line="240" w:lineRule="auto" w:before="129"/>
              <w:ind w:left="169" w:right="0"/>
              <w:jc w:val="left"/>
              <w:rPr>
                <w:rFonts w:ascii="Times New Roman" w:hAnsi="Times New Roman" w:cs="Times New Roman" w:eastAsia="Times New Roman" w:hint="default"/>
                <w:sz w:val="16"/>
                <w:szCs w:val="16"/>
              </w:rPr>
            </w:pPr>
            <w:r>
              <w:rPr>
                <w:rFonts w:ascii="Times New Roman"/>
                <w:sz w:val="16"/>
              </w:rPr>
              <w:t>396.78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center"/>
              <w:rPr>
                <w:rFonts w:ascii="Times New Roman" w:hAnsi="Times New Roman" w:cs="Times New Roman" w:eastAsia="Times New Roman" w:hint="default"/>
                <w:sz w:val="16"/>
                <w:szCs w:val="16"/>
              </w:rPr>
            </w:pPr>
            <w:r>
              <w:rPr>
                <w:rFonts w:ascii="Times New Roman"/>
                <w:sz w:val="16"/>
              </w:rPr>
              <w:t>-9,446,6</w:t>
            </w:r>
          </w:p>
          <w:p>
            <w:pPr>
              <w:pStyle w:val="TableParagraph"/>
              <w:spacing w:line="240" w:lineRule="auto" w:before="129"/>
              <w:ind w:left="194" w:right="0"/>
              <w:jc w:val="center"/>
              <w:rPr>
                <w:rFonts w:ascii="Times New Roman" w:hAnsi="Times New Roman" w:cs="Times New Roman" w:eastAsia="Times New Roman" w:hint="default"/>
                <w:sz w:val="16"/>
                <w:szCs w:val="16"/>
              </w:rPr>
            </w:pPr>
            <w:r>
              <w:rPr>
                <w:rFonts w:ascii="Times New Roman"/>
                <w:sz w:val="16"/>
              </w:rPr>
              <w:t>42.95</w:t>
            </w:r>
          </w:p>
        </w:tc>
        <w:tc>
          <w:tcPr>
            <w:tcW w:w="55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6"/>
                <w:szCs w:val="16"/>
              </w:rPr>
            </w:pPr>
            <w:r>
              <w:rPr>
                <w:rFonts w:ascii="Times New Roman"/>
                <w:sz w:val="16"/>
              </w:rPr>
              <w:t>36,502,3</w:t>
            </w:r>
          </w:p>
          <w:p>
            <w:pPr>
              <w:pStyle w:val="TableParagraph"/>
              <w:spacing w:line="240" w:lineRule="auto" w:before="129"/>
              <w:ind w:left="340" w:right="0"/>
              <w:jc w:val="left"/>
              <w:rPr>
                <w:rFonts w:ascii="Times New Roman" w:hAnsi="Times New Roman" w:cs="Times New Roman" w:eastAsia="Times New Roman" w:hint="default"/>
                <w:sz w:val="16"/>
                <w:szCs w:val="16"/>
              </w:rPr>
            </w:pPr>
            <w:r>
              <w:rPr>
                <w:rFonts w:ascii="Times New Roman"/>
                <w:sz w:val="16"/>
              </w:rPr>
              <w:t>28.93</w:t>
            </w:r>
          </w:p>
        </w:tc>
        <w:tc>
          <w:tcPr>
            <w:tcW w:w="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268,108</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,998.88</w:t>
            </w:r>
          </w:p>
        </w:tc>
        <w:tc>
          <w:tcPr>
            <w:tcW w:w="508"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6"/>
                <w:szCs w:val="16"/>
              </w:rPr>
            </w:pPr>
            <w:r>
              <w:rPr>
                <w:rFonts w:ascii="Times New Roman"/>
                <w:sz w:val="16"/>
              </w:rPr>
              <w:t>775,786</w:t>
            </w:r>
          </w:p>
          <w:p>
            <w:pPr>
              <w:pStyle w:val="TableParagraph"/>
              <w:spacing w:line="240" w:lineRule="auto" w:before="129"/>
              <w:ind w:left="181" w:right="0"/>
              <w:jc w:val="left"/>
              <w:rPr>
                <w:rFonts w:ascii="Times New Roman" w:hAnsi="Times New Roman" w:cs="Times New Roman" w:eastAsia="Times New Roman" w:hint="default"/>
                <w:sz w:val="16"/>
                <w:szCs w:val="16"/>
              </w:rPr>
            </w:pPr>
            <w:r>
              <w:rPr>
                <w:rFonts w:ascii="Times New Roman"/>
                <w:sz w:val="16"/>
              </w:rPr>
              <w:t>,296.91</w:t>
            </w:r>
          </w:p>
        </w:tc>
      </w:tr>
    </w:tbl>
    <w:p>
      <w:pPr>
        <w:spacing w:after="0" w:line="240" w:lineRule="auto"/>
        <w:jc w:val="left"/>
        <w:rPr>
          <w:rFonts w:ascii="Times New Roman" w:hAnsi="Times New Roman" w:cs="Times New Roman" w:eastAsia="Times New Roman" w:hint="default"/>
          <w:sz w:val="16"/>
          <w:szCs w:val="16"/>
        </w:rPr>
        <w:sectPr>
          <w:pgSz w:w="11910" w:h="16840"/>
          <w:pgMar w:header="907" w:footer="1019" w:top="1100" w:bottom="1200" w:left="102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761"/>
        <w:gridCol w:w="530"/>
        <w:gridCol w:w="382"/>
        <w:gridCol w:w="397"/>
        <w:gridCol w:w="764"/>
        <w:gridCol w:w="740"/>
        <w:gridCol w:w="764"/>
        <w:gridCol w:w="665"/>
        <w:gridCol w:w="730"/>
        <w:gridCol w:w="665"/>
        <w:gridCol w:w="737"/>
        <w:gridCol w:w="554"/>
        <w:gridCol w:w="755"/>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7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2" w:right="19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9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87" w:right="105"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84" w:right="101" w:hanging="82"/>
              <w:jc w:val="left"/>
              <w:rPr>
                <w:rFonts w:ascii="宋体" w:hAnsi="宋体" w:cs="宋体" w:eastAsia="宋体" w:hint="default"/>
                <w:sz w:val="18"/>
                <w:szCs w:val="18"/>
              </w:rPr>
            </w:pPr>
            <w:r>
              <w:rPr>
                <w:rFonts w:ascii="宋体" w:hAnsi="宋体" w:cs="宋体" w:eastAsia="宋体" w:hint="default"/>
                <w:spacing w:val="-6"/>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79" w:right="17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83" w:right="18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54" w:type="dxa"/>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r>
      <w:tr>
        <w:trPr>
          <w:trHeight w:val="115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7"/>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7"/>
              <w:ind w:left="103" w:right="8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9" w:lineRule="auto"/>
              <w:ind w:left="104"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764" w:type="dxa"/>
            <w:vMerge/>
            <w:tcBorders>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Times New Roman" w:hAnsi="Times New Roman" w:cs="Times New Roman" w:eastAsia="Times New Roman" w:hint="default"/>
                <w:sz w:val="16"/>
                <w:szCs w:val="16"/>
              </w:rPr>
            </w:pPr>
            <w:r>
              <w:rPr>
                <w:rFonts w:ascii="Times New Roman"/>
                <w:sz w:val="16"/>
              </w:rPr>
              <w:t>120,000</w:t>
            </w:r>
          </w:p>
          <w:p>
            <w:pPr>
              <w:pStyle w:val="TableParagraph"/>
              <w:spacing w:line="240" w:lineRule="auto" w:before="129"/>
              <w:ind w:left="166" w:right="0"/>
              <w:jc w:val="left"/>
              <w:rPr>
                <w:rFonts w:ascii="Times New Roman" w:hAnsi="Times New Roman" w:cs="Times New Roman" w:eastAsia="Times New Roman" w:hint="default"/>
                <w:sz w:val="16"/>
                <w:szCs w:val="16"/>
              </w:rPr>
            </w:pPr>
            <w:r>
              <w:rPr>
                <w:rFonts w:ascii="Times New Roman"/>
                <w:sz w:val="16"/>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355,267</w:t>
            </w:r>
          </w:p>
          <w:p>
            <w:pPr>
              <w:pStyle w:val="TableParagraph"/>
              <w:spacing w:line="240" w:lineRule="auto" w:before="129"/>
              <w:ind w:left="170" w:right="0"/>
              <w:jc w:val="left"/>
              <w:rPr>
                <w:rFonts w:ascii="Times New Roman" w:hAnsi="Times New Roman" w:cs="Times New Roman" w:eastAsia="Times New Roman" w:hint="default"/>
                <w:sz w:val="16"/>
                <w:szCs w:val="16"/>
              </w:rPr>
            </w:pPr>
            <w:r>
              <w:rPr>
                <w:rFonts w:ascii="Times New Roman"/>
                <w:sz w:val="16"/>
              </w:rPr>
              <w:t>,253.00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6"/>
                <w:szCs w:val="16"/>
              </w:rPr>
            </w:pPr>
            <w:r>
              <w:rPr>
                <w:rFonts w:ascii="Times New Roman"/>
                <w:sz w:val="16"/>
              </w:rPr>
              <w:t>26,666,</w:t>
            </w:r>
          </w:p>
          <w:p>
            <w:pPr>
              <w:pStyle w:val="TableParagraph"/>
              <w:spacing w:line="240" w:lineRule="auto" w:before="129"/>
              <w:ind w:left="176" w:right="0"/>
              <w:jc w:val="left"/>
              <w:rPr>
                <w:rFonts w:ascii="Times New Roman" w:hAnsi="Times New Roman" w:cs="Times New Roman" w:eastAsia="Times New Roman" w:hint="default"/>
                <w:sz w:val="16"/>
                <w:szCs w:val="16"/>
              </w:rPr>
            </w:pPr>
            <w:r>
              <w:rPr>
                <w:rFonts w:ascii="Times New Roman"/>
                <w:sz w:val="16"/>
              </w:rPr>
              <w:t>744.99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207,826</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,384.07</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16"/>
                <w:szCs w:val="16"/>
              </w:rPr>
            </w:pPr>
            <w:r>
              <w:rPr>
                <w:rFonts w:ascii="Times New Roman"/>
                <w:sz w:val="16"/>
              </w:rPr>
              <w:t>709,760</w:t>
            </w:r>
          </w:p>
          <w:p>
            <w:pPr>
              <w:pStyle w:val="TableParagraph"/>
              <w:spacing w:line="240" w:lineRule="auto" w:before="129"/>
              <w:ind w:left="162" w:right="0"/>
              <w:jc w:val="left"/>
              <w:rPr>
                <w:rFonts w:ascii="Times New Roman" w:hAnsi="Times New Roman" w:cs="Times New Roman" w:eastAsia="Times New Roman" w:hint="default"/>
                <w:sz w:val="16"/>
                <w:szCs w:val="16"/>
              </w:rPr>
            </w:pPr>
            <w:r>
              <w:rPr>
                <w:rFonts w:ascii="Times New Roman"/>
                <w:sz w:val="16"/>
              </w:rPr>
              <w:t>,382.06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Times New Roman" w:hAnsi="Times New Roman" w:cs="Times New Roman" w:eastAsia="Times New Roman" w:hint="default"/>
                <w:sz w:val="16"/>
                <w:szCs w:val="16"/>
              </w:rPr>
            </w:pPr>
            <w:r>
              <w:rPr>
                <w:rFonts w:ascii="Times New Roman"/>
                <w:sz w:val="16"/>
              </w:rPr>
              <w:t>120,000</w:t>
            </w:r>
          </w:p>
          <w:p>
            <w:pPr>
              <w:pStyle w:val="TableParagraph"/>
              <w:spacing w:line="240" w:lineRule="auto" w:before="129"/>
              <w:ind w:left="166" w:right="0"/>
              <w:jc w:val="left"/>
              <w:rPr>
                <w:rFonts w:ascii="Times New Roman" w:hAnsi="Times New Roman" w:cs="Times New Roman" w:eastAsia="Times New Roman" w:hint="default"/>
                <w:sz w:val="16"/>
                <w:szCs w:val="16"/>
              </w:rPr>
            </w:pPr>
            <w:r>
              <w:rPr>
                <w:rFonts w:ascii="Times New Roman"/>
                <w:sz w:val="16"/>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355,267</w:t>
            </w:r>
          </w:p>
          <w:p>
            <w:pPr>
              <w:pStyle w:val="TableParagraph"/>
              <w:spacing w:line="240" w:lineRule="auto" w:before="129"/>
              <w:ind w:left="170" w:right="0"/>
              <w:jc w:val="left"/>
              <w:rPr>
                <w:rFonts w:ascii="Times New Roman" w:hAnsi="Times New Roman" w:cs="Times New Roman" w:eastAsia="Times New Roman" w:hint="default"/>
                <w:sz w:val="16"/>
                <w:szCs w:val="16"/>
              </w:rPr>
            </w:pPr>
            <w:r>
              <w:rPr>
                <w:rFonts w:ascii="Times New Roman"/>
                <w:sz w:val="16"/>
              </w:rPr>
              <w:t>,253.00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6"/>
                <w:szCs w:val="16"/>
              </w:rPr>
            </w:pPr>
            <w:r>
              <w:rPr>
                <w:rFonts w:ascii="Times New Roman"/>
                <w:sz w:val="16"/>
              </w:rPr>
              <w:t>26,666,</w:t>
            </w:r>
          </w:p>
          <w:p>
            <w:pPr>
              <w:pStyle w:val="TableParagraph"/>
              <w:spacing w:line="240" w:lineRule="auto" w:before="129"/>
              <w:ind w:left="176" w:right="0"/>
              <w:jc w:val="left"/>
              <w:rPr>
                <w:rFonts w:ascii="Times New Roman" w:hAnsi="Times New Roman" w:cs="Times New Roman" w:eastAsia="Times New Roman" w:hint="default"/>
                <w:sz w:val="16"/>
                <w:szCs w:val="16"/>
              </w:rPr>
            </w:pPr>
            <w:r>
              <w:rPr>
                <w:rFonts w:ascii="Times New Roman"/>
                <w:sz w:val="16"/>
              </w:rPr>
              <w:t>744.99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207,826</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,384.07</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16"/>
                <w:szCs w:val="16"/>
              </w:rPr>
            </w:pPr>
            <w:r>
              <w:rPr>
                <w:rFonts w:ascii="Times New Roman"/>
                <w:sz w:val="16"/>
              </w:rPr>
              <w:t>709,760</w:t>
            </w:r>
          </w:p>
          <w:p>
            <w:pPr>
              <w:pStyle w:val="TableParagraph"/>
              <w:spacing w:line="240" w:lineRule="auto" w:before="129"/>
              <w:ind w:left="162" w:right="0"/>
              <w:jc w:val="left"/>
              <w:rPr>
                <w:rFonts w:ascii="Times New Roman" w:hAnsi="Times New Roman" w:cs="Times New Roman" w:eastAsia="Times New Roman" w:hint="default"/>
                <w:sz w:val="16"/>
                <w:szCs w:val="16"/>
              </w:rPr>
            </w:pPr>
            <w:r>
              <w:rPr>
                <w:rFonts w:ascii="Times New Roman"/>
                <w:sz w:val="16"/>
              </w:rPr>
              <w:t>,382.06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6"/>
                <w:szCs w:val="16"/>
              </w:rPr>
            </w:pPr>
            <w:r>
              <w:rPr>
                <w:rFonts w:ascii="Times New Roman"/>
                <w:sz w:val="16"/>
              </w:rPr>
              <w:t>-3,914,2</w:t>
            </w:r>
          </w:p>
          <w:p>
            <w:pPr>
              <w:pStyle w:val="TableParagraph"/>
              <w:spacing w:line="240" w:lineRule="auto" w:before="129"/>
              <w:ind w:left="188" w:right="0"/>
              <w:jc w:val="center"/>
              <w:rPr>
                <w:rFonts w:ascii="Times New Roman" w:hAnsi="Times New Roman" w:cs="Times New Roman" w:eastAsia="Times New Roman" w:hint="default"/>
                <w:sz w:val="16"/>
                <w:szCs w:val="16"/>
              </w:rPr>
            </w:pPr>
            <w:r>
              <w:rPr>
                <w:rFonts w:ascii="Times New Roman"/>
                <w:sz w:val="16"/>
              </w:rPr>
              <w:t>39.19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6"/>
                <w:szCs w:val="16"/>
              </w:rPr>
            </w:pPr>
            <w:r>
              <w:rPr>
                <w:rFonts w:ascii="Times New Roman"/>
                <w:sz w:val="16"/>
              </w:rPr>
              <w:t>4,478,1</w:t>
            </w:r>
          </w:p>
          <w:p>
            <w:pPr>
              <w:pStyle w:val="TableParagraph"/>
              <w:spacing w:line="240" w:lineRule="auto" w:before="129"/>
              <w:ind w:left="153" w:right="0"/>
              <w:jc w:val="center"/>
              <w:rPr>
                <w:rFonts w:ascii="Times New Roman" w:hAnsi="Times New Roman" w:cs="Times New Roman" w:eastAsia="Times New Roman" w:hint="default"/>
                <w:sz w:val="16"/>
                <w:szCs w:val="16"/>
              </w:rPr>
            </w:pPr>
            <w:r>
              <w:rPr>
                <w:rFonts w:ascii="Times New Roman"/>
                <w:sz w:val="16"/>
              </w:rPr>
              <w:t>65.30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6"/>
                <w:szCs w:val="16"/>
              </w:rPr>
            </w:pPr>
            <w:r>
              <w:rPr>
                <w:rFonts w:ascii="Times New Roman"/>
                <w:sz w:val="16"/>
              </w:rPr>
              <w:t>26,451,</w:t>
            </w:r>
          </w:p>
          <w:p>
            <w:pPr>
              <w:pStyle w:val="TableParagraph"/>
              <w:spacing w:line="240" w:lineRule="auto" w:before="129"/>
              <w:ind w:left="183" w:right="0"/>
              <w:jc w:val="left"/>
              <w:rPr>
                <w:rFonts w:ascii="Times New Roman" w:hAnsi="Times New Roman" w:cs="Times New Roman" w:eastAsia="Times New Roman" w:hint="default"/>
                <w:sz w:val="16"/>
                <w:szCs w:val="16"/>
              </w:rPr>
            </w:pPr>
            <w:r>
              <w:rPr>
                <w:rFonts w:ascii="Times New Roman"/>
                <w:sz w:val="16"/>
              </w:rPr>
              <w:t>909.05</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Times New Roman" w:hAnsi="Times New Roman" w:cs="Times New Roman" w:eastAsia="Times New Roman" w:hint="default"/>
                <w:sz w:val="16"/>
                <w:szCs w:val="16"/>
              </w:rPr>
            </w:pPr>
            <w:r>
              <w:rPr>
                <w:rFonts w:ascii="Times New Roman"/>
                <w:sz w:val="16"/>
              </w:rPr>
              <w:t>27,015,</w:t>
            </w:r>
          </w:p>
          <w:p>
            <w:pPr>
              <w:pStyle w:val="TableParagraph"/>
              <w:spacing w:line="240" w:lineRule="auto" w:before="129"/>
              <w:ind w:left="201" w:right="0"/>
              <w:jc w:val="left"/>
              <w:rPr>
                <w:rFonts w:ascii="Times New Roman" w:hAnsi="Times New Roman" w:cs="Times New Roman" w:eastAsia="Times New Roman" w:hint="default"/>
                <w:sz w:val="16"/>
                <w:szCs w:val="16"/>
              </w:rPr>
            </w:pPr>
            <w:r>
              <w:rPr>
                <w:rFonts w:ascii="Times New Roman"/>
                <w:sz w:val="16"/>
              </w:rPr>
              <w:t>835.16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Times New Roman" w:hAnsi="Times New Roman" w:cs="Times New Roman" w:eastAsia="Times New Roman" w:hint="default"/>
                <w:sz w:val="16"/>
                <w:szCs w:val="16"/>
              </w:rPr>
            </w:pPr>
            <w:r>
              <w:rPr>
                <w:rFonts w:ascii="Times New Roman"/>
                <w:sz w:val="16"/>
              </w:rPr>
              <w:t>-3,914,2</w:t>
            </w:r>
          </w:p>
          <w:p>
            <w:pPr>
              <w:pStyle w:val="TableParagraph"/>
              <w:spacing w:line="240" w:lineRule="auto" w:before="129"/>
              <w:ind w:left="188" w:right="0"/>
              <w:jc w:val="center"/>
              <w:rPr>
                <w:rFonts w:ascii="Times New Roman" w:hAnsi="Times New Roman" w:cs="Times New Roman" w:eastAsia="Times New Roman" w:hint="default"/>
                <w:sz w:val="16"/>
                <w:szCs w:val="16"/>
              </w:rPr>
            </w:pPr>
            <w:r>
              <w:rPr>
                <w:rFonts w:ascii="Times New Roman"/>
                <w:sz w:val="16"/>
              </w:rPr>
              <w:t>39.19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Times New Roman" w:hAnsi="Times New Roman" w:cs="Times New Roman" w:eastAsia="Times New Roman" w:hint="default"/>
                <w:sz w:val="16"/>
                <w:szCs w:val="16"/>
              </w:rPr>
            </w:pPr>
            <w:r>
              <w:rPr>
                <w:rFonts w:ascii="Times New Roman"/>
                <w:sz w:val="16"/>
              </w:rPr>
              <w:t>42,930,</w:t>
            </w:r>
          </w:p>
          <w:p>
            <w:pPr>
              <w:pStyle w:val="TableParagraph"/>
              <w:spacing w:line="240" w:lineRule="auto" w:before="129"/>
              <w:ind w:left="183" w:right="0"/>
              <w:jc w:val="left"/>
              <w:rPr>
                <w:rFonts w:ascii="Times New Roman" w:hAnsi="Times New Roman" w:cs="Times New Roman" w:eastAsia="Times New Roman" w:hint="default"/>
                <w:sz w:val="16"/>
                <w:szCs w:val="16"/>
              </w:rPr>
            </w:pPr>
            <w:r>
              <w:rPr>
                <w:rFonts w:ascii="Times New Roman"/>
                <w:sz w:val="16"/>
              </w:rPr>
              <w:t>074.35</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2" w:right="0"/>
              <w:jc w:val="left"/>
              <w:rPr>
                <w:rFonts w:ascii="Times New Roman" w:hAnsi="Times New Roman" w:cs="Times New Roman" w:eastAsia="Times New Roman" w:hint="default"/>
                <w:sz w:val="16"/>
                <w:szCs w:val="16"/>
              </w:rPr>
            </w:pPr>
            <w:r>
              <w:rPr>
                <w:rFonts w:ascii="Times New Roman"/>
                <w:sz w:val="16"/>
              </w:rPr>
              <w:t>39,015,</w:t>
            </w:r>
          </w:p>
          <w:p>
            <w:pPr>
              <w:pStyle w:val="TableParagraph"/>
              <w:spacing w:line="240" w:lineRule="auto" w:before="129"/>
              <w:ind w:left="201" w:right="0"/>
              <w:jc w:val="left"/>
              <w:rPr>
                <w:rFonts w:ascii="Times New Roman" w:hAnsi="Times New Roman" w:cs="Times New Roman" w:eastAsia="Times New Roman" w:hint="default"/>
                <w:sz w:val="16"/>
                <w:szCs w:val="16"/>
              </w:rPr>
            </w:pPr>
            <w:r>
              <w:rPr>
                <w:rFonts w:ascii="Times New Roman"/>
                <w:sz w:val="16"/>
              </w:rPr>
              <w:t>835.16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Times New Roman" w:hAnsi="Times New Roman" w:cs="Times New Roman" w:eastAsia="Times New Roman" w:hint="default"/>
                <w:sz w:val="16"/>
                <w:szCs w:val="16"/>
              </w:rPr>
            </w:pPr>
            <w:r>
              <w:rPr>
                <w:rFonts w:ascii="Times New Roman"/>
                <w:sz w:val="16"/>
              </w:rPr>
              <w:t>4,478,1</w:t>
            </w:r>
          </w:p>
          <w:p>
            <w:pPr>
              <w:pStyle w:val="TableParagraph"/>
              <w:spacing w:line="240" w:lineRule="auto" w:before="129"/>
              <w:ind w:left="153" w:right="0"/>
              <w:jc w:val="center"/>
              <w:rPr>
                <w:rFonts w:ascii="Times New Roman" w:hAnsi="Times New Roman" w:cs="Times New Roman" w:eastAsia="Times New Roman" w:hint="default"/>
                <w:sz w:val="16"/>
                <w:szCs w:val="16"/>
              </w:rPr>
            </w:pPr>
            <w:r>
              <w:rPr>
                <w:rFonts w:ascii="Times New Roman"/>
                <w:sz w:val="16"/>
              </w:rPr>
              <w:t>65.30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-16,478</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,165.30</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-12,000,</w:t>
            </w:r>
          </w:p>
          <w:p>
            <w:pPr>
              <w:pStyle w:val="TableParagraph"/>
              <w:spacing w:line="240" w:lineRule="auto" w:before="129"/>
              <w:ind w:left="201" w:right="0"/>
              <w:jc w:val="left"/>
              <w:rPr>
                <w:rFonts w:ascii="Times New Roman" w:hAnsi="Times New Roman" w:cs="Times New Roman" w:eastAsia="Times New Roman" w:hint="default"/>
                <w:sz w:val="16"/>
                <w:szCs w:val="16"/>
              </w:rPr>
            </w:pPr>
            <w:r>
              <w:rPr>
                <w:rFonts w:ascii="Times New Roman"/>
                <w:sz w:val="16"/>
              </w:rPr>
              <w:t>000.00</w:t>
            </w:r>
          </w:p>
        </w:tc>
      </w:tr>
    </w:tbl>
    <w:p>
      <w:pPr>
        <w:spacing w:after="0" w:line="240" w:lineRule="auto"/>
        <w:jc w:val="left"/>
        <w:rPr>
          <w:rFonts w:ascii="Times New Roman" w:hAnsi="Times New Roman" w:cs="Times New Roman" w:eastAsia="Times New Roman" w:hint="default"/>
          <w:sz w:val="16"/>
          <w:szCs w:val="16"/>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761"/>
        <w:gridCol w:w="530"/>
        <w:gridCol w:w="382"/>
        <w:gridCol w:w="397"/>
        <w:gridCol w:w="764"/>
        <w:gridCol w:w="740"/>
        <w:gridCol w:w="764"/>
        <w:gridCol w:w="665"/>
        <w:gridCol w:w="730"/>
        <w:gridCol w:w="665"/>
        <w:gridCol w:w="737"/>
        <w:gridCol w:w="554"/>
        <w:gridCol w:w="755"/>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Times New Roman" w:hAnsi="Times New Roman" w:cs="Times New Roman" w:eastAsia="Times New Roman" w:hint="default"/>
                <w:sz w:val="16"/>
                <w:szCs w:val="16"/>
              </w:rPr>
            </w:pPr>
            <w:r>
              <w:rPr>
                <w:rFonts w:ascii="Times New Roman"/>
                <w:sz w:val="16"/>
              </w:rPr>
              <w:t>4,478,1</w:t>
            </w:r>
          </w:p>
          <w:p>
            <w:pPr>
              <w:pStyle w:val="TableParagraph"/>
              <w:spacing w:line="240" w:lineRule="auto" w:before="129"/>
              <w:ind w:left="153" w:right="0"/>
              <w:jc w:val="center"/>
              <w:rPr>
                <w:rFonts w:ascii="Times New Roman" w:hAnsi="Times New Roman" w:cs="Times New Roman" w:eastAsia="Times New Roman" w:hint="default"/>
                <w:sz w:val="16"/>
                <w:szCs w:val="16"/>
              </w:rPr>
            </w:pPr>
            <w:r>
              <w:rPr>
                <w:rFonts w:ascii="Times New Roman"/>
                <w:sz w:val="16"/>
              </w:rPr>
              <w:t>65.30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Times New Roman" w:hAnsi="Times New Roman" w:cs="Times New Roman" w:eastAsia="Times New Roman" w:hint="default"/>
                <w:sz w:val="16"/>
                <w:szCs w:val="16"/>
              </w:rPr>
            </w:pPr>
            <w:r>
              <w:rPr>
                <w:rFonts w:ascii="Times New Roman"/>
                <w:sz w:val="16"/>
              </w:rPr>
              <w:t>-4,478,</w:t>
            </w:r>
          </w:p>
          <w:p>
            <w:pPr>
              <w:pStyle w:val="TableParagraph"/>
              <w:spacing w:line="240" w:lineRule="auto" w:before="129"/>
              <w:ind w:left="183" w:right="0"/>
              <w:jc w:val="left"/>
              <w:rPr>
                <w:rFonts w:ascii="Times New Roman" w:hAnsi="Times New Roman" w:cs="Times New Roman" w:eastAsia="Times New Roman" w:hint="default"/>
                <w:sz w:val="16"/>
                <w:szCs w:val="16"/>
              </w:rPr>
            </w:pPr>
            <w:r>
              <w:rPr>
                <w:rFonts w:ascii="Times New Roman"/>
                <w:sz w:val="16"/>
              </w:rPr>
              <w:t>165.30</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-12,000</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-12,000,</w:t>
            </w:r>
          </w:p>
          <w:p>
            <w:pPr>
              <w:pStyle w:val="TableParagraph"/>
              <w:spacing w:line="240" w:lineRule="auto" w:before="129"/>
              <w:ind w:left="201" w:right="0"/>
              <w:jc w:val="left"/>
              <w:rPr>
                <w:rFonts w:ascii="Times New Roman" w:hAnsi="Times New Roman" w:cs="Times New Roman" w:eastAsia="Times New Roman" w:hint="default"/>
                <w:sz w:val="16"/>
                <w:szCs w:val="16"/>
              </w:rPr>
            </w:pPr>
            <w:r>
              <w:rPr>
                <w:rFonts w:ascii="Times New Roman"/>
                <w:sz w:val="16"/>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Times New Roman" w:hAnsi="Times New Roman" w:cs="Times New Roman" w:eastAsia="Times New Roman" w:hint="default"/>
                <w:sz w:val="16"/>
                <w:szCs w:val="16"/>
              </w:rPr>
            </w:pPr>
            <w:r>
              <w:rPr>
                <w:rFonts w:ascii="Times New Roman"/>
                <w:sz w:val="16"/>
              </w:rPr>
              <w:t>120,000</w:t>
            </w:r>
          </w:p>
          <w:p>
            <w:pPr>
              <w:pStyle w:val="TableParagraph"/>
              <w:spacing w:line="240" w:lineRule="auto" w:before="129"/>
              <w:ind w:left="167" w:right="0"/>
              <w:jc w:val="left"/>
              <w:rPr>
                <w:rFonts w:ascii="Times New Roman" w:hAnsi="Times New Roman" w:cs="Times New Roman" w:eastAsia="Times New Roman" w:hint="default"/>
                <w:sz w:val="16"/>
                <w:szCs w:val="16"/>
              </w:rPr>
            </w:pPr>
            <w:r>
              <w:rPr>
                <w:rFonts w:ascii="Times New Roman"/>
                <w:sz w:val="16"/>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0"/>
              <w:jc w:val="left"/>
              <w:rPr>
                <w:rFonts w:ascii="Times New Roman" w:hAnsi="Times New Roman" w:cs="Times New Roman" w:eastAsia="Times New Roman" w:hint="default"/>
                <w:sz w:val="16"/>
                <w:szCs w:val="16"/>
              </w:rPr>
            </w:pPr>
            <w:r>
              <w:rPr>
                <w:rFonts w:ascii="Times New Roman"/>
                <w:sz w:val="16"/>
              </w:rPr>
              <w:t>355,267</w:t>
            </w:r>
          </w:p>
          <w:p>
            <w:pPr>
              <w:pStyle w:val="TableParagraph"/>
              <w:spacing w:line="240" w:lineRule="auto" w:before="129"/>
              <w:ind w:left="170" w:right="0"/>
              <w:jc w:val="left"/>
              <w:rPr>
                <w:rFonts w:ascii="Times New Roman" w:hAnsi="Times New Roman" w:cs="Times New Roman" w:eastAsia="Times New Roman" w:hint="default"/>
                <w:sz w:val="16"/>
                <w:szCs w:val="16"/>
              </w:rPr>
            </w:pPr>
            <w:r>
              <w:rPr>
                <w:rFonts w:ascii="Times New Roman"/>
                <w:sz w:val="16"/>
              </w:rPr>
              <w:t>,253.00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Times New Roman" w:hAnsi="Times New Roman" w:cs="Times New Roman" w:eastAsia="Times New Roman" w:hint="default"/>
                <w:sz w:val="16"/>
                <w:szCs w:val="16"/>
              </w:rPr>
            </w:pPr>
            <w:r>
              <w:rPr>
                <w:rFonts w:ascii="Times New Roman"/>
                <w:sz w:val="16"/>
              </w:rPr>
              <w:t>-3,914,2</w:t>
            </w:r>
          </w:p>
          <w:p>
            <w:pPr>
              <w:pStyle w:val="TableParagraph"/>
              <w:spacing w:line="240" w:lineRule="auto" w:before="129"/>
              <w:ind w:left="188" w:right="0"/>
              <w:jc w:val="center"/>
              <w:rPr>
                <w:rFonts w:ascii="Times New Roman" w:hAnsi="Times New Roman" w:cs="Times New Roman" w:eastAsia="Times New Roman" w:hint="default"/>
                <w:sz w:val="16"/>
                <w:szCs w:val="16"/>
              </w:rPr>
            </w:pPr>
            <w:r>
              <w:rPr>
                <w:rFonts w:ascii="Times New Roman"/>
                <w:sz w:val="16"/>
              </w:rPr>
              <w:t>39.19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6"/>
                <w:szCs w:val="16"/>
              </w:rPr>
            </w:pPr>
            <w:r>
              <w:rPr>
                <w:rFonts w:ascii="Times New Roman"/>
                <w:sz w:val="16"/>
              </w:rPr>
              <w:t>31,144,</w:t>
            </w:r>
          </w:p>
          <w:p>
            <w:pPr>
              <w:pStyle w:val="TableParagraph"/>
              <w:spacing w:line="240" w:lineRule="auto" w:before="129"/>
              <w:ind w:left="176" w:right="0"/>
              <w:jc w:val="left"/>
              <w:rPr>
                <w:rFonts w:ascii="Times New Roman" w:hAnsi="Times New Roman" w:cs="Times New Roman" w:eastAsia="Times New Roman" w:hint="default"/>
                <w:sz w:val="16"/>
                <w:szCs w:val="16"/>
              </w:rPr>
            </w:pPr>
            <w:r>
              <w:rPr>
                <w:rFonts w:ascii="Times New Roman"/>
                <w:sz w:val="16"/>
              </w:rPr>
              <w:t>910.29</w:t>
            </w:r>
          </w:p>
        </w:tc>
        <w:tc>
          <w:tcPr>
            <w:tcW w:w="66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6"/>
                <w:szCs w:val="16"/>
              </w:rPr>
            </w:pPr>
            <w:r>
              <w:rPr>
                <w:rFonts w:ascii="Times New Roman"/>
                <w:sz w:val="16"/>
              </w:rPr>
              <w:t>234,278</w:t>
            </w:r>
          </w:p>
          <w:p>
            <w:pPr>
              <w:pStyle w:val="TableParagraph"/>
              <w:spacing w:line="240" w:lineRule="auto" w:before="129"/>
              <w:ind w:left="143" w:right="0"/>
              <w:jc w:val="left"/>
              <w:rPr>
                <w:rFonts w:ascii="Times New Roman" w:hAnsi="Times New Roman" w:cs="Times New Roman" w:eastAsia="Times New Roman" w:hint="default"/>
                <w:sz w:val="16"/>
                <w:szCs w:val="16"/>
              </w:rPr>
            </w:pPr>
            <w:r>
              <w:rPr>
                <w:rFonts w:ascii="Times New Roman"/>
                <w:sz w:val="16"/>
              </w:rPr>
              <w:t>,293.12</w:t>
            </w:r>
          </w:p>
        </w:tc>
        <w:tc>
          <w:tcPr>
            <w:tcW w:w="554"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16"/>
                <w:szCs w:val="16"/>
              </w:rPr>
            </w:pPr>
            <w:r>
              <w:rPr>
                <w:rFonts w:ascii="Times New Roman"/>
                <w:sz w:val="16"/>
              </w:rPr>
              <w:t>736,776</w:t>
            </w:r>
          </w:p>
          <w:p>
            <w:pPr>
              <w:pStyle w:val="TableParagraph"/>
              <w:spacing w:line="240" w:lineRule="auto" w:before="129"/>
              <w:ind w:left="162" w:right="0"/>
              <w:jc w:val="left"/>
              <w:rPr>
                <w:rFonts w:ascii="Times New Roman" w:hAnsi="Times New Roman" w:cs="Times New Roman" w:eastAsia="Times New Roman" w:hint="default"/>
                <w:sz w:val="16"/>
                <w:szCs w:val="16"/>
              </w:rPr>
            </w:pPr>
            <w:r>
              <w:rPr>
                <w:rFonts w:ascii="Times New Roman"/>
                <w:sz w:val="16"/>
              </w:rPr>
              <w:t>,217.22</w:t>
            </w:r>
          </w:p>
        </w:tc>
      </w:tr>
    </w:tbl>
    <w:p>
      <w:pPr>
        <w:spacing w:after="0" w:line="240" w:lineRule="auto"/>
        <w:jc w:val="left"/>
        <w:rPr>
          <w:rFonts w:ascii="Times New Roman" w:hAnsi="Times New Roman" w:cs="Times New Roman" w:eastAsia="Times New Roman" w:hint="default"/>
          <w:sz w:val="16"/>
          <w:szCs w:val="16"/>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9"/>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3"/>
        <w:gridCol w:w="882"/>
        <w:gridCol w:w="508"/>
        <w:gridCol w:w="358"/>
        <w:gridCol w:w="460"/>
        <w:gridCol w:w="919"/>
        <w:gridCol w:w="834"/>
        <w:gridCol w:w="797"/>
        <w:gridCol w:w="700"/>
        <w:gridCol w:w="787"/>
        <w:gridCol w:w="888"/>
        <w:gridCol w:w="911"/>
      </w:tblGrid>
      <w:tr>
        <w:trPr>
          <w:trHeight w:val="402" w:hRule="exact"/>
        </w:trPr>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583" w:type="dxa"/>
            <w:vMerge/>
            <w:tcBorders>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64" w:right="182"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1" w:right="140"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64" w:right="16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98" w:right="11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59" w:right="1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9" w:right="17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583"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15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135"/>
              <w:jc w:val="left"/>
              <w:rPr>
                <w:rFonts w:ascii="宋体" w:hAnsi="宋体" w:cs="宋体" w:eastAsia="宋体" w:hint="default"/>
                <w:sz w:val="18"/>
                <w:szCs w:val="18"/>
              </w:rPr>
            </w:pPr>
            <w:r>
              <w:rPr>
                <w:rFonts w:ascii="宋体" w:hAnsi="宋体" w:cs="宋体" w:eastAsia="宋体" w:hint="default"/>
                <w:sz w:val="18"/>
                <w:szCs w:val="18"/>
              </w:rPr>
              <w:t>其 他</w:t>
            </w:r>
          </w:p>
        </w:tc>
        <w:tc>
          <w:tcPr>
            <w:tcW w:w="919" w:type="dxa"/>
            <w:vMerge/>
            <w:tcBorders>
              <w:left w:val="single" w:sz="4" w:space="0" w:color="000000"/>
              <w:bottom w:val="single" w:sz="4" w:space="0" w:color="000000"/>
              <w:right w:val="single" w:sz="4" w:space="0" w:color="000000"/>
            </w:tcBorders>
            <w:shd w:val="clear" w:color="auto" w:fill="D2D2D2"/>
          </w:tcPr>
          <w:p>
            <w:pPr/>
          </w:p>
        </w:tc>
        <w:tc>
          <w:tcPr>
            <w:tcW w:w="83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00"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上年期末余额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355,267,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253.00</w:t>
            </w: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31,144,</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910.29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236,161,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883.01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742,574,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046.30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本年期初余额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355,267,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253.00</w:t>
            </w: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31,144,</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910.29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236,161,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883.01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742,574,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046.30</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号填列）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61,166,9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96.00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-42,215,2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40.17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5"/>
              <w:ind w:left="226" w:right="0"/>
              <w:jc w:val="left"/>
              <w:rPr>
                <w:rFonts w:ascii="Times New Roman" w:hAnsi="Times New Roman" w:cs="Times New Roman" w:eastAsia="Times New Roman" w:hint="default"/>
                <w:sz w:val="18"/>
                <w:szCs w:val="18"/>
              </w:rPr>
            </w:pPr>
            <w:r>
              <w:rPr>
                <w:rFonts w:ascii="Times New Roman"/>
                <w:sz w:val="18"/>
              </w:rPr>
              <w:t>396.78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5,357,4</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18.64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36,216,7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75.77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46,928,5</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53.46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53,574,1</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86.35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53,574,1</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86.35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1,167,00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0.00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17,784,7</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55.83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5"/>
              <w:ind w:left="226" w:right="0"/>
              <w:jc w:val="left"/>
              <w:rPr>
                <w:rFonts w:ascii="Times New Roman" w:hAnsi="Times New Roman" w:cs="Times New Roman" w:eastAsia="Times New Roman" w:hint="default"/>
                <w:sz w:val="18"/>
                <w:szCs w:val="18"/>
              </w:rPr>
            </w:pPr>
            <w:r>
              <w:rPr>
                <w:rFonts w:ascii="Times New Roman"/>
                <w:sz w:val="18"/>
              </w:rPr>
              <w:t>396.78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5,354,35</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9.05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1,167,00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0.00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11,891,7</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30.00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13,712,</w:t>
            </w:r>
          </w:p>
          <w:p>
            <w:pPr>
              <w:pStyle w:val="TableParagraph"/>
              <w:spacing w:line="240" w:lineRule="auto" w:before="105"/>
              <w:ind w:left="226" w:right="0"/>
              <w:jc w:val="left"/>
              <w:rPr>
                <w:rFonts w:ascii="Times New Roman" w:hAnsi="Times New Roman" w:cs="Times New Roman" w:eastAsia="Times New Roman" w:hint="default"/>
                <w:sz w:val="18"/>
                <w:szCs w:val="18"/>
              </w:rPr>
            </w:pPr>
            <w:r>
              <w:rPr>
                <w:rFonts w:ascii="Times New Roman"/>
                <w:sz w:val="18"/>
              </w:rPr>
              <w:t>972.37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-654,242.</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5,893,02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5.83</w:t>
            </w: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5,893,02</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5.83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-115,57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115,575.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5,357,4</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18.64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-17,357,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410.58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-11,999,9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91.94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5,357,4</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18.64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-5,357,4</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18.64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83"/>
        <w:gridCol w:w="882"/>
        <w:gridCol w:w="508"/>
        <w:gridCol w:w="358"/>
        <w:gridCol w:w="460"/>
        <w:gridCol w:w="919"/>
        <w:gridCol w:w="834"/>
        <w:gridCol w:w="797"/>
        <w:gridCol w:w="700"/>
        <w:gridCol w:w="787"/>
        <w:gridCol w:w="888"/>
        <w:gridCol w:w="911"/>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-11,999,</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991.94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-11,999,9</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91.94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59,999,9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96.00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-59,999,9</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96.00</w:t>
            </w: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59,999,9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96.00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-59,999,9</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96.00</w:t>
            </w: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82"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本期期末余额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181,166,</w:t>
            </w:r>
          </w:p>
          <w:p>
            <w:pPr>
              <w:pStyle w:val="TableParagraph"/>
              <w:spacing w:line="240" w:lineRule="auto" w:before="106"/>
              <w:ind w:left="172" w:right="0"/>
              <w:jc w:val="center"/>
              <w:rPr>
                <w:rFonts w:ascii="Times New Roman" w:hAnsi="Times New Roman" w:cs="Times New Roman" w:eastAsia="Times New Roman" w:hint="default"/>
                <w:sz w:val="18"/>
                <w:szCs w:val="18"/>
              </w:rPr>
            </w:pPr>
            <w:r>
              <w:rPr>
                <w:rFonts w:ascii="Times New Roman"/>
                <w:sz w:val="18"/>
              </w:rPr>
              <w:t>996.00</w:t>
            </w:r>
          </w:p>
        </w:tc>
        <w:tc>
          <w:tcPr>
            <w:tcW w:w="508"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313,052,</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012.83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13,597,</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396.78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36,502,</w:t>
            </w:r>
          </w:p>
          <w:p>
            <w:pPr>
              <w:pStyle w:val="TableParagraph"/>
              <w:spacing w:line="240" w:lineRule="auto" w:before="106"/>
              <w:ind w:left="179" w:right="0"/>
              <w:jc w:val="left"/>
              <w:rPr>
                <w:rFonts w:ascii="Times New Roman" w:hAnsi="Times New Roman" w:cs="Times New Roman" w:eastAsia="Times New Roman" w:hint="default"/>
                <w:sz w:val="18"/>
                <w:szCs w:val="18"/>
              </w:rPr>
            </w:pPr>
            <w:r>
              <w:rPr>
                <w:rFonts w:ascii="Times New Roman"/>
                <w:sz w:val="18"/>
              </w:rPr>
              <w:t>328.93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272,378,</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658.78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789,502,</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599.76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83"/>
        <w:gridCol w:w="865"/>
        <w:gridCol w:w="538"/>
        <w:gridCol w:w="406"/>
        <w:gridCol w:w="335"/>
        <w:gridCol w:w="944"/>
        <w:gridCol w:w="848"/>
        <w:gridCol w:w="798"/>
        <w:gridCol w:w="798"/>
        <w:gridCol w:w="828"/>
        <w:gridCol w:w="904"/>
        <w:gridCol w:w="857"/>
      </w:tblGrid>
      <w:tr>
        <w:trPr>
          <w:trHeight w:val="402" w:hRule="exact"/>
        </w:trPr>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714" w:hRule="exact"/>
        </w:trPr>
        <w:tc>
          <w:tcPr>
            <w:tcW w:w="1583" w:type="dxa"/>
            <w:vMerge/>
            <w:tcBorders>
              <w:left w:val="single" w:sz="4" w:space="0" w:color="000000"/>
              <w:right w:val="single" w:sz="4" w:space="0" w:color="000000"/>
            </w:tcBorders>
            <w:shd w:val="clear" w:color="auto" w:fill="D2D2D2"/>
          </w:tcPr>
          <w:p>
            <w:pPr/>
          </w:p>
        </w:tc>
        <w:tc>
          <w:tcPr>
            <w:tcW w:w="8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3" w:right="182"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9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328" w:right="101"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317" w:right="13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65" w:right="17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53" w:right="15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583" w:type="dxa"/>
            <w:vMerge/>
            <w:tcBorders>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6" w:right="10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944" w:type="dxa"/>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上年期末余额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55" w:right="0"/>
              <w:jc w:val="center"/>
              <w:rPr>
                <w:rFonts w:ascii="Times New Roman" w:hAnsi="Times New Roman" w:cs="Times New Roman" w:eastAsia="Times New Roman" w:hint="default"/>
                <w:sz w:val="18"/>
                <w:szCs w:val="18"/>
              </w:rPr>
            </w:pPr>
            <w:r>
              <w:rPr>
                <w:rFonts w:ascii="Times New Roman"/>
                <w:sz w:val="18"/>
              </w:rPr>
              <w:t>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355,267,2</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53.00</w:t>
            </w: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26,666,</w:t>
            </w:r>
          </w:p>
          <w:p>
            <w:pPr>
              <w:pStyle w:val="TableParagraph"/>
              <w:spacing w:line="240" w:lineRule="auto" w:before="106"/>
              <w:ind w:left="219" w:right="0"/>
              <w:jc w:val="left"/>
              <w:rPr>
                <w:rFonts w:ascii="Times New Roman" w:hAnsi="Times New Roman" w:cs="Times New Roman" w:eastAsia="Times New Roman" w:hint="default"/>
                <w:sz w:val="18"/>
                <w:szCs w:val="18"/>
              </w:rPr>
            </w:pPr>
            <w:r>
              <w:rPr>
                <w:rFonts w:ascii="Times New Roman"/>
                <w:sz w:val="18"/>
              </w:rPr>
              <w:t>744.99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207,858,</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395.32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709,792,</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393.31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本年期初余额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55" w:right="0"/>
              <w:jc w:val="center"/>
              <w:rPr>
                <w:rFonts w:ascii="Times New Roman" w:hAnsi="Times New Roman" w:cs="Times New Roman" w:eastAsia="Times New Roman" w:hint="default"/>
                <w:sz w:val="18"/>
                <w:szCs w:val="18"/>
              </w:rPr>
            </w:pPr>
            <w:r>
              <w:rPr>
                <w:rFonts w:ascii="Times New Roman"/>
                <w:sz w:val="18"/>
              </w:rPr>
              <w:t>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355,267,2</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53.00</w:t>
            </w: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26,666,</w:t>
            </w:r>
          </w:p>
          <w:p>
            <w:pPr>
              <w:pStyle w:val="TableParagraph"/>
              <w:spacing w:line="240" w:lineRule="auto" w:before="106"/>
              <w:ind w:left="219" w:right="0"/>
              <w:jc w:val="left"/>
              <w:rPr>
                <w:rFonts w:ascii="Times New Roman" w:hAnsi="Times New Roman" w:cs="Times New Roman" w:eastAsia="Times New Roman" w:hint="default"/>
                <w:sz w:val="18"/>
                <w:szCs w:val="18"/>
              </w:rPr>
            </w:pPr>
            <w:r>
              <w:rPr>
                <w:rFonts w:ascii="Times New Roman"/>
                <w:sz w:val="18"/>
              </w:rPr>
              <w:t>744.99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207,858,</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395.32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709,792,</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393.31</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号填列）</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65.30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28,303,4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87.69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32,781,6</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52.99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44,781,6</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52.99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44,781,6</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52.99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65.30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-16,478,</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165.30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65.30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281" w:right="0"/>
              <w:jc w:val="center"/>
              <w:rPr>
                <w:rFonts w:ascii="Times New Roman" w:hAnsi="Times New Roman" w:cs="Times New Roman" w:eastAsia="Times New Roman" w:hint="default"/>
                <w:sz w:val="18"/>
                <w:szCs w:val="18"/>
              </w:rPr>
            </w:pPr>
            <w:r>
              <w:rPr>
                <w:rFonts w:ascii="Times New Roman"/>
                <w:sz w:val="18"/>
              </w:rPr>
              <w:t>65.30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83"/>
        <w:gridCol w:w="865"/>
        <w:gridCol w:w="538"/>
        <w:gridCol w:w="406"/>
        <w:gridCol w:w="335"/>
        <w:gridCol w:w="944"/>
        <w:gridCol w:w="848"/>
        <w:gridCol w:w="798"/>
        <w:gridCol w:w="798"/>
        <w:gridCol w:w="828"/>
        <w:gridCol w:w="904"/>
        <w:gridCol w:w="857"/>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5"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本期期末余额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155" w:right="0"/>
              <w:jc w:val="center"/>
              <w:rPr>
                <w:rFonts w:ascii="Times New Roman" w:hAnsi="Times New Roman" w:cs="Times New Roman" w:eastAsia="Times New Roman" w:hint="default"/>
                <w:sz w:val="18"/>
                <w:szCs w:val="18"/>
              </w:rPr>
            </w:pPr>
            <w:r>
              <w:rPr>
                <w:rFonts w:ascii="Times New Roman"/>
                <w:sz w:val="18"/>
              </w:rPr>
              <w:t>000.00</w:t>
            </w:r>
          </w:p>
        </w:tc>
        <w:tc>
          <w:tcPr>
            <w:tcW w:w="53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355,267,2</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53.00</w:t>
            </w:r>
          </w:p>
        </w:tc>
        <w:tc>
          <w:tcPr>
            <w:tcW w:w="8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31,144,</w:t>
            </w:r>
          </w:p>
          <w:p>
            <w:pPr>
              <w:pStyle w:val="TableParagraph"/>
              <w:spacing w:line="240" w:lineRule="auto" w:before="106"/>
              <w:ind w:left="219" w:right="0"/>
              <w:jc w:val="left"/>
              <w:rPr>
                <w:rFonts w:ascii="Times New Roman" w:hAnsi="Times New Roman" w:cs="Times New Roman" w:eastAsia="Times New Roman" w:hint="default"/>
                <w:sz w:val="18"/>
                <w:szCs w:val="18"/>
              </w:rPr>
            </w:pPr>
            <w:r>
              <w:rPr>
                <w:rFonts w:ascii="Times New Roman"/>
                <w:sz w:val="18"/>
              </w:rPr>
              <w:t>910.29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236,161,</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883.01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742,574,</w:t>
            </w:r>
          </w:p>
          <w:p>
            <w:pPr>
              <w:pStyle w:val="TableParagraph"/>
              <w:spacing w:line="240" w:lineRule="auto" w:before="106"/>
              <w:ind w:left="147" w:right="0"/>
              <w:jc w:val="center"/>
              <w:rPr>
                <w:rFonts w:ascii="Times New Roman" w:hAnsi="Times New Roman" w:cs="Times New Roman" w:eastAsia="Times New Roman" w:hint="default"/>
                <w:sz w:val="18"/>
                <w:szCs w:val="18"/>
              </w:rPr>
            </w:pPr>
            <w:r>
              <w:rPr>
                <w:rFonts w:ascii="Times New Roman"/>
                <w:sz w:val="18"/>
              </w:rPr>
              <w:t>046.30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654" w:right="5623" w:hanging="541"/>
        <w:jc w:val="left"/>
      </w:pPr>
      <w:r>
        <w:rPr/>
        <w:t>（一）企业注册地：北京市海淀区车道沟一号滨河大厦</w:t>
      </w:r>
      <w:r>
        <w:rPr>
          <w:rFonts w:ascii="宋体" w:hAnsi="宋体" w:cs="宋体" w:eastAsia="宋体" w:hint="default"/>
        </w:rPr>
        <w:t>D</w:t>
      </w:r>
      <w:r>
        <w:rPr/>
        <w:t>座六层。 法定代表人：林鸿</w:t>
      </w:r>
    </w:p>
    <w:p>
      <w:pPr>
        <w:pStyle w:val="BodyText"/>
        <w:spacing w:line="316" w:lineRule="auto"/>
        <w:ind w:right="1032"/>
        <w:jc w:val="left"/>
      </w:pPr>
      <w:r>
        <w:rPr/>
        <w:t>（二）经营范围</w:t>
      </w:r>
      <w:r>
        <w:rPr>
          <w:rFonts w:ascii="宋体" w:hAnsi="宋体" w:cs="宋体" w:eastAsia="宋体" w:hint="default"/>
        </w:rPr>
        <w:t>: </w:t>
      </w:r>
      <w:r>
        <w:rPr/>
        <w:t>一般经营项目</w:t>
      </w:r>
      <w:r>
        <w:rPr>
          <w:rFonts w:ascii="宋体" w:hAnsi="宋体" w:cs="宋体" w:eastAsia="宋体" w:hint="default"/>
        </w:rPr>
        <w:t>:</w:t>
      </w:r>
      <w:r>
        <w:rPr/>
        <w:t>技术开发、技术转让、技术咨询、技术服务；计算机技术培训；基础软件服务；应用软件服务；计算机系统</w:t>
      </w:r>
      <w:r>
        <w:rPr>
          <w:spacing w:val="-83"/>
        </w:rPr>
        <w:t> </w:t>
      </w:r>
      <w:r>
        <w:rPr>
          <w:spacing w:val="-83"/>
        </w:rPr>
      </w:r>
      <w:r>
        <w:rPr>
          <w:spacing w:val="-2"/>
        </w:rPr>
        <w:t>服务；数据处理；计算机维修；销售自行开发的产品、计算机、软件及辅助设备、电子产品、机械设备、通讯设备；货物进</w:t>
      </w:r>
      <w:r>
        <w:rPr>
          <w:spacing w:val="-69"/>
        </w:rPr>
        <w:t> </w:t>
      </w:r>
      <w:r>
        <w:rPr>
          <w:spacing w:val="-69"/>
        </w:rPr>
      </w:r>
      <w:r>
        <w:rPr/>
        <w:t>出口、技术进出口、代理进出口。 主要经营活动：公司主要提供面向商业银行为主的</w:t>
      </w:r>
      <w:r>
        <w:rPr>
          <w:rFonts w:ascii="宋体" w:hAnsi="宋体" w:cs="宋体" w:eastAsia="宋体" w:hint="default"/>
        </w:rPr>
        <w:t>IT</w:t>
      </w:r>
      <w:r>
        <w:rPr/>
        <w:t>解决方案及服务，包括软件解决方案、</w:t>
      </w:r>
      <w:r>
        <w:rPr>
          <w:rFonts w:ascii="宋体" w:hAnsi="宋体" w:cs="宋体" w:eastAsia="宋体" w:hint="default"/>
        </w:rPr>
        <w:t>IT</w:t>
      </w:r>
      <w:r>
        <w:rPr/>
        <w:t>基础设施建设及</w:t>
      </w:r>
      <w:r>
        <w:rPr>
          <w:rFonts w:ascii="宋体" w:hAnsi="宋体" w:cs="宋体" w:eastAsia="宋体" w:hint="default"/>
        </w:rPr>
        <w:t>IT</w:t>
      </w:r>
      <w:r>
        <w:rPr/>
        <w:t>运维服务。</w:t>
      </w:r>
    </w:p>
    <w:p>
      <w:pPr>
        <w:pStyle w:val="BodyText"/>
        <w:spacing w:line="240" w:lineRule="auto"/>
        <w:ind w:right="0"/>
        <w:jc w:val="left"/>
      </w:pPr>
      <w:r>
        <w:rPr/>
        <w:t>（三）本财务报表业经本公司董事会于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9</w:t>
      </w:r>
      <w:r>
        <w:rPr/>
        <w:t>日决议批准。</w:t>
      </w:r>
    </w:p>
    <w:p>
      <w:pPr>
        <w:pStyle w:val="BodyText"/>
        <w:spacing w:line="316" w:lineRule="auto" w:before="76"/>
        <w:ind w:right="2472"/>
        <w:jc w:val="left"/>
      </w:pPr>
      <w:r>
        <w:rPr/>
        <w:t>（四）本年度合并财务报表范围 本年度合并报表范围含二家子公司：西藏先进数通信息技术有限公司、广州先进数通信息技术有限公司。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122" w:firstLine="360"/>
        <w:jc w:val="left"/>
      </w:pPr>
      <w:r>
        <w:rPr/>
        <w:t>本公司财务报表以持续经营为基础，根据实际发生的交易和事项，按照财政部颁布的《企业会计准则</w:t>
      </w:r>
      <w:r>
        <w:rPr>
          <w:rFonts w:ascii="宋体" w:hAnsi="宋体" w:cs="宋体" w:eastAsia="宋体" w:hint="default"/>
        </w:rPr>
        <w:t>-</w:t>
      </w:r>
      <w:r>
        <w:rPr/>
        <w:t>基本准则》和具 </w:t>
      </w:r>
      <w:r>
        <w:rPr>
          <w:spacing w:val="-4"/>
        </w:rPr>
        <w:t>体会计准则等规定（以下合称“企业会计准则”），并基于以下所述重要会计政策、会计估计进行编制。</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7" w:lineRule="auto" w:before="29"/>
        <w:ind w:right="7692"/>
        <w:jc w:val="left"/>
      </w:pPr>
      <w:r>
        <w:rPr/>
        <w:t>软件与信息技术服务业 具体会计政策和会计估计提示：</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firstLine="360"/>
        <w:jc w:val="left"/>
      </w:pPr>
      <w:r>
        <w:rPr/>
        <w:t>本公司编制的财务报表符合《企业会计准则》的要求，真实、完整地反映了本公司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日的财务状况、</w:t>
      </w:r>
      <w:r>
        <w:rPr>
          <w:rFonts w:ascii="宋体" w:hAnsi="宋体" w:cs="宋体" w:eastAsia="宋体" w:hint="default"/>
        </w:rPr>
        <w:t>2018 </w:t>
      </w:r>
      <w:r>
        <w:rPr/>
        <w:t>年度的经营成果和现金流量等相关信息。</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本公司以一年 </w:t>
      </w:r>
      <w:r>
        <w:rPr>
          <w:rFonts w:ascii="宋体" w:hAnsi="宋体" w:cs="宋体" w:eastAsia="宋体" w:hint="default"/>
        </w:rPr>
        <w:t>12</w:t>
      </w:r>
      <w:r>
        <w:rPr/>
        <w:t>个月作为正常营业周期，并以营业周期作为资产和负债的流动性划分标准。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同一控制下的企业合并 </w:t>
      </w:r>
      <w:r>
        <w:rPr>
          <w:spacing w:val="-2"/>
        </w:rPr>
        <w:t>同一控制下企业合并形成的长期股权投资合并方以支付现金、转让非现金资产或承担债务方式作为合并对价的，本公司</w:t>
      </w:r>
    </w:p>
    <w:p>
      <w:pPr>
        <w:pStyle w:val="BodyText"/>
        <w:spacing w:line="316" w:lineRule="auto"/>
        <w:ind w:right="1133"/>
        <w:jc w:val="both"/>
      </w:pPr>
      <w:r>
        <w:rPr/>
        <w:t>在合并日按照所取得的被合并方在最终控制方合并财务报表中的净资产的账面价值的份额作为长期股权投资的初始投资成</w:t>
      </w:r>
      <w:r>
        <w:rPr>
          <w:spacing w:val="-9"/>
        </w:rPr>
        <w:t> </w:t>
      </w:r>
      <w:r>
        <w:rPr>
          <w:spacing w:val="-9"/>
        </w:rPr>
      </w:r>
      <w:r>
        <w:rPr>
          <w:spacing w:val="-2"/>
        </w:rPr>
        <w:t>本。合并方以发行权益性工具作为合并对价的，按发行股份的面值总额作为股本。长期股权投资的初始投资成本与合并对价</w:t>
      </w:r>
      <w:r>
        <w:rPr>
          <w:spacing w:val="-66"/>
        </w:rPr>
        <w:t> </w:t>
      </w:r>
      <w:r>
        <w:rPr>
          <w:spacing w:val="-66"/>
        </w:rPr>
      </w:r>
      <w:r>
        <w:rPr/>
        <w:t>账面价值（或发行股份面值总额）的差额，应当调整资本公积；资本公积不足冲减的，调整留存收益。</w:t>
      </w:r>
    </w:p>
    <w:p>
      <w:pPr>
        <w:pStyle w:val="BodyText"/>
        <w:spacing w:line="316" w:lineRule="auto"/>
        <w:ind w:left="474" w:right="0"/>
        <w:jc w:val="left"/>
      </w:pPr>
      <w:r>
        <w:rPr>
          <w:rFonts w:ascii="宋体" w:hAnsi="宋体" w:cs="宋体" w:eastAsia="宋体" w:hint="default"/>
        </w:rPr>
        <w:t>(2).</w:t>
      </w:r>
      <w:r>
        <w:rPr/>
        <w:t>非同一控制下的企业合并 </w:t>
      </w:r>
      <w:r>
        <w:rPr>
          <w:spacing w:val="-2"/>
        </w:rPr>
        <w:t>对于非同一控制下的企业合并，合并成本为购买方在购买日为取得对被购买方的控制权而付出的资产、发生或承担的负</w:t>
      </w:r>
    </w:p>
    <w:p>
      <w:pPr>
        <w:pStyle w:val="BodyText"/>
        <w:spacing w:line="319" w:lineRule="auto"/>
        <w:ind w:right="1132"/>
        <w:jc w:val="both"/>
      </w:pPr>
      <w:r>
        <w:rPr>
          <w:spacing w:val="-2"/>
        </w:rPr>
        <w:t>债以及发行的权益性证券的公允价值之和。非同一控制下企业合并中所取得的被购买方符合确认条件的可辨认资产、负债及</w:t>
      </w:r>
      <w:r>
        <w:rPr>
          <w:spacing w:val="-64"/>
        </w:rPr>
        <w:t> </w:t>
      </w:r>
      <w:r>
        <w:rPr>
          <w:spacing w:val="-64"/>
        </w:rPr>
      </w:r>
      <w:r>
        <w:rPr>
          <w:spacing w:val="-2"/>
        </w:rPr>
        <w:t>或有负债，在购买日以公允价值计量。购买方对合并成本大于合并中取得的被购买方可辨认净资产公允价值份额的差额，体</w:t>
      </w:r>
      <w:r>
        <w:rPr>
          <w:spacing w:val="-66"/>
        </w:rPr>
        <w:t> </w:t>
      </w:r>
      <w:r>
        <w:rPr>
          <w:spacing w:val="-66"/>
        </w:rPr>
      </w:r>
      <w:r>
        <w:rPr>
          <w:spacing w:val="-2"/>
        </w:rPr>
        <w:t>现为商誉价值。购买方对合并成本小于合并中取得的被购买方可辨认净资产公允价值份额的，经复核后合并成本仍小于合并</w:t>
      </w:r>
      <w:r>
        <w:rPr>
          <w:spacing w:val="-64"/>
        </w:rPr>
        <w:t> </w:t>
      </w:r>
      <w:r>
        <w:rPr>
          <w:spacing w:val="-64"/>
        </w:rPr>
      </w:r>
      <w:r>
        <w:rPr/>
        <w:t>中取得的被购买方可辨认净资产公允价值份额的差额，计入当期营业外收入。</w:t>
      </w:r>
    </w:p>
    <w:p>
      <w:pPr>
        <w:spacing w:after="0" w:line="319"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left="474" w:right="0" w:hanging="36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合并财务报表范围 </w:t>
      </w:r>
      <w:r>
        <w:rPr>
          <w:spacing w:val="-2"/>
        </w:rPr>
        <w:t>本公司将全部子公司（包括本公司所控制的单独主体）纳入合并财务报表范围，包括被本公司控制的企业、被投资单位</w:t>
      </w:r>
    </w:p>
    <w:p>
      <w:pPr>
        <w:pStyle w:val="BodyText"/>
        <w:spacing w:line="316" w:lineRule="auto"/>
        <w:ind w:left="474" w:right="4632" w:hanging="360"/>
        <w:jc w:val="left"/>
      </w:pPr>
      <w:r>
        <w:rPr/>
        <w:t>中可分割的部分以及结构化主体。 </w:t>
      </w:r>
      <w:r>
        <w:rPr>
          <w:rFonts w:ascii="宋体" w:hAnsi="宋体" w:cs="宋体" w:eastAsia="宋体" w:hint="default"/>
        </w:rPr>
        <w:t>(2).</w:t>
      </w:r>
      <w:r>
        <w:rPr/>
        <w:t>统一母子公司的会计政策、统一母子公司的资产负债表日及会计期间</w:t>
      </w:r>
    </w:p>
    <w:p>
      <w:pPr>
        <w:pStyle w:val="BodyText"/>
        <w:spacing w:line="316" w:lineRule="auto"/>
        <w:ind w:right="0" w:firstLine="360"/>
        <w:jc w:val="left"/>
      </w:pPr>
      <w:r>
        <w:rPr>
          <w:spacing w:val="-2"/>
        </w:rPr>
        <w:t>子公司与本公司采用的会计政策或会计期间不一致的，在编制合并财务报表时，按照本公司的会计政策或会计期间对子</w:t>
      </w:r>
      <w:r>
        <w:rPr/>
        <w:t> 公司财务报表进行必要的调整。</w:t>
      </w:r>
    </w:p>
    <w:p>
      <w:pPr>
        <w:pStyle w:val="BodyText"/>
        <w:spacing w:line="316" w:lineRule="auto"/>
        <w:ind w:left="474" w:right="0"/>
        <w:jc w:val="left"/>
      </w:pPr>
      <w:r>
        <w:rPr>
          <w:rFonts w:ascii="宋体" w:hAnsi="宋体" w:cs="宋体" w:eastAsia="宋体" w:hint="default"/>
        </w:rPr>
        <w:t>(3).</w:t>
      </w:r>
      <w:r>
        <w:rPr/>
        <w:t>合并财务报表抵销事项 </w:t>
      </w:r>
      <w:r>
        <w:rPr>
          <w:spacing w:val="-2"/>
        </w:rPr>
        <w:t>合并财务报表以本公司和子公司的资产负债表为基础，已抵销了本公司与子公司、子公司相互之间发生的内部交易。子</w:t>
      </w:r>
    </w:p>
    <w:p>
      <w:pPr>
        <w:pStyle w:val="BodyText"/>
        <w:spacing w:line="316" w:lineRule="auto"/>
        <w:ind w:right="1130"/>
        <w:jc w:val="both"/>
      </w:pPr>
      <w:r>
        <w:rPr>
          <w:spacing w:val="-2"/>
        </w:rPr>
        <w:t>公司所有者权益中不属于本公司的份额，作为少数股东权益，在合并资产负债表中股东权益项目下以“少数股东权益”项目</w:t>
      </w:r>
      <w:r>
        <w:rPr>
          <w:spacing w:val="-65"/>
        </w:rPr>
        <w:t> </w:t>
      </w:r>
      <w:r>
        <w:rPr>
          <w:spacing w:val="-65"/>
        </w:rPr>
      </w:r>
      <w:r>
        <w:rPr>
          <w:spacing w:val="-2"/>
        </w:rPr>
        <w:t>列示。子公司持有本公司的长期股权投资，视为本公司的库存股，作为股东权益的减项，在合并资产负债表中股东权益项目</w:t>
      </w:r>
      <w:r>
        <w:rPr>
          <w:spacing w:val="-66"/>
        </w:rPr>
        <w:t> </w:t>
      </w:r>
      <w:r>
        <w:rPr>
          <w:spacing w:val="-66"/>
        </w:rPr>
      </w:r>
      <w:r>
        <w:rPr/>
        <w:t>下以“减：库存股”项目列示。</w:t>
      </w:r>
    </w:p>
    <w:p>
      <w:pPr>
        <w:pStyle w:val="BodyText"/>
        <w:spacing w:line="316" w:lineRule="auto"/>
        <w:ind w:left="474" w:right="0"/>
        <w:jc w:val="left"/>
      </w:pPr>
      <w:r>
        <w:rPr>
          <w:rFonts w:ascii="宋体" w:hAnsi="宋体" w:cs="宋体" w:eastAsia="宋体" w:hint="default"/>
        </w:rPr>
        <w:t>(4).</w:t>
      </w:r>
      <w:r>
        <w:rPr/>
        <w:t>合并取得子公司会计处理 </w:t>
      </w:r>
      <w:r>
        <w:rPr>
          <w:spacing w:val="-2"/>
        </w:rPr>
        <w:t>对于同一控制下企业合并取得的子公司，视同该企业合并于自最终控制方开始实时控制时已经发生，从合并当期的期初</w:t>
      </w:r>
    </w:p>
    <w:p>
      <w:pPr>
        <w:pStyle w:val="BodyText"/>
        <w:spacing w:line="316" w:lineRule="auto"/>
        <w:ind w:right="1131"/>
        <w:jc w:val="both"/>
      </w:pPr>
      <w:r>
        <w:rPr>
          <w:spacing w:val="-2"/>
        </w:rPr>
        <w:t>起将其资产、负债、经营成果和现金流量纳入合并财务报表；对于非同一控制下企业合并取得的子公司，在编制合并财务报</w:t>
      </w:r>
      <w:r>
        <w:rPr>
          <w:spacing w:val="-66"/>
        </w:rPr>
        <w:t> </w:t>
      </w:r>
      <w:r>
        <w:rPr>
          <w:spacing w:val="-66"/>
        </w:rPr>
      </w:r>
      <w:r>
        <w:rPr/>
        <w:t>表时，以购买日可辨认净资产公允价值为基础对其个别财务报表进行调整。</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合营安排的分类 </w:t>
      </w:r>
      <w:r>
        <w:rPr>
          <w:spacing w:val="-2"/>
        </w:rPr>
        <w:t>合营安排分为共同经营和合营企业。未通过单独主体达成的合营安排，划分为共同经营。单独主体，是指具有单独可辨</w:t>
      </w:r>
    </w:p>
    <w:p>
      <w:pPr>
        <w:pStyle w:val="BodyText"/>
        <w:spacing w:line="316" w:lineRule="auto"/>
        <w:ind w:right="1132"/>
        <w:jc w:val="both"/>
      </w:pPr>
      <w:r>
        <w:rPr>
          <w:spacing w:val="-2"/>
        </w:rPr>
        <w:t>认的财务架构的主体，包括单独的法人主体和不具备法人主体资格但法律认可的主体。通过单独主体达成的合营安排，通常</w:t>
      </w:r>
      <w:r>
        <w:rPr>
          <w:spacing w:val="-66"/>
        </w:rPr>
        <w:t> </w:t>
      </w:r>
      <w:r>
        <w:rPr>
          <w:spacing w:val="-66"/>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16" w:lineRule="auto"/>
        <w:ind w:left="474" w:right="0"/>
        <w:jc w:val="left"/>
      </w:pPr>
      <w:r>
        <w:rPr>
          <w:rFonts w:ascii="宋体" w:hAnsi="宋体" w:cs="宋体" w:eastAsia="宋体" w:hint="default"/>
        </w:rPr>
        <w:t>(2).</w:t>
      </w:r>
      <w:r>
        <w:rPr/>
        <w:t>共同经营的会计处理 </w:t>
      </w:r>
      <w:r>
        <w:rPr>
          <w:spacing w:val="-4"/>
        </w:rPr>
        <w:t>本公司为共同经营参与方，确认与共同经营中利益份额相关的下列项目，并按照相关企业会计准则的规定进行会计处理：</w:t>
      </w:r>
    </w:p>
    <w:p>
      <w:pPr>
        <w:pStyle w:val="BodyText"/>
        <w:spacing w:line="316" w:lineRule="auto"/>
        <w:ind w:right="1050"/>
        <w:jc w:val="both"/>
      </w:pPr>
      <w:r>
        <w:rPr/>
        <w:t>确认单独所持有的资产或负债，以及按份额确认共同持有的资产或负债；确认出售享有的共同经营产出份额所产生的收入； 按份额确认共同经营因出售产出所产生的收入；确认单独所发生的费用，以及按份额确认共同经营发生的费用。</w:t>
      </w:r>
    </w:p>
    <w:p>
      <w:pPr>
        <w:pStyle w:val="BodyText"/>
        <w:spacing w:line="316" w:lineRule="auto"/>
        <w:ind w:right="0" w:firstLine="360"/>
        <w:jc w:val="left"/>
      </w:pPr>
      <w:r>
        <w:rPr>
          <w:spacing w:val="-2"/>
        </w:rPr>
        <w:t>本公司为对共同经营不享有共同控制的参与方，如果享有该共同经营相关资产且承担该共同经营相关负债，则参照共同</w:t>
      </w:r>
      <w:r>
        <w:rPr/>
        <w:t> 经营参与方的规定进行会计处理；否则，按照相关企业会计准则的规定进行会计处理。</w:t>
      </w:r>
    </w:p>
    <w:p>
      <w:pPr>
        <w:pStyle w:val="BodyText"/>
        <w:spacing w:line="316" w:lineRule="auto"/>
        <w:ind w:left="474" w:right="1122"/>
        <w:jc w:val="left"/>
      </w:pPr>
      <w:r>
        <w:rPr>
          <w:rFonts w:ascii="宋体" w:hAnsi="宋体" w:cs="宋体" w:eastAsia="宋体" w:hint="default"/>
        </w:rPr>
        <w:t>(3).</w:t>
      </w:r>
      <w:r>
        <w:rPr/>
        <w:t>合营企业的会计处理 本公司为合营企业合营方应当按照《企业会计准则第</w:t>
      </w:r>
      <w:r>
        <w:rPr>
          <w:rFonts w:ascii="宋体" w:hAnsi="宋体" w:cs="宋体" w:eastAsia="宋体" w:hint="default"/>
        </w:rPr>
        <w:t>2</w:t>
      </w:r>
      <w:r>
        <w:rPr/>
        <w:t>号—长期股权投资》的规定对合营企业的投资进行会计处理，本</w:t>
      </w:r>
    </w:p>
    <w:p>
      <w:pPr>
        <w:pStyle w:val="BodyText"/>
        <w:spacing w:line="240" w:lineRule="auto"/>
        <w:ind w:right="0"/>
        <w:jc w:val="both"/>
      </w:pPr>
      <w:r>
        <w:rPr/>
        <w:t>公司为非合营方根据对该合营企业的影响程度进行会计处理。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60"/>
        <w:jc w:val="left"/>
      </w:pPr>
      <w:r>
        <w:rPr>
          <w:spacing w:val="-2"/>
        </w:rPr>
        <w:t>本公司在编制现金流量表时所确定的现金，是指本公司库存现金以及可以随时用于支付的存款。在编制现金流量表时所</w:t>
      </w:r>
      <w:r>
        <w:rPr/>
        <w:t> 确定的现金等价物，是指持有的期限短、流动性强、易于转换为已知金额现金、价值变动风险很小的投资。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外币业务折算 </w:t>
      </w:r>
      <w:r>
        <w:rPr>
          <w:spacing w:val="-2"/>
        </w:rPr>
        <w:t>本公司对发生的外币交易，采用与交易发生日即期汇率折合本位币入账。资产负债表日外币货币性项目按资产负债表日</w:t>
      </w:r>
    </w:p>
    <w:p>
      <w:pPr>
        <w:pStyle w:val="BodyText"/>
        <w:spacing w:line="240" w:lineRule="auto"/>
        <w:ind w:right="0"/>
        <w:jc w:val="both"/>
      </w:pPr>
      <w:r>
        <w:rPr/>
        <w:t>即期汇率折算，因该日的即期汇率与初始确认时或者前一资产负债表日即期汇率不同而产生的汇兑差额，除符合资本化条件</w:t>
      </w:r>
    </w:p>
    <w:p>
      <w:pPr>
        <w:spacing w:after="0" w:line="240"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032"/>
        <w:jc w:val="left"/>
      </w:pPr>
      <w:r>
        <w:rPr>
          <w:spacing w:val="-2"/>
        </w:rPr>
        <w:t>的外币专门借款的汇兑差额在资本化期间予以资本化计入相关资产的成本外，均计入当期损益。以历史成本计量的外币非货</w:t>
      </w:r>
      <w:r>
        <w:rPr>
          <w:spacing w:val="-64"/>
        </w:rPr>
        <w:t> </w:t>
      </w:r>
      <w:r>
        <w:rPr>
          <w:spacing w:val="-64"/>
        </w:rPr>
      </w:r>
      <w:r>
        <w:rPr>
          <w:spacing w:val="-2"/>
        </w:rPr>
        <w:t>币性项目，仍采用交易发生日的即期汇率折算，不改变其记账本位币金额。以公允价值计量的外币非货币性项目，采用公允</w:t>
      </w:r>
      <w:r>
        <w:rPr>
          <w:spacing w:val="-66"/>
        </w:rPr>
        <w:t> </w:t>
      </w:r>
      <w:r>
        <w:rPr>
          <w:spacing w:val="-66"/>
        </w:rPr>
      </w:r>
      <w:r>
        <w:rPr/>
        <w:t>价值确定日的即期汇率折算，折算后的记账本位币金额与原记账本位币金额的差额，作为公允价值变动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 计入当期损益或确认为其他综合收益。</w:t>
      </w:r>
    </w:p>
    <w:p>
      <w:pPr>
        <w:pStyle w:val="BodyText"/>
        <w:spacing w:line="316" w:lineRule="auto"/>
        <w:ind w:left="474" w:right="0"/>
        <w:jc w:val="left"/>
      </w:pPr>
      <w:r>
        <w:rPr>
          <w:rFonts w:ascii="宋体" w:hAnsi="宋体" w:cs="宋体" w:eastAsia="宋体" w:hint="default"/>
        </w:rPr>
        <w:t>(2).</w:t>
      </w:r>
      <w:r>
        <w:rPr/>
        <w:t>外币财务报表折算 </w:t>
      </w:r>
      <w:r>
        <w:rPr>
          <w:spacing w:val="-2"/>
        </w:rPr>
        <w:t>本公司的子公司、合营企业、联营企业等，若采用与本公司不同的记账本位币，需对其外币财务报表折算后，再进行会</w:t>
      </w:r>
    </w:p>
    <w:p>
      <w:pPr>
        <w:pStyle w:val="BodyText"/>
        <w:spacing w:line="316" w:lineRule="auto"/>
        <w:ind w:right="1032"/>
        <w:jc w:val="left"/>
      </w:pPr>
      <w:r>
        <w:rPr>
          <w:spacing w:val="-5"/>
        </w:rPr>
        <w:t>计核算及合并财务报表的编报。资产负债表中的资产和负债项目，采用资产负债表日的即期汇率折算，所有者权益项目除“未</w:t>
      </w:r>
      <w:r>
        <w:rPr>
          <w:spacing w:val="-80"/>
        </w:rPr>
        <w:t> </w:t>
      </w:r>
      <w:r>
        <w:rPr>
          <w:spacing w:val="-80"/>
        </w:rPr>
      </w:r>
      <w:r>
        <w:rPr/>
        <w:t>分配利润”项目外，其他项目采用发生时的即期汇率折算。利润表中的收入和费用项目，采用交易发生日的即期汇率折算。 </w:t>
      </w:r>
      <w:r>
        <w:rPr>
          <w:spacing w:val="-2"/>
        </w:rPr>
        <w:t>折算产生的外币财务报表折算差额，在资产负债表中所有者权益项目其他综合收益下列示。外币现金流量应当采用现金流量</w:t>
      </w:r>
      <w:r>
        <w:rPr>
          <w:spacing w:val="-64"/>
        </w:rPr>
        <w:t> </w:t>
      </w:r>
      <w:r>
        <w:rPr>
          <w:spacing w:val="-64"/>
        </w:rPr>
      </w:r>
      <w:r>
        <w:rPr>
          <w:spacing w:val="-2"/>
        </w:rPr>
        <w:t>发生日的即期汇率。汇率变动对现金的影响额，在现金流量表中单独列示。处置境外经营时，与该境外经营有关的外币报表</w:t>
      </w:r>
      <w:r>
        <w:rPr>
          <w:spacing w:val="-66"/>
        </w:rPr>
        <w:t> </w:t>
      </w:r>
      <w:r>
        <w:rPr>
          <w:spacing w:val="-66"/>
        </w:rPr>
      </w:r>
      <w:r>
        <w:rPr/>
        <w:t>折算差额，全部或按处置该境外经营的比例转入处置当期损益。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金融工具的分类及确认 </w:t>
      </w:r>
      <w:r>
        <w:rPr>
          <w:spacing w:val="-4"/>
        </w:rPr>
        <w:t>金融工具划分为金融资产或金融负债和权益工具。本公司成为金融工具合同的一方时，确认为一项金融资产或金融负债，</w:t>
      </w:r>
    </w:p>
    <w:p>
      <w:pPr>
        <w:pStyle w:val="BodyText"/>
        <w:spacing w:line="240" w:lineRule="auto"/>
        <w:ind w:right="0"/>
        <w:jc w:val="left"/>
      </w:pPr>
      <w:r>
        <w:rPr/>
        <w:t>或权益工具。</w:t>
      </w:r>
    </w:p>
    <w:p>
      <w:pPr>
        <w:pStyle w:val="BodyText"/>
        <w:spacing w:line="316" w:lineRule="auto" w:before="76"/>
        <w:ind w:right="1131" w:firstLine="360"/>
        <w:jc w:val="both"/>
      </w:pPr>
      <w:r>
        <w:rPr>
          <w:spacing w:val="-2"/>
        </w:rPr>
        <w:t>金融资产于初始确认时分类为：以公允价值计量且其变动计入当期损益的金融资产、持有至到期投资、应收款项、可供</w:t>
      </w:r>
      <w:r>
        <w:rPr/>
        <w:t> </w:t>
      </w:r>
      <w:r>
        <w:rPr>
          <w:spacing w:val="-2"/>
        </w:rPr>
        <w:t>出售金融资产。除应收款项以外的金融资产的分类取决于本公司及其子公司对金融资产的持有意图和持有能力等。金融负债</w:t>
      </w:r>
      <w:r>
        <w:rPr>
          <w:spacing w:val="-64"/>
        </w:rPr>
        <w:t> </w:t>
      </w:r>
      <w:r>
        <w:rPr>
          <w:spacing w:val="-64"/>
        </w:rPr>
      </w:r>
      <w:r>
        <w:rPr/>
        <w:t>于初始确认时分类为：以公允价值计量且其变动计入当期损益的金融负债以及其他金融负债。</w:t>
      </w:r>
    </w:p>
    <w:p>
      <w:pPr>
        <w:pStyle w:val="BodyText"/>
        <w:spacing w:line="319" w:lineRule="auto"/>
        <w:ind w:right="1132" w:firstLine="360"/>
        <w:jc w:val="both"/>
      </w:pPr>
      <w:r>
        <w:rPr/>
        <w:t>以公允价值计量且其变动计入当期损益的金融资产包括持有目的为短期内出售的交易性金融资产和初始确认时指定为 </w:t>
      </w:r>
      <w:r>
        <w:rPr>
          <w:spacing w:val="-2"/>
        </w:rPr>
        <w:t>以公允价值计量且其变动计入当期损益的金融资产；应收款项是指在活跃市场中没有报价、回收金额固定或可确定的非衍生</w:t>
      </w:r>
      <w:r>
        <w:rPr>
          <w:spacing w:val="-64"/>
        </w:rPr>
        <w:t> </w:t>
      </w:r>
      <w:r>
        <w:rPr>
          <w:spacing w:val="-64"/>
        </w:rPr>
      </w:r>
      <w:r>
        <w:rPr>
          <w:spacing w:val="-2"/>
        </w:rPr>
        <w:t>金融资产；可供出售金融资产包括初始确认时即被指定为可供出售的非衍生金融资产及未被划分为其他类的金融资产；持有</w:t>
      </w:r>
      <w:r>
        <w:rPr>
          <w:spacing w:val="-64"/>
        </w:rPr>
        <w:t> </w:t>
      </w:r>
      <w:r>
        <w:rPr>
          <w:spacing w:val="-64"/>
        </w:rPr>
      </w:r>
      <w:r>
        <w:rPr/>
        <w:t>至到期投资是指到期日固定、回收金额固定或可确定，且管理层有明确意图和能力持有至到期的非衍生金融资产。</w:t>
      </w:r>
    </w:p>
    <w:p>
      <w:pPr>
        <w:pStyle w:val="BodyText"/>
        <w:spacing w:line="316" w:lineRule="auto" w:before="17"/>
        <w:ind w:left="474" w:right="0"/>
        <w:jc w:val="left"/>
      </w:pPr>
      <w:r>
        <w:rPr>
          <w:rFonts w:ascii="宋体" w:hAnsi="宋体" w:cs="宋体" w:eastAsia="宋体" w:hint="default"/>
        </w:rPr>
        <w:t>(2).</w:t>
      </w:r>
      <w:r>
        <w:rPr/>
        <w:t>金融工具的计量 </w:t>
      </w:r>
      <w:r>
        <w:rPr>
          <w:spacing w:val="-2"/>
        </w:rPr>
        <w:t>本公司金融工具初始确认按公允价值计量。后续计量分类为：以公允价值计量且其变动计入当期损益的金融资产、可供</w:t>
      </w:r>
    </w:p>
    <w:p>
      <w:pPr>
        <w:pStyle w:val="BodyText"/>
        <w:spacing w:line="316" w:lineRule="auto"/>
        <w:ind w:right="1131"/>
        <w:jc w:val="both"/>
      </w:pPr>
      <w:r>
        <w:rPr>
          <w:spacing w:val="-2"/>
        </w:rPr>
        <w:t>出售金融资产及以公允价值计量且其变动计入当期损益的金融负债按公允价值计量；持有到期投资、贷款和应收款项以及其</w:t>
      </w:r>
      <w:r>
        <w:rPr>
          <w:spacing w:val="-64"/>
        </w:rPr>
        <w:t> </w:t>
      </w:r>
      <w:r>
        <w:rPr>
          <w:spacing w:val="-64"/>
        </w:rPr>
      </w:r>
      <w:r>
        <w:rPr>
          <w:spacing w:val="-2"/>
        </w:rPr>
        <w:t>他金融负债按摊余成本计量；在活跃市场中没有报价且其公允价值不能可靠计量的权益工具投资，以及与该权益工具挂钩并</w:t>
      </w:r>
      <w:r>
        <w:rPr>
          <w:spacing w:val="-64"/>
        </w:rPr>
        <w:t> </w:t>
      </w:r>
      <w:r>
        <w:rPr>
          <w:spacing w:val="-64"/>
        </w:rPr>
      </w:r>
      <w:r>
        <w:rPr>
          <w:spacing w:val="-2"/>
        </w:rPr>
        <w:t>须通过交付该权益工具结算的衍生金融资产或者衍生金融负债，按照成本计量。本公司金融资产或金融负债后续计量中公允</w:t>
      </w:r>
      <w:r>
        <w:rPr>
          <w:spacing w:val="-64"/>
        </w:rPr>
        <w:t> </w:t>
      </w:r>
      <w:r>
        <w:rPr>
          <w:spacing w:val="-64"/>
        </w:rPr>
      </w:r>
      <w:r>
        <w:rPr>
          <w:spacing w:val="-2"/>
        </w:rPr>
        <w:t>价值变动形成的利得或损失，除与套期保值有关外，按照如下方法处理：①以公允价值计量且其变动计入当期损益的金融资</w:t>
      </w:r>
      <w:r>
        <w:rPr>
          <w:spacing w:val="-65"/>
        </w:rPr>
        <w:t> </w:t>
      </w:r>
      <w:r>
        <w:rPr>
          <w:spacing w:val="-65"/>
        </w:rPr>
      </w:r>
      <w:r>
        <w:rPr>
          <w:spacing w:val="-2"/>
        </w:rPr>
        <w:t>产或金融负债公允价值变动形成的利得或损失，计入公允价值变动损益。②可供出售金融资产的公允价值变动计入其他综合</w:t>
      </w:r>
      <w:r>
        <w:rPr>
          <w:spacing w:val="-64"/>
        </w:rPr>
        <w:t> </w:t>
      </w:r>
      <w:r>
        <w:rPr>
          <w:spacing w:val="-64"/>
        </w:rPr>
      </w:r>
      <w:r>
        <w:rPr/>
        <w:t>收益。</w:t>
      </w:r>
    </w:p>
    <w:p>
      <w:pPr>
        <w:pStyle w:val="BodyText"/>
        <w:spacing w:line="316" w:lineRule="auto"/>
        <w:ind w:left="474" w:right="0"/>
        <w:jc w:val="left"/>
      </w:pPr>
      <w:r>
        <w:rPr>
          <w:rFonts w:ascii="宋体" w:hAnsi="宋体" w:cs="宋体" w:eastAsia="宋体" w:hint="default"/>
        </w:rPr>
        <w:t>(3).</w:t>
      </w:r>
      <w:r>
        <w:rPr/>
        <w:t>本公司对金融工具的公允价值的确认方法 </w:t>
      </w:r>
      <w:r>
        <w:rPr>
          <w:spacing w:val="-2"/>
        </w:rPr>
        <w:t>如存在活跃市场的金融工具，以活跃市场中的报价确定其公允价值；如不存在活跃市场的金融工具，采用估值技术确定</w:t>
      </w:r>
    </w:p>
    <w:p>
      <w:pPr>
        <w:pStyle w:val="BodyText"/>
        <w:spacing w:line="316" w:lineRule="auto"/>
        <w:ind w:left="474" w:right="6072" w:hanging="360"/>
        <w:jc w:val="left"/>
      </w:pPr>
      <w:r>
        <w:rPr/>
        <w:t>其公允价值。估值技术主要包括市场法、收益法和成本法。 </w:t>
      </w:r>
      <w:r>
        <w:rPr>
          <w:rFonts w:ascii="宋体" w:hAnsi="宋体" w:cs="宋体" w:eastAsia="宋体" w:hint="default"/>
        </w:rPr>
        <w:t>(4).</w:t>
      </w:r>
      <w:r>
        <w:rPr/>
        <w:t>金融资产负债转移的确认依据和计量方法</w:t>
      </w:r>
    </w:p>
    <w:p>
      <w:pPr>
        <w:pStyle w:val="BodyText"/>
        <w:spacing w:line="319" w:lineRule="auto"/>
        <w:ind w:right="1032" w:firstLine="360"/>
        <w:jc w:val="left"/>
      </w:pPr>
      <w:r>
        <w:rPr/>
        <w:t>金融资产所有权上几乎所有的风险和报酬转移时，或既没有转移也没有保留金融资产所有权上几乎所有的风险和报酬， </w:t>
      </w:r>
      <w:r>
        <w:rPr>
          <w:spacing w:val="-2"/>
        </w:rPr>
        <w:t>但放弃了对该金融资产控制的，应当终止确认该项金融资产。金融资产满足终止确认条件的，将所转移金融资产的账面价值</w:t>
      </w:r>
      <w:r>
        <w:rPr>
          <w:spacing w:val="-66"/>
        </w:rPr>
        <w:t> </w:t>
      </w:r>
      <w:r>
        <w:rPr>
          <w:spacing w:val="-66"/>
        </w:rPr>
      </w: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6"/>
        </w:rPr>
        <w:t> </w:t>
      </w:r>
      <w:r>
        <w:rPr>
          <w:spacing w:val="-66"/>
        </w:rPr>
      </w:r>
      <w:r>
        <w:rPr/>
        <w:t>分摊。</w:t>
      </w:r>
    </w:p>
    <w:p>
      <w:pPr>
        <w:pStyle w:val="BodyText"/>
        <w:spacing w:line="316" w:lineRule="auto" w:before="17"/>
        <w:ind w:left="474" w:right="3732"/>
        <w:jc w:val="left"/>
      </w:pPr>
      <w:r>
        <w:rPr/>
        <w:t>金融负债的现时义务全部或部分已经解除的，则应终止确认该金融负债或其一部分。 </w:t>
      </w:r>
      <w:r>
        <w:rPr>
          <w:rFonts w:ascii="宋体" w:hAnsi="宋体" w:cs="宋体" w:eastAsia="宋体" w:hint="default"/>
        </w:rPr>
        <w:t>(5).</w:t>
      </w:r>
      <w:r>
        <w:rPr/>
        <w:t>金融资产减值</w:t>
      </w:r>
    </w:p>
    <w:p>
      <w:pPr>
        <w:pStyle w:val="BodyText"/>
        <w:spacing w:line="240" w:lineRule="auto"/>
        <w:ind w:left="474" w:right="0"/>
        <w:jc w:val="left"/>
      </w:pPr>
      <w:r>
        <w:rPr/>
        <w:t>以摊余成本计量的金融资产发生减值时</w:t>
      </w:r>
      <w:r>
        <w:rPr>
          <w:spacing w:val="-82"/>
        </w:rPr>
        <w:t>，</w:t>
      </w:r>
      <w:r>
        <w:rPr/>
        <w:t>按预计未来现金流量</w:t>
      </w:r>
      <w:r>
        <w:rPr>
          <w:rFonts w:ascii="宋体" w:hAnsi="宋体" w:cs="宋体" w:eastAsia="宋体" w:hint="default"/>
        </w:rPr>
        <w:t>(</w:t>
      </w:r>
      <w:r>
        <w:rPr/>
        <w:t>不包括尚未发生的未来信用损失</w:t>
      </w:r>
      <w:r>
        <w:rPr>
          <w:rFonts w:ascii="宋体" w:hAnsi="宋体" w:cs="宋体" w:eastAsia="宋体" w:hint="default"/>
        </w:rPr>
        <w:t>)</w:t>
      </w:r>
      <w:r>
        <w:rPr/>
        <w:t>现值低于账面价值的差</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1"/>
        <w:jc w:val="both"/>
      </w:pP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pStyle w:val="BodyText"/>
        <w:spacing w:line="316" w:lineRule="auto"/>
        <w:ind w:left="474" w:right="0"/>
        <w:jc w:val="left"/>
      </w:pPr>
      <w:r>
        <w:rPr/>
        <w:t>以成本计量的金融资产发生减值时，计提减值准备。发生的减值损失，一经确认，不再转回。 </w:t>
      </w:r>
      <w:r>
        <w:rPr>
          <w:spacing w:val="-2"/>
        </w:rPr>
        <w:t>当有客观证据表明可供出售金融资产发生减值时，原直接计入股东权益的因公允价值下降形成的累计损失予以转出并计</w:t>
      </w:r>
    </w:p>
    <w:p>
      <w:pPr>
        <w:pStyle w:val="BodyText"/>
        <w:spacing w:line="316" w:lineRule="auto"/>
        <w:ind w:right="1132"/>
        <w:jc w:val="both"/>
      </w:pP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6"/>
        </w:rPr>
        <w:t> </w:t>
      </w:r>
      <w:r>
        <w:rPr>
          <w:spacing w:val="-66"/>
        </w:rPr>
      </w:r>
      <w:r>
        <w:rPr/>
        <w:t>入股东权益。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应收款项账面余额</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以上的款项，经减值测试后存在减值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按照个别认定法计提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经减值测试后存在减值情况</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按照个别认定法计提</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both"/>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316" w:lineRule="auto" w:before="115"/>
        <w:ind w:left="474" w:right="0"/>
        <w:jc w:val="left"/>
      </w:pPr>
      <w:r>
        <w:rPr/>
        <w:t>（</w:t>
      </w:r>
      <w:r>
        <w:rPr>
          <w:rFonts w:ascii="宋体" w:hAnsi="宋体" w:cs="宋体" w:eastAsia="宋体" w:hint="default"/>
        </w:rPr>
        <w:t>1</w:t>
      </w:r>
      <w:r>
        <w:rPr/>
        <w:t>）</w:t>
      </w:r>
      <w:r>
        <w:rPr>
          <w:rFonts w:ascii="宋体" w:hAnsi="宋体" w:cs="宋体" w:eastAsia="宋体" w:hint="default"/>
        </w:rPr>
        <w:t>.</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ind w:right="0"/>
        <w:jc w:val="both"/>
      </w:pPr>
      <w:r>
        <w:rPr/>
        <w:t>耗用的材料和物料等。主要包括原材料、在产品等。</w:t>
      </w:r>
    </w:p>
    <w:p>
      <w:pPr>
        <w:pStyle w:val="BodyText"/>
        <w:spacing w:line="316" w:lineRule="auto" w:before="76"/>
        <w:ind w:left="474" w:right="6072"/>
        <w:jc w:val="left"/>
      </w:pPr>
      <w:r>
        <w:rPr/>
        <w:t>（</w:t>
      </w:r>
      <w:r>
        <w:rPr>
          <w:rFonts w:ascii="宋体" w:hAnsi="宋体" w:cs="宋体" w:eastAsia="宋体" w:hint="default"/>
        </w:rPr>
        <w:t>2</w:t>
      </w:r>
      <w:r>
        <w:rPr/>
        <w:t>）</w:t>
      </w:r>
      <w:r>
        <w:rPr>
          <w:rFonts w:ascii="宋体" w:hAnsi="宋体" w:cs="宋体" w:eastAsia="宋体" w:hint="default"/>
        </w:rPr>
        <w:t>.</w:t>
      </w:r>
      <w:r>
        <w:rPr/>
        <w:t>发出存货的计价方法 存货发出时，采取个别计价法确定其发出的实际成本。</w:t>
      </w:r>
    </w:p>
    <w:p>
      <w:pPr>
        <w:pStyle w:val="BodyText"/>
        <w:spacing w:line="316" w:lineRule="auto"/>
        <w:ind w:left="474" w:right="0"/>
        <w:jc w:val="left"/>
      </w:pPr>
      <w:r>
        <w:rPr/>
        <w:t>（</w:t>
      </w:r>
      <w:r>
        <w:rPr>
          <w:rFonts w:ascii="宋体" w:hAnsi="宋体" w:cs="宋体" w:eastAsia="宋体" w:hint="default"/>
        </w:rPr>
        <w:t>3</w:t>
      </w:r>
      <w:r>
        <w:rPr/>
        <w:t>）</w:t>
      </w:r>
      <w:r>
        <w:rPr>
          <w:rFonts w:ascii="宋体" w:hAnsi="宋体" w:cs="宋体" w:eastAsia="宋体" w:hint="default"/>
        </w:rPr>
        <w:t>.</w:t>
      </w:r>
      <w:r>
        <w:rPr/>
        <w:t>存货跌价准备的计提方法 </w:t>
      </w:r>
      <w:r>
        <w:rPr>
          <w:spacing w:val="-2"/>
        </w:rPr>
        <w:t>资产负债表日，存货按照成本与可变现净值孰低计量，并按单个存货项目计提存货跌价准备，但对于数量繁多、单价较</w:t>
      </w:r>
    </w:p>
    <w:p>
      <w:pPr>
        <w:pStyle w:val="BodyText"/>
        <w:spacing w:line="240" w:lineRule="auto"/>
        <w:ind w:right="0"/>
        <w:jc w:val="both"/>
      </w:pPr>
      <w:r>
        <w:rPr/>
        <w:t>低的存货，按照存货类别计提存货跌价准备。</w:t>
      </w:r>
    </w:p>
    <w:p>
      <w:pPr>
        <w:pStyle w:val="BodyText"/>
        <w:spacing w:line="316" w:lineRule="auto" w:before="76"/>
        <w:ind w:left="474" w:right="7332"/>
        <w:jc w:val="left"/>
      </w:pPr>
      <w:r>
        <w:rPr/>
        <w:t>（</w:t>
      </w:r>
      <w:r>
        <w:rPr>
          <w:rFonts w:ascii="宋体" w:hAnsi="宋体" w:cs="宋体" w:eastAsia="宋体" w:hint="default"/>
        </w:rPr>
        <w:t>4</w:t>
      </w:r>
      <w:r>
        <w:rPr/>
        <w:t>）</w:t>
      </w:r>
      <w:r>
        <w:rPr>
          <w:rFonts w:ascii="宋体" w:hAnsi="宋体" w:cs="宋体" w:eastAsia="宋体" w:hint="default"/>
        </w:rPr>
        <w:t>.</w:t>
      </w:r>
      <w:r>
        <w:rPr/>
        <w:t>存货的盘存制度 本公司的存货盘存制度为永续盘存制。</w:t>
      </w:r>
    </w:p>
    <w:p>
      <w:pPr>
        <w:pStyle w:val="BodyText"/>
        <w:spacing w:line="316" w:lineRule="auto"/>
        <w:ind w:left="474" w:right="6972"/>
        <w:jc w:val="left"/>
      </w:pPr>
      <w:r>
        <w:rPr/>
        <w:t>（</w:t>
      </w:r>
      <w:r>
        <w:rPr>
          <w:rFonts w:ascii="宋体" w:hAnsi="宋体" w:cs="宋体" w:eastAsia="宋体" w:hint="default"/>
        </w:rPr>
        <w:t>5</w:t>
      </w:r>
      <w:r>
        <w:rPr/>
        <w:t>）</w:t>
      </w:r>
      <w:r>
        <w:rPr>
          <w:rFonts w:ascii="宋体" w:hAnsi="宋体" w:cs="宋体" w:eastAsia="宋体" w:hint="default"/>
        </w:rPr>
        <w:t>.</w:t>
      </w:r>
      <w:r>
        <w:rPr/>
        <w:t>低值易耗品和包装物的摊销方法 低值易耗品和包装物采用一次转销法摊销。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t>（</w:t>
      </w:r>
      <w:r>
        <w:rPr>
          <w:rFonts w:ascii="宋体" w:hAnsi="宋体" w:cs="宋体" w:eastAsia="宋体" w:hint="default"/>
        </w:rPr>
        <w:t>1</w:t>
      </w:r>
      <w:r>
        <w:rPr/>
        <w:t>）</w:t>
      </w:r>
      <w:r>
        <w:rPr>
          <w:rFonts w:ascii="宋体" w:hAnsi="宋体" w:cs="宋体" w:eastAsia="宋体" w:hint="default"/>
        </w:rPr>
        <w:t>.</w:t>
      </w:r>
      <w:r>
        <w:rPr/>
        <w:t>初始投资成本确定 </w:t>
      </w:r>
      <w:r>
        <w:rPr>
          <w:spacing w:val="-2"/>
        </w:rPr>
        <w:t>对于企业合并取得的长期股权投资，如为同一控制下的企业合并，应当在合并日按照所取得的被合并方在最终控制方合</w:t>
      </w:r>
    </w:p>
    <w:p>
      <w:pPr>
        <w:pStyle w:val="BodyText"/>
        <w:spacing w:line="316" w:lineRule="auto"/>
        <w:ind w:right="1131"/>
        <w:jc w:val="both"/>
      </w:pPr>
      <w:r>
        <w:rPr>
          <w:spacing w:val="-2"/>
        </w:rPr>
        <w:t>并财务报表中的净资产的账面价值的份额作为长期股权投资的初始投资成本；非同一控制下的企业合并，按照购买日确定的</w:t>
      </w:r>
      <w:r>
        <w:rPr>
          <w:spacing w:val="-64"/>
        </w:rPr>
        <w:t> </w:t>
      </w:r>
      <w:r>
        <w:rPr>
          <w:spacing w:val="-64"/>
        </w:rPr>
      </w:r>
      <w:r>
        <w:rPr>
          <w:spacing w:val="-2"/>
        </w:rPr>
        <w:t>合并成本作为长期股权投资的初始投资成本；以支付现金取得的长期股权投资，初始投资成本为实际支付的购买价款；以发</w:t>
      </w:r>
      <w:r>
        <w:rPr>
          <w:spacing w:val="-66"/>
        </w:rPr>
        <w:t> </w:t>
      </w:r>
      <w:r>
        <w:rPr>
          <w:spacing w:val="-66"/>
        </w:rPr>
      </w:r>
      <w:r>
        <w:rPr>
          <w:spacing w:val="-2"/>
        </w:rPr>
        <w:t>行权益性证券取得的长期股权投资，初始投资成本为发行权益性证券的公允价值；通过债务重组取得的长期股权投资，其初</w:t>
      </w:r>
      <w:r>
        <w:rPr>
          <w:spacing w:val="-66"/>
        </w:rPr>
        <w:t> </w:t>
      </w:r>
      <w:r>
        <w:rPr>
          <w:spacing w:val="-66"/>
        </w:rPr>
      </w:r>
      <w:r>
        <w:rPr>
          <w:spacing w:val="-2"/>
        </w:rPr>
        <w:t>始投资成本按照《企业会计准则第</w:t>
      </w:r>
      <w:r>
        <w:rPr>
          <w:rFonts w:ascii="宋体" w:hAnsi="宋体" w:cs="宋体" w:eastAsia="宋体" w:hint="default"/>
          <w:spacing w:val="-2"/>
        </w:rPr>
        <w:t>12</w:t>
      </w:r>
      <w:r>
        <w:rPr>
          <w:spacing w:val="-2"/>
        </w:rPr>
        <w:t>号—债务重组》的有关规定确定；非货币性资产交换取得的长期股权投资，初始投资成</w:t>
      </w:r>
      <w:r>
        <w:rPr>
          <w:spacing w:val="-64"/>
        </w:rPr>
        <w:t> </w:t>
      </w:r>
      <w:r>
        <w:rPr>
          <w:spacing w:val="-64"/>
        </w:rPr>
      </w:r>
      <w:r>
        <w:rPr/>
        <w:t>本按照《企业会计准则第</w:t>
      </w:r>
      <w:r>
        <w:rPr>
          <w:rFonts w:ascii="宋体" w:hAnsi="宋体" w:cs="宋体" w:eastAsia="宋体" w:hint="default"/>
        </w:rPr>
        <w:t>7</w:t>
      </w:r>
      <w:r>
        <w:rPr/>
        <w:t>号一一非货币性资产交换》的有关规定确定。</w:t>
      </w:r>
    </w:p>
    <w:p>
      <w:pPr>
        <w:pStyle w:val="BodyText"/>
        <w:spacing w:line="316" w:lineRule="auto"/>
        <w:ind w:left="474" w:right="0"/>
        <w:jc w:val="left"/>
      </w:pPr>
      <w:r>
        <w:rPr/>
        <w:t>（</w:t>
      </w:r>
      <w:r>
        <w:rPr>
          <w:rFonts w:ascii="宋体" w:hAnsi="宋体" w:cs="宋体" w:eastAsia="宋体" w:hint="default"/>
        </w:rPr>
        <w:t>2</w:t>
      </w:r>
      <w:r>
        <w:rPr/>
        <w:t>）</w:t>
      </w:r>
      <w:r>
        <w:rPr>
          <w:rFonts w:ascii="宋体" w:hAnsi="宋体" w:cs="宋体" w:eastAsia="宋体" w:hint="default"/>
        </w:rPr>
        <w:t>.</w:t>
      </w:r>
      <w:r>
        <w:rPr/>
        <w:t>后续计量及损益确认方法 </w:t>
      </w:r>
      <w:r>
        <w:rPr>
          <w:spacing w:val="-2"/>
        </w:rPr>
        <w:t>本公司能够对被投资单位实施控制的长期股权投资应当采用成本法核算，对联营企业和合营企业的长期股权投资采用权</w:t>
      </w:r>
    </w:p>
    <w:p>
      <w:pPr>
        <w:pStyle w:val="BodyText"/>
        <w:spacing w:line="316" w:lineRule="auto"/>
        <w:ind w:right="1043"/>
        <w:jc w:val="both"/>
      </w:pPr>
      <w:r>
        <w:rPr>
          <w:spacing w:val="-2"/>
        </w:rPr>
        <w:t>益法核算。本公司对联营企业的权益性投资，其中一部分通过风险投资机构、共同基金、信托公司或包括投连险基金在内的</w:t>
      </w:r>
      <w:r>
        <w:rPr>
          <w:spacing w:val="-66"/>
        </w:rPr>
        <w:t> </w:t>
      </w:r>
      <w:r>
        <w:rPr>
          <w:spacing w:val="-66"/>
        </w:rPr>
      </w:r>
      <w:r>
        <w:rPr>
          <w:spacing w:val="-2"/>
        </w:rPr>
        <w:t>类似主体间接持有的，无论以上主体是否对这部分投资具有重大影响，本公司应当按照《企业会计准则第</w:t>
      </w:r>
      <w:r>
        <w:rPr>
          <w:rFonts w:ascii="宋体" w:hAnsi="宋体" w:cs="宋体" w:eastAsia="宋体" w:hint="default"/>
          <w:spacing w:val="-2"/>
        </w:rPr>
        <w:t>22</w:t>
      </w:r>
      <w:r>
        <w:rPr>
          <w:spacing w:val="-2"/>
        </w:rPr>
        <w:t>号——金融工具</w:t>
      </w:r>
      <w:r>
        <w:rPr>
          <w:spacing w:val="-64"/>
        </w:rPr>
        <w:t> </w:t>
      </w:r>
      <w:r>
        <w:rPr>
          <w:spacing w:val="-4"/>
        </w:rPr>
        <w:t>确认和计量》的有关规定，对间接持有的该部分投资选择以公允价值计量且其变动计入损益，并对其余部分采用权益法核算。</w:t>
      </w:r>
    </w:p>
    <w:p>
      <w:pPr>
        <w:pStyle w:val="BodyText"/>
        <w:spacing w:line="316" w:lineRule="auto"/>
        <w:ind w:left="474" w:right="0"/>
        <w:jc w:val="left"/>
      </w:pPr>
      <w:r>
        <w:rPr/>
        <w:t>（</w:t>
      </w:r>
      <w:r>
        <w:rPr>
          <w:rFonts w:ascii="宋体" w:hAnsi="宋体" w:cs="宋体" w:eastAsia="宋体" w:hint="default"/>
        </w:rPr>
        <w:t>3</w:t>
      </w:r>
      <w:r>
        <w:rPr/>
        <w:t>）</w:t>
      </w:r>
      <w:r>
        <w:rPr>
          <w:rFonts w:ascii="宋体" w:hAnsi="宋体" w:cs="宋体" w:eastAsia="宋体" w:hint="default"/>
        </w:rPr>
        <w:t>.</w:t>
      </w:r>
      <w:r>
        <w:rPr/>
        <w:t>确定对被投资单位具有共同控制、重大影响的依据 </w:t>
      </w:r>
      <w:r>
        <w:rPr>
          <w:spacing w:val="-2"/>
        </w:rPr>
        <w:t>对被投资单位具有共同控制，是指对某项安排的回报产生重大影响的活动必须经过分享控制权的参与方一致同意后才能</w:t>
      </w:r>
    </w:p>
    <w:p>
      <w:pPr>
        <w:pStyle w:val="BodyText"/>
        <w:spacing w:line="316" w:lineRule="auto"/>
        <w:ind w:right="1129"/>
        <w:jc w:val="both"/>
      </w:pPr>
      <w:r>
        <w:rPr>
          <w:spacing w:val="-2"/>
        </w:rPr>
        <w:t>决策，包括商品或劳务的销售和购买、金融资产的管理、资产的购买和处置、研究与开发活动以及融资活动等；对被投资单</w:t>
      </w:r>
      <w:r>
        <w:rPr>
          <w:spacing w:val="-66"/>
        </w:rPr>
        <w:t> </w:t>
      </w:r>
      <w:r>
        <w:rPr>
          <w:spacing w:val="-66"/>
        </w:rPr>
      </w:r>
      <w:r>
        <w:rPr/>
        <w:t>位具有重大影响，是指当持有被投资单位</w:t>
      </w:r>
      <w:r>
        <w:rPr>
          <w:rFonts w:ascii="宋体" w:hAnsi="宋体" w:cs="宋体" w:eastAsia="宋体" w:hint="default"/>
        </w:rPr>
        <w:t>20%</w:t>
      </w:r>
      <w:r>
        <w:rPr/>
        <w:t>以上至</w:t>
      </w:r>
      <w:r>
        <w:rPr>
          <w:rFonts w:ascii="宋体" w:hAnsi="宋体" w:cs="宋体" w:eastAsia="宋体" w:hint="default"/>
        </w:rPr>
        <w:t>50%</w:t>
      </w:r>
      <w:r>
        <w:rPr/>
        <w:t>的表决权资本时，具有重大影响。或虽不足</w:t>
      </w:r>
      <w:r>
        <w:rPr>
          <w:rFonts w:ascii="宋体" w:hAnsi="宋体" w:cs="宋体" w:eastAsia="宋体" w:hint="default"/>
        </w:rPr>
        <w:t>20%</w:t>
      </w:r>
      <w:r>
        <w:rPr/>
        <w:t>，但符合下列条件之</w:t>
      </w:r>
      <w:r>
        <w:rPr>
          <w:spacing w:val="-83"/>
        </w:rPr>
        <w:t> </w:t>
      </w:r>
      <w:r>
        <w:rPr>
          <w:spacing w:val="-83"/>
        </w:rPr>
      </w:r>
      <w:r>
        <w:rPr>
          <w:spacing w:val="-2"/>
        </w:rPr>
        <w:t>一时，具有重大影响：在被投资单位的董事会或类似的权力机构中派有代表；参与被投资单位的政策制定过程；向被投资单</w:t>
      </w:r>
      <w:r>
        <w:rPr>
          <w:spacing w:val="-66"/>
        </w:rPr>
        <w:t> </w:t>
      </w:r>
      <w:r>
        <w:rPr>
          <w:spacing w:val="-66"/>
        </w:rPr>
      </w:r>
      <w:r>
        <w:rPr/>
        <w:t>位派出管理人员；被投资单位依赖投资公司的技术或技术资料；与被投资单位之间发生重要交易。</w:t>
      </w:r>
    </w:p>
    <w:p>
      <w:pPr>
        <w:spacing w:after="0" w:line="316"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firstLine="360"/>
        <w:jc w:val="left"/>
      </w:pPr>
      <w:r>
        <w:rPr>
          <w:spacing w:val="-2"/>
        </w:rPr>
        <w:t>固定资产指为生产商品、提供劳务、出租或经营管理而持有的，使用寿命超过一个会计年度的有形资产。同时满足以下</w:t>
      </w:r>
      <w:r>
        <w:rPr/>
        <w:t> 条件时予以确认：与该固定资产有关的经济利益很可能流入企业；该固定资产的成本能够可靠地计量。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3.17-1.90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11.88-19.00</w:t>
            </w:r>
          </w:p>
        </w:tc>
      </w:tr>
    </w:tbl>
    <w:p>
      <w:pPr>
        <w:pStyle w:val="BodyText"/>
        <w:spacing w:line="319" w:lineRule="auto" w:before="10"/>
        <w:ind w:right="1130" w:firstLine="360"/>
        <w:jc w:val="both"/>
      </w:pPr>
      <w:r>
        <w:rPr>
          <w:spacing w:val="-2"/>
        </w:rPr>
        <w:t>本公司固定资产主要分为：房屋建筑物、机器设备、电子设备、运输设备等；折旧方法采用年限平均法。根据各类固定</w:t>
      </w:r>
      <w:r>
        <w:rPr/>
        <w:t> </w:t>
      </w:r>
      <w:r>
        <w:rPr>
          <w:spacing w:val="-2"/>
        </w:rPr>
        <w:t>资产的性质和使用情况，确定固定资产的使用寿命和预计净残值。并在年度终了，对固定资产的使用寿命、预计净残值和折</w:t>
      </w:r>
      <w:r>
        <w:rPr>
          <w:spacing w:val="-66"/>
        </w:rPr>
        <w:t> </w:t>
      </w:r>
      <w:r>
        <w:rPr>
          <w:spacing w:val="-66"/>
        </w:rPr>
      </w:r>
      <w:r>
        <w:rPr>
          <w:spacing w:val="-2"/>
        </w:rPr>
        <w:t>旧方法进行复核，如与原先估计数存在差异的，进行相应的调整。除已提足折旧仍继续使用的固定资产和单独计价入账的土</w:t>
      </w:r>
      <w:r>
        <w:rPr>
          <w:spacing w:val="-66"/>
        </w:rPr>
        <w:t> </w:t>
      </w:r>
      <w:r>
        <w:rPr>
          <w:spacing w:val="-66"/>
        </w:rPr>
      </w:r>
      <w:r>
        <w:rPr/>
        <w:t>地之外，本公司对所有固定资产计提折旧。</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融资租入固定资产为实质上转移了与资产所有权有关的全部风险和报酬的租赁。融资租入固定资产初始计价为租赁期开</w:t>
      </w:r>
      <w:r>
        <w:rPr/>
        <w:t> </w:t>
      </w:r>
      <w:r>
        <w:rPr>
          <w:spacing w:val="-2"/>
        </w:rPr>
        <w:t>始日租赁资产公允价值与最低租赁付款额现值较低者作为入账价值；融资租入固定资产后续计价采用与自有固定资产相一致</w:t>
      </w:r>
      <w:r>
        <w:rPr>
          <w:spacing w:val="-64"/>
        </w:rPr>
        <w:t> </w:t>
      </w:r>
      <w:r>
        <w:rPr>
          <w:spacing w:val="-64"/>
        </w:rPr>
      </w:r>
      <w:r>
        <w:rPr/>
        <w:t>的折旧政策计提折旧及减值准备。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7" w:lineRule="auto" w:before="29"/>
        <w:ind w:left="474" w:right="1032" w:hanging="360"/>
        <w:jc w:val="left"/>
      </w:pPr>
      <w:r>
        <w:rPr/>
        <w:t>软件与信息技术服务业 本公司在建工程分为自营方式建造和出包方式建造两种。在建工程在工程完工达到预定可使用状态时，结转固定资产。</w:t>
      </w:r>
    </w:p>
    <w:p>
      <w:pPr>
        <w:pStyle w:val="BodyText"/>
        <w:spacing w:line="224" w:lineRule="exact" w:before="0"/>
        <w:ind w:right="0"/>
        <w:jc w:val="left"/>
      </w:pPr>
      <w:r>
        <w:rPr/>
        <w:t>预定可使用状态的判断标准，应符合下列情况之一：固定资产的实体建造（包括安装）工作已经全部完成或实质上已经全部</w:t>
      </w:r>
    </w:p>
    <w:p>
      <w:pPr>
        <w:pStyle w:val="BodyText"/>
        <w:spacing w:line="316" w:lineRule="auto" w:before="76"/>
        <w:ind w:right="1032"/>
        <w:jc w:val="left"/>
      </w:pPr>
      <w:r>
        <w:rPr>
          <w:spacing w:val="-2"/>
        </w:rPr>
        <w:t>完成；已经试生产或试运行，并且其结果表明资产能够正常运行或能够稳定地生产出合格产品，或者试运行结果表明其能够</w:t>
      </w:r>
      <w:r>
        <w:rPr>
          <w:spacing w:val="-66"/>
        </w:rPr>
        <w:t> </w:t>
      </w:r>
      <w:r>
        <w:rPr>
          <w:spacing w:val="-66"/>
        </w:rPr>
      </w:r>
      <w:r>
        <w:rPr/>
        <w:t>正常运转或营业；该项建造的固定资产上的支出金额很少或者几乎不再发生；所购建的固定资产已经达到设计或合同要求， 或与设计或合同要求基本相符。</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t>（</w:t>
      </w:r>
      <w:r>
        <w:rPr>
          <w:rFonts w:ascii="宋体" w:hAnsi="宋体" w:cs="宋体" w:eastAsia="宋体" w:hint="default"/>
        </w:rPr>
        <w:t>1</w:t>
      </w:r>
      <w:r>
        <w:rPr/>
        <w:t>）</w:t>
      </w:r>
      <w:r>
        <w:rPr>
          <w:rFonts w:ascii="宋体" w:hAnsi="宋体" w:cs="宋体" w:eastAsia="宋体" w:hint="default"/>
        </w:rPr>
        <w:t>.</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16" w:lineRule="auto"/>
        <w:ind w:right="0"/>
        <w:jc w:val="left"/>
      </w:pPr>
      <w:r>
        <w:rPr>
          <w:spacing w:val="-2"/>
        </w:rPr>
        <w:t>他借款费用，在发生时根据其发生额确认为费用，计入当期损益。符合资本化条件的资产，是指需要经过相当长时间的购建</w:t>
      </w:r>
      <w:r>
        <w:rPr>
          <w:spacing w:val="-66"/>
        </w:rPr>
        <w:t> </w:t>
      </w:r>
      <w:r>
        <w:rPr>
          <w:spacing w:val="-66"/>
        </w:rPr>
      </w:r>
      <w:r>
        <w:rPr/>
        <w:t>或者生产活动才能达到预定可使用或者可销售状态的固定资产、投资性房地产和存货等资产。</w:t>
      </w:r>
    </w:p>
    <w:p>
      <w:pPr>
        <w:pStyle w:val="BodyText"/>
        <w:spacing w:line="316" w:lineRule="auto"/>
        <w:ind w:left="474" w:right="0"/>
        <w:jc w:val="left"/>
      </w:pPr>
      <w:r>
        <w:rPr/>
        <w:t>（</w:t>
      </w:r>
      <w:r>
        <w:rPr>
          <w:rFonts w:ascii="宋体" w:hAnsi="宋体" w:cs="宋体" w:eastAsia="宋体" w:hint="default"/>
        </w:rPr>
        <w:t>2</w:t>
      </w:r>
      <w:r>
        <w:rPr/>
        <w:t>）</w:t>
      </w:r>
      <w:r>
        <w:rPr>
          <w:rFonts w:ascii="宋体" w:hAnsi="宋体" w:cs="宋体" w:eastAsia="宋体" w:hint="default"/>
        </w:rPr>
        <w:t>.</w:t>
      </w:r>
      <w:r>
        <w:rPr/>
        <w:t>资本化金额计算方法 </w:t>
      </w:r>
      <w:r>
        <w:rPr>
          <w:spacing w:val="-2"/>
        </w:rPr>
        <w:t>资本化期间，是指从借款费用开始资本化时点到停止资本化时点的期间。借款费用暂停资本化的期间不包括在内。在购</w:t>
      </w:r>
    </w:p>
    <w:p>
      <w:pPr>
        <w:pStyle w:val="BodyText"/>
        <w:spacing w:line="316" w:lineRule="auto"/>
        <w:ind w:left="474" w:right="0" w:hanging="360"/>
        <w:jc w:val="left"/>
      </w:pPr>
      <w:r>
        <w:rPr/>
        <w:t>建或生产过程中发生非正常中断、且中断时间连续超过</w:t>
      </w:r>
      <w:r>
        <w:rPr>
          <w:rFonts w:ascii="宋体" w:hAnsi="宋体" w:cs="宋体" w:eastAsia="宋体" w:hint="default"/>
        </w:rPr>
        <w:t>3</w:t>
      </w:r>
      <w:r>
        <w:rPr/>
        <w:t>个月的，应当暂停借款费用的资本化。 </w:t>
      </w:r>
      <w:r>
        <w:rPr>
          <w:spacing w:val="-2"/>
        </w:rPr>
        <w:t>借入专门借款，按照专门借款当期实际发生的利息费用，减去将尚未动用的借款资金存入银行取得的利息收入或进行暂</w:t>
      </w:r>
    </w:p>
    <w:p>
      <w:pPr>
        <w:pStyle w:val="BodyText"/>
        <w:spacing w:line="316" w:lineRule="auto"/>
        <w:ind w:right="1131"/>
        <w:jc w:val="both"/>
      </w:pPr>
      <w:r>
        <w:rPr>
          <w:spacing w:val="-2"/>
        </w:rPr>
        <w:t>时性投资取得的投资收益后的金额确定；占用一般借款按照累计资产支出超过专门借款部分的资产支出加权平均数乘以所占</w:t>
      </w:r>
      <w:r>
        <w:rPr>
          <w:spacing w:val="-64"/>
        </w:rPr>
        <w:t> </w:t>
      </w:r>
      <w:r>
        <w:rPr>
          <w:spacing w:val="-64"/>
        </w:rPr>
      </w:r>
      <w:r>
        <w:rPr>
          <w:spacing w:val="-2"/>
        </w:rPr>
        <w:t>用一般借款的资本化率计算确定，资本化率为一般借款的加权平均利率；借款存在折价或溢价的，按照实际利率法确定每一</w:t>
      </w:r>
      <w:r>
        <w:rPr>
          <w:spacing w:val="-66"/>
        </w:rPr>
        <w:t> </w:t>
      </w:r>
      <w:r>
        <w:rPr>
          <w:spacing w:val="-66"/>
        </w:rPr>
      </w:r>
      <w:r>
        <w:rPr/>
        <w:t>会计期间应摊销的折价或溢价金额，调整每期利息金额。</w:t>
      </w:r>
    </w:p>
    <w:p>
      <w:pPr>
        <w:pStyle w:val="BodyText"/>
        <w:spacing w:line="316" w:lineRule="auto"/>
        <w:ind w:right="0" w:firstLine="360"/>
        <w:jc w:val="left"/>
      </w:pPr>
      <w:r>
        <w:rPr>
          <w:spacing w:val="-2"/>
        </w:rPr>
        <w:t>实际利率法是根据借款实际利率计算其摊余折价或溢价或利息费用的方法。其中实际利率是借款在预期存续期间的未来</w:t>
      </w:r>
      <w:r>
        <w:rPr/>
        <w:t> 现金流量，折现为该借款当前账面价值所使用的利率。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357" w:lineRule="auto" w:before="26"/>
        <w:ind w:left="474" w:right="8502" w:hanging="360"/>
        <w:jc w:val="left"/>
      </w:pPr>
      <w:r>
        <w:rPr/>
        <w:t>软件与信息技术服务业 </w:t>
      </w:r>
      <w:r>
        <w:rPr>
          <w:rFonts w:ascii="宋体" w:hAnsi="宋体" w:cs="宋体" w:eastAsia="宋体" w:hint="default"/>
        </w:rPr>
        <w:t>1).</w:t>
      </w:r>
      <w:r>
        <w:rPr/>
        <w:t>无形资产的计价方法</w:t>
      </w:r>
    </w:p>
    <w:p>
      <w:pPr>
        <w:pStyle w:val="BodyText"/>
        <w:spacing w:line="224" w:lineRule="exact" w:before="0"/>
        <w:ind w:right="0" w:firstLine="360"/>
        <w:jc w:val="left"/>
      </w:pPr>
      <w:r>
        <w:rPr/>
        <w:t>本公司无形资产按照成本进行初始计量。购入的无形资产，按实际支付的价款和相关支出作为实际成本。投资者投入的</w:t>
      </w:r>
    </w:p>
    <w:p>
      <w:pPr>
        <w:pStyle w:val="BodyText"/>
        <w:spacing w:line="316" w:lineRule="auto" w:before="76"/>
        <w:ind w:right="0"/>
        <w:jc w:val="left"/>
      </w:pPr>
      <w:r>
        <w:rPr>
          <w:spacing w:val="-2"/>
        </w:rPr>
        <w:t>无形资产，按投资合同或协议约定的价值确定实际成本，但合同或协议约定价值不公允的，按公允价值确定实际成本。自行</w:t>
      </w:r>
      <w:r>
        <w:rPr>
          <w:spacing w:val="-66"/>
        </w:rPr>
        <w:t> </w:t>
      </w:r>
      <w:r>
        <w:rPr>
          <w:spacing w:val="-66"/>
        </w:rPr>
      </w:r>
      <w:r>
        <w:rPr/>
        <w:t>开发的无形资产，其成本为达到预定用途前所发生的支出总额。</w:t>
      </w:r>
    </w:p>
    <w:p>
      <w:pPr>
        <w:pStyle w:val="BodyText"/>
        <w:spacing w:line="316" w:lineRule="auto"/>
        <w:ind w:right="1032" w:firstLine="360"/>
        <w:jc w:val="left"/>
      </w:pPr>
      <w:r>
        <w:rPr>
          <w:spacing w:val="-2"/>
        </w:rPr>
        <w:t>本公司无形资产后续计量方法分别为：使用寿命有限无形资产采用直线法摊销，并在年度终了，对无形资产的使用寿命</w:t>
      </w:r>
      <w:r>
        <w:rPr/>
        <w:t> 和摊销方法进行复核，如与原先估计数存在差异的，进行相应的调整；使用寿命不确定的无形资产不摊销，但在年度终了， 对使用寿命进行复核，当有确凿证据表明其使用寿命是有限的，则估计其使用寿命，按直线法进行摊销。</w:t>
      </w:r>
    </w:p>
    <w:p>
      <w:pPr>
        <w:pStyle w:val="BodyText"/>
        <w:spacing w:line="316" w:lineRule="auto"/>
        <w:ind w:left="474" w:right="0"/>
        <w:jc w:val="left"/>
      </w:pPr>
      <w:r>
        <w:rPr>
          <w:rFonts w:ascii="宋体" w:hAnsi="宋体" w:cs="宋体" w:eastAsia="宋体" w:hint="default"/>
        </w:rPr>
        <w:t>2).</w:t>
      </w:r>
      <w:r>
        <w:rPr/>
        <w:t>使用寿命不确定的判断依据 本公司将无法预见该资产为公司带来经济利益的期限，或使用期限不确定等无形资产确定为使用寿命不确定的无形资</w:t>
      </w:r>
    </w:p>
    <w:p>
      <w:pPr>
        <w:pStyle w:val="BodyText"/>
        <w:spacing w:line="316" w:lineRule="auto"/>
        <w:ind w:right="0"/>
        <w:jc w:val="left"/>
      </w:pPr>
      <w:r>
        <w:rPr>
          <w:spacing w:val="-2"/>
        </w:rPr>
        <w:t>产。使用寿命不确定的判断依据为：来源于合同性权利或其他法定权利，但合同规定或法律规定无明确使用年限；综合同行</w:t>
      </w:r>
      <w:r>
        <w:rPr>
          <w:spacing w:val="-66"/>
        </w:rPr>
        <w:t> </w:t>
      </w:r>
      <w:r>
        <w:rPr>
          <w:spacing w:val="-66"/>
        </w:rPr>
      </w:r>
      <w:r>
        <w:rPr/>
        <w:t>业情况或相关专家论证等，仍无法判断无形资产为公司带来经济利益的期限。</w:t>
      </w:r>
    </w:p>
    <w:p>
      <w:pPr>
        <w:pStyle w:val="BodyText"/>
        <w:spacing w:line="316" w:lineRule="auto"/>
        <w:ind w:right="0" w:firstLine="360"/>
        <w:jc w:val="left"/>
      </w:pPr>
      <w:r>
        <w:rPr>
          <w:spacing w:val="-2"/>
        </w:rPr>
        <w:t>每年年末，对使用寿命不确定无形资产使用寿命进行复核，主要采取自下而上的方式，由无形资产使用相关部门进行基</w:t>
      </w:r>
      <w:r>
        <w:rPr/>
        <w:t> 础复核，评价使用寿命不确定判断依据是否存在变化等。</w:t>
      </w:r>
    </w:p>
    <w:p>
      <w:pPr>
        <w:spacing w:after="0" w:line="316"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360"/>
        <w:jc w:val="both"/>
      </w:pPr>
      <w:r>
        <w:rPr>
          <w:spacing w:val="-2"/>
        </w:rPr>
        <w:t>内部研究开发项目研究阶段的支出，于发生时计入当期损益；开发阶段的支出，满足确认为无形资产条件的转入无形资</w:t>
      </w:r>
      <w:r>
        <w:rPr/>
        <w:t> 产核算。</w:t>
      </w:r>
    </w:p>
    <w:p>
      <w:pPr>
        <w:pStyle w:val="BodyText"/>
        <w:spacing w:line="316" w:lineRule="auto"/>
        <w:ind w:right="1132" w:firstLine="360"/>
        <w:jc w:val="both"/>
      </w:pPr>
      <w:r>
        <w:rPr>
          <w:spacing w:val="-2"/>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5"/>
        </w:rPr>
        <w:t> </w:t>
      </w:r>
      <w:r>
        <w:rPr>
          <w:spacing w:val="-65"/>
        </w:rPr>
      </w:r>
      <w:r>
        <w:rPr>
          <w:spacing w:val="-2"/>
        </w:rPr>
        <w:t>计，以生产出新的或具有实质性改进的材料、装置、产品等阶段，应确定为开发阶段，该阶段具有针对性和形成成果的可能</w:t>
      </w:r>
      <w:r>
        <w:rPr>
          <w:spacing w:val="-66"/>
        </w:rPr>
        <w:t> </w:t>
      </w:r>
      <w:r>
        <w:rPr>
          <w:spacing w:val="-66"/>
        </w:rPr>
      </w:r>
      <w:r>
        <w:rPr/>
        <w:t>性较大等特点。</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6" w:lineRule="auto"/>
        <w:ind w:right="1130"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ind w:right="1131"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r>
        <w:rPr>
          <w:spacing w:val="-66"/>
        </w:rPr>
        <w:t> </w:t>
      </w:r>
      <w:r>
        <w:rPr>
          <w:spacing w:val="-66"/>
        </w:rPr>
      </w:r>
      <w:r>
        <w:rPr/>
        <w:t>资产组或资产组组合中除商誉以外的其他各项资产的账面价值所占比重，按比例抵减其他各项资产的账面价值。</w:t>
      </w:r>
    </w:p>
    <w:p>
      <w:pPr>
        <w:pStyle w:val="BodyText"/>
        <w:spacing w:line="240" w:lineRule="auto"/>
        <w:ind w:left="47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本公司长期待摊费用是指已经支出，但受益期限在一年以上（不含一年）的各项费用。长期待摊费用按费用项目的受益</w:t>
      </w:r>
      <w:r>
        <w:rPr/>
        <w:t> 期限分期摊销。若长期待摊的费用项目不能使以后会计期间受益，则将尚未摊销的该项目的摊余价值全部转入当期损益。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在职工为本公司提供服务的会计期间，将实际发生的短期薪酬确认为负债，并计入当期损益，企业会计准则要求或允许</w:t>
      </w:r>
      <w:r>
        <w:rPr/>
        <w:t> </w:t>
      </w:r>
      <w:r>
        <w:rPr>
          <w:spacing w:val="-2"/>
        </w:rPr>
        <w:t>计入资产成本的除外。本公司发生的职工福利费，在实际发生时根据实际发生额计入当期损益或相关资产成本。职工福利费</w:t>
      </w:r>
      <w:r>
        <w:rPr>
          <w:spacing w:val="-66"/>
        </w:rPr>
        <w:t> </w:t>
      </w:r>
      <w:r>
        <w:rPr>
          <w:spacing w:val="-66"/>
        </w:rPr>
      </w:r>
      <w:r>
        <w:rPr>
          <w:spacing w:val="-2"/>
        </w:rPr>
        <w:t>为非货币性福利的，按照公允价值计量。本公司为职工缴纳的医疗保险费、工伤保险费、生育保险费等社会保险费和住房公</w:t>
      </w:r>
      <w:r>
        <w:rPr>
          <w:spacing w:val="-66"/>
        </w:rPr>
        <w:t> </w:t>
      </w:r>
      <w:r>
        <w:rPr>
          <w:spacing w:val="-66"/>
        </w:rPr>
      </w:r>
      <w:r>
        <w:rPr>
          <w:spacing w:val="-2"/>
        </w:rPr>
        <w:t>积金，以及按规定提取的工会经费和职工教育经费，在职工提供服务的会计期间，根据规定的计提基础和计提比例计算确定</w:t>
      </w:r>
      <w:r>
        <w:rPr>
          <w:spacing w:val="-66"/>
        </w:rPr>
        <w:t> </w:t>
      </w:r>
      <w:r>
        <w:rPr>
          <w:spacing w:val="-66"/>
        </w:rPr>
      </w:r>
      <w:r>
        <w:rPr/>
        <w:t>相应的职工薪酬金额，并确认相应负债，计入当期损益或相关资产成本。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firstLine="360"/>
        <w:jc w:val="left"/>
      </w:pPr>
      <w:r>
        <w:rPr>
          <w:spacing w:val="-4"/>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4"/>
        </w:rPr>
        <w:t> </w:t>
      </w:r>
      <w:r>
        <w:rPr>
          <w:spacing w:val="-64"/>
        </w:rPr>
      </w:r>
      <w:r>
        <w:rPr/>
        <w:t>产成本。</w:t>
      </w:r>
    </w:p>
    <w:p>
      <w:pPr>
        <w:spacing w:after="0" w:line="316" w:lineRule="auto"/>
        <w:jc w:val="left"/>
        <w:sectPr>
          <w:footerReference w:type="default" r:id="rId18"/>
          <w:pgSz w:w="11910" w:h="16840"/>
          <w:pgMar w:footer="1019" w:header="907"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3" w:firstLine="360"/>
        <w:jc w:val="both"/>
      </w:pPr>
      <w:r>
        <w:rPr>
          <w:spacing w:val="-2"/>
        </w:rPr>
        <w:t>本公司向职工提供辞退福利时，在下列两者孰早日确认辞退福利产生的职工薪酬负债，并计入当期损益：本公司不能单</w:t>
      </w:r>
      <w:r>
        <w:rPr/>
        <w:t> 方面撤回因解除劳动关系计划或裁减建议所提供的辞退福利时；本公司确认与涉及支付辞退福利的重组相关的成本或费用</w:t>
      </w:r>
      <w:r>
        <w:rPr>
          <w:spacing w:val="-9"/>
        </w:rPr>
        <w:t> </w:t>
      </w:r>
      <w:r>
        <w:rPr>
          <w:spacing w:val="-9"/>
        </w:rPr>
      </w:r>
      <w:r>
        <w:rPr/>
        <w:t>时。</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firstLine="360"/>
        <w:jc w:val="both"/>
      </w:pPr>
      <w:r>
        <w:rPr>
          <w:spacing w:val="-2"/>
        </w:rPr>
        <w:t>本公司向职工提供的其他长期职工福利，符合设定提存计划条件的，应当按照有关设定提存计划的规定进行处理；除此</w:t>
      </w:r>
      <w:r>
        <w:rPr/>
        <w:t> 外，根据设定受益计划的有关规定，确认和计量其他长期职工福利净负债或净资产。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当与或有事项相关的义务是公司承担的现时义务，且履行该义务很可能导致经济利益流出，同时其金额能够可靠地计量</w:t>
      </w:r>
      <w:r>
        <w:rPr/>
        <w:t> </w:t>
      </w:r>
      <w:r>
        <w:rPr>
          <w:spacing w:val="-2"/>
        </w:rPr>
        <w:t>时确认该义务为预计负债。本公司按照履行相关现时义务所需支出的最佳估计数进行初始计量，如所需支出存在一个连续范</w:t>
      </w:r>
      <w:r>
        <w:rPr>
          <w:spacing w:val="-64"/>
        </w:rPr>
        <w:t> </w:t>
      </w:r>
      <w:r>
        <w:rPr>
          <w:spacing w:val="-64"/>
        </w:rPr>
      </w:r>
      <w:r>
        <w:rPr>
          <w:spacing w:val="-2"/>
        </w:rPr>
        <w:t>围，且该范围内各种结果发生的可能性相同，最佳估计数按照该范围内的中间值确定；如涉及多个项目，按照各种可能结果</w:t>
      </w:r>
      <w:r>
        <w:rPr>
          <w:spacing w:val="-66"/>
        </w:rPr>
        <w:t> </w:t>
      </w:r>
      <w:r>
        <w:rPr>
          <w:spacing w:val="-66"/>
        </w:rPr>
      </w:r>
      <w:r>
        <w:rPr/>
        <w:t>及相关概率计算确定最佳估计数。</w:t>
      </w:r>
    </w:p>
    <w:p>
      <w:pPr>
        <w:pStyle w:val="BodyText"/>
        <w:spacing w:line="316" w:lineRule="auto"/>
        <w:ind w:right="1131"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2"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ind w:right="1132" w:firstLine="360"/>
        <w:jc w:val="both"/>
      </w:pPr>
      <w:r>
        <w:rPr>
          <w:spacing w:val="-2"/>
        </w:rPr>
        <w:t>在各个资产负债表日，根据最新取得的可行权人数变动、业绩指标完成情况等后续信息，修正预计可行权的股票期权数</w:t>
      </w:r>
      <w:r>
        <w:rPr/>
        <w:t> </w:t>
      </w:r>
      <w:r>
        <w:rPr>
          <w:spacing w:val="-2"/>
        </w:rPr>
        <w:t>量，并以此为依据确认各期应分摊的费用。对于跨越多个会计期间的期权费用，一般可以按照该期权在某会计期间内等待期</w:t>
      </w:r>
      <w:r>
        <w:rPr>
          <w:spacing w:val="-66"/>
        </w:rPr>
        <w:t> </w:t>
      </w:r>
      <w:r>
        <w:rPr>
          <w:spacing w:val="-66"/>
        </w:rPr>
      </w:r>
      <w:r>
        <w:rPr/>
        <w:t>长度占整个等待期长度的比例进行分摊。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338" w:lineRule="auto" w:before="116"/>
        <w:ind w:left="474" w:right="1843"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本公司的收入包括销售商品收入、提供劳务收入和让渡资产使用权收入。</w:t>
      </w:r>
    </w:p>
    <w:p>
      <w:pPr>
        <w:pStyle w:val="BodyText"/>
        <w:spacing w:line="319" w:lineRule="auto" w:before="2"/>
        <w:ind w:left="474" w:right="8322"/>
        <w:jc w:val="left"/>
      </w:pPr>
      <w:r>
        <w:rPr/>
        <w:t>（</w:t>
      </w:r>
      <w:r>
        <w:rPr>
          <w:rFonts w:ascii="宋体" w:hAnsi="宋体" w:cs="宋体" w:eastAsia="宋体" w:hint="default"/>
        </w:rPr>
        <w:t>1</w:t>
      </w:r>
      <w:r>
        <w:rPr/>
        <w:t>）收入确认的一般原则 </w:t>
      </w:r>
      <w:r>
        <w:rPr>
          <w:rFonts w:ascii="宋体" w:hAnsi="宋体" w:cs="宋体" w:eastAsia="宋体" w:hint="default"/>
        </w:rPr>
        <w:t>1</w:t>
      </w:r>
      <w:r>
        <w:rPr/>
        <w:t>）销售商品</w:t>
      </w:r>
    </w:p>
    <w:p>
      <w:pPr>
        <w:pStyle w:val="BodyText"/>
        <w:spacing w:line="316" w:lineRule="auto" w:before="17"/>
        <w:ind w:right="1130" w:firstLine="360"/>
        <w:jc w:val="both"/>
      </w:pPr>
      <w:r>
        <w:rPr>
          <w:spacing w:val="-2"/>
        </w:rPr>
        <w:t>本公司销售的商品在同时满足下列条件时，按从购货方已收或应收的合同或协议价款的金额确认销售商品收入：①已将</w:t>
      </w:r>
      <w:r>
        <w:rPr/>
        <w:t> </w:t>
      </w:r>
      <w:r>
        <w:rPr>
          <w:spacing w:val="-2"/>
        </w:rPr>
        <w:t>商品所有权上的主要风险和报酬转移给购货方；②既没有保留通常与所有权相联系的继续管理权，也没有对已售出的商品实</w:t>
      </w:r>
      <w:r>
        <w:rPr>
          <w:spacing w:val="-63"/>
        </w:rPr>
        <w:t> </w:t>
      </w:r>
      <w:r>
        <w:rPr>
          <w:spacing w:val="-63"/>
        </w:rPr>
      </w:r>
      <w:r>
        <w:rPr>
          <w:spacing w:val="-2"/>
        </w:rPr>
        <w:t>施有效控制；③收入的金额能够可靠地计量；④相关的经济利益很可能流入企业；⑤相关的已发生或将发生的成本能够可靠</w:t>
      </w:r>
    </w:p>
    <w:p>
      <w:pPr>
        <w:spacing w:after="0" w:line="316" w:lineRule="auto"/>
        <w:jc w:val="both"/>
        <w:sectPr>
          <w:footerReference w:type="default" r:id="rId19"/>
          <w:pgSz w:w="11910" w:h="16840"/>
          <w:pgMar w:footer="1019" w:header="907" w:top="1100" w:bottom="1200" w:left="1020" w:right="0"/>
          <w:pgNumType w:start="101"/>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地计量。</w:t>
      </w:r>
    </w:p>
    <w:p>
      <w:pPr>
        <w:pStyle w:val="BodyText"/>
        <w:spacing w:line="316" w:lineRule="auto" w:before="76"/>
        <w:ind w:right="1132" w:firstLine="360"/>
        <w:jc w:val="both"/>
      </w:pPr>
      <w:r>
        <w:rPr>
          <w:spacing w:val="-2"/>
        </w:rPr>
        <w:t>合同或协议价款的收取采用递延方式，实质上具有融资性质的，按照应收的合同或协议价款的公允价值确定销售商品收</w:t>
      </w:r>
      <w:r>
        <w:rPr/>
        <w:t> 入金额。</w:t>
      </w:r>
    </w:p>
    <w:p>
      <w:pPr>
        <w:pStyle w:val="BodyText"/>
        <w:spacing w:line="319" w:lineRule="auto"/>
        <w:ind w:left="474" w:right="1118"/>
        <w:jc w:val="left"/>
      </w:pPr>
      <w:r>
        <w:rPr>
          <w:rFonts w:ascii="宋体" w:hAnsi="宋体" w:cs="宋体" w:eastAsia="宋体" w:hint="default"/>
        </w:rPr>
        <w:t>2</w:t>
      </w:r>
      <w:r>
        <w:rPr/>
        <w:t>）提供劳务 </w:t>
      </w:r>
      <w:r>
        <w:rPr>
          <w:spacing w:val="-2"/>
        </w:rPr>
        <w:t>在同一会计期间内开始并完成的，在劳务已经提供，收到价款或取得收到价款的有关凭证时，确认为劳务收入；劳务的</w:t>
      </w:r>
    </w:p>
    <w:p>
      <w:pPr>
        <w:pStyle w:val="BodyText"/>
        <w:spacing w:line="316" w:lineRule="auto" w:before="17"/>
        <w:ind w:right="1118"/>
        <w:jc w:val="left"/>
      </w:pPr>
      <w:r>
        <w:rPr>
          <w:spacing w:val="-2"/>
        </w:rPr>
        <w:t>开始和完成分属不同会计期间的，在提供劳务交易的结果能够可靠估计的情况下，在资产负债表日按完工百分比法确认相关</w:t>
      </w:r>
      <w:r>
        <w:rPr>
          <w:spacing w:val="-64"/>
        </w:rPr>
        <w:t> </w:t>
      </w:r>
      <w:r>
        <w:rPr>
          <w:spacing w:val="-64"/>
        </w:rPr>
      </w:r>
      <w:r>
        <w:rPr/>
        <w:t>的劳务收入。</w:t>
      </w:r>
    </w:p>
    <w:p>
      <w:pPr>
        <w:pStyle w:val="BodyText"/>
        <w:spacing w:line="316" w:lineRule="auto"/>
        <w:ind w:right="0" w:firstLine="360"/>
        <w:jc w:val="left"/>
      </w:pPr>
      <w:r>
        <w:rPr>
          <w:spacing w:val="-4"/>
        </w:rPr>
        <w:t>在资产负债表日提供劳务交易结果不能够可靠估计的，分别下列情况处理：①已经发生的劳务成本预计能够得到补偿的，</w:t>
      </w:r>
      <w:r>
        <w:rPr/>
        <w:t> </w:t>
      </w:r>
      <w:r>
        <w:rPr>
          <w:spacing w:val="-2"/>
        </w:rPr>
        <w:t>按照已经发生的劳务成本金额确认提供劳务收入，并按相同金额结转劳务成本。②已经发生的劳务成本预计不能够得到补偿</w:t>
      </w:r>
      <w:r>
        <w:rPr>
          <w:spacing w:val="-63"/>
        </w:rPr>
        <w:t> </w:t>
      </w:r>
      <w:r>
        <w:rPr>
          <w:spacing w:val="-63"/>
        </w:rPr>
      </w:r>
      <w:r>
        <w:rPr/>
        <w:t>的，将已经发生的劳务成本计入当期损益，不确认提供劳务收入。</w:t>
      </w:r>
    </w:p>
    <w:p>
      <w:pPr>
        <w:pStyle w:val="BodyText"/>
        <w:spacing w:line="316" w:lineRule="auto"/>
        <w:ind w:left="474" w:right="1572"/>
        <w:jc w:val="left"/>
      </w:pPr>
      <w:r>
        <w:rPr>
          <w:rFonts w:ascii="宋体" w:hAnsi="宋体" w:cs="宋体" w:eastAsia="宋体" w:hint="default"/>
        </w:rPr>
        <w:t>3</w:t>
      </w:r>
      <w:r>
        <w:rPr/>
        <w:t>）让渡资产使用权 本公司在与让渡资产使用权相关的经济利益能够流入和收入的金额能够可靠的计量时确认让渡资产使用权收入。</w:t>
      </w:r>
    </w:p>
    <w:p>
      <w:pPr>
        <w:pStyle w:val="BodyText"/>
        <w:spacing w:line="316" w:lineRule="auto"/>
        <w:ind w:left="474" w:right="8322"/>
        <w:jc w:val="left"/>
      </w:pPr>
      <w:r>
        <w:rPr/>
        <w:t>（</w:t>
      </w:r>
      <w:r>
        <w:rPr>
          <w:rFonts w:ascii="宋体" w:hAnsi="宋体" w:cs="宋体" w:eastAsia="宋体" w:hint="default"/>
        </w:rPr>
        <w:t>2</w:t>
      </w:r>
      <w:r>
        <w:rPr/>
        <w:t>）收入确认的具体应用 </w:t>
      </w:r>
      <w:r>
        <w:rPr>
          <w:rFonts w:ascii="宋体" w:hAnsi="宋体" w:cs="宋体" w:eastAsia="宋体" w:hint="default"/>
        </w:rPr>
        <w:t>1</w:t>
      </w:r>
      <w:r>
        <w:rPr/>
        <w:t>）</w:t>
      </w:r>
      <w:r>
        <w:rPr>
          <w:rFonts w:ascii="宋体" w:hAnsi="宋体" w:cs="宋体" w:eastAsia="宋体" w:hint="default"/>
        </w:rPr>
        <w:t>IT</w:t>
      </w:r>
      <w:r>
        <w:rPr/>
        <w:t>基础设施建设</w:t>
      </w:r>
    </w:p>
    <w:p>
      <w:pPr>
        <w:pStyle w:val="BodyText"/>
        <w:spacing w:line="316" w:lineRule="auto"/>
        <w:ind w:right="1131" w:firstLine="360"/>
        <w:jc w:val="both"/>
      </w:pPr>
      <w:r>
        <w:rPr>
          <w:rFonts w:ascii="宋体" w:hAnsi="宋体" w:cs="宋体" w:eastAsia="宋体" w:hint="default"/>
          <w:spacing w:val="-2"/>
        </w:rPr>
        <w:t>IT</w:t>
      </w:r>
      <w:r>
        <w:rPr>
          <w:spacing w:val="-2"/>
        </w:rPr>
        <w:t>基础设施建设业务根据银行业</w:t>
      </w:r>
      <w:r>
        <w:rPr>
          <w:rFonts w:ascii="宋体" w:hAnsi="宋体" w:cs="宋体" w:eastAsia="宋体" w:hint="default"/>
          <w:spacing w:val="-2"/>
        </w:rPr>
        <w:t>IT</w:t>
      </w:r>
      <w:r>
        <w:rPr>
          <w:spacing w:val="-2"/>
        </w:rPr>
        <w:t>基础设施建设不同层次的需求，为客户提供规划设计咨询、软硬件选型采购与部署实</w:t>
      </w:r>
      <w:r>
        <w:rPr/>
        <w:t> </w:t>
      </w:r>
      <w:r>
        <w:rPr>
          <w:spacing w:val="-2"/>
        </w:rPr>
        <w:t>施等覆盖</w:t>
      </w:r>
      <w:r>
        <w:rPr>
          <w:rFonts w:ascii="宋体" w:hAnsi="宋体" w:cs="宋体" w:eastAsia="宋体" w:hint="default"/>
          <w:spacing w:val="-2"/>
        </w:rPr>
        <w:t>IT</w:t>
      </w:r>
      <w:r>
        <w:rPr>
          <w:spacing w:val="-2"/>
        </w:rPr>
        <w:t>基础设施建设全生命周期的解决方案和服务，同时结合自有知识产权的软件产品为客户提供增值服务。同时，公</w:t>
      </w:r>
      <w:r>
        <w:rPr>
          <w:spacing w:val="-64"/>
        </w:rPr>
        <w:t> </w:t>
      </w:r>
      <w:r>
        <w:rPr>
          <w:spacing w:val="-64"/>
        </w:rPr>
      </w:r>
      <w:r>
        <w:rPr/>
        <w:t>司还代理销售相关的</w:t>
      </w:r>
      <w:r>
        <w:rPr>
          <w:rFonts w:ascii="宋体" w:hAnsi="宋体" w:cs="宋体" w:eastAsia="宋体" w:hint="default"/>
        </w:rPr>
        <w:t>IT</w:t>
      </w:r>
      <w:r>
        <w:rPr/>
        <w:t>基础设施产品。</w:t>
      </w:r>
    </w:p>
    <w:p>
      <w:pPr>
        <w:pStyle w:val="BodyText"/>
        <w:spacing w:line="316" w:lineRule="auto"/>
        <w:ind w:left="474" w:right="4452"/>
        <w:jc w:val="left"/>
      </w:pPr>
      <w:r>
        <w:rPr/>
        <w:t>此类产品（除代理销售产品外）在产品交付并经客户验收合格后确认收入。 代理销售相关的</w:t>
      </w:r>
      <w:r>
        <w:rPr>
          <w:rFonts w:ascii="宋体" w:hAnsi="宋体" w:cs="宋体" w:eastAsia="宋体" w:hint="default"/>
        </w:rPr>
        <w:t>IT</w:t>
      </w:r>
      <w:r>
        <w:rPr/>
        <w:t>基础设施产品在产品交付客户时确认收入。 </w:t>
      </w:r>
      <w:r>
        <w:rPr>
          <w:rFonts w:ascii="宋体" w:hAnsi="宋体" w:cs="宋体" w:eastAsia="宋体" w:hint="default"/>
        </w:rPr>
        <w:t>2</w:t>
      </w:r>
      <w:r>
        <w:rPr/>
        <w:t>）</w:t>
      </w:r>
      <w:r>
        <w:rPr>
          <w:rFonts w:ascii="宋体" w:hAnsi="宋体" w:cs="宋体" w:eastAsia="宋体" w:hint="default"/>
        </w:rPr>
        <w:t>IT</w:t>
      </w:r>
      <w:r>
        <w:rPr/>
        <w:t>运维服务</w:t>
      </w:r>
    </w:p>
    <w:p>
      <w:pPr>
        <w:pStyle w:val="BodyText"/>
        <w:spacing w:line="316" w:lineRule="auto"/>
        <w:ind w:right="1132" w:firstLine="360"/>
        <w:jc w:val="both"/>
      </w:pPr>
      <w:r>
        <w:rPr>
          <w:rFonts w:ascii="宋体" w:hAnsi="宋体" w:cs="宋体" w:eastAsia="宋体" w:hint="default"/>
          <w:spacing w:val="-2"/>
        </w:rPr>
        <w:t>IT</w:t>
      </w:r>
      <w:r>
        <w:rPr>
          <w:spacing w:val="-2"/>
        </w:rPr>
        <w:t>运维服务业务主要为客户提供软硬件系统运维支持服务，包括基础软硬件维保、系统运维、专项运维、系统调优、产</w:t>
      </w:r>
      <w:r>
        <w:rPr/>
        <w:t> 品培训等。</w:t>
      </w:r>
    </w:p>
    <w:p>
      <w:pPr>
        <w:pStyle w:val="BodyText"/>
        <w:spacing w:line="316" w:lineRule="auto"/>
        <w:ind w:left="474" w:right="5712"/>
        <w:jc w:val="left"/>
      </w:pPr>
      <w:r>
        <w:rPr/>
        <w:t>此类服务主要根据相关合同约定的服务期间按期确认收入。 </w:t>
      </w:r>
      <w:r>
        <w:rPr>
          <w:rFonts w:ascii="宋体" w:hAnsi="宋体" w:cs="宋体" w:eastAsia="宋体" w:hint="default"/>
        </w:rPr>
        <w:t>3</w:t>
      </w:r>
      <w:r>
        <w:rPr/>
        <w:t>）软件解决方案</w:t>
      </w:r>
    </w:p>
    <w:p>
      <w:pPr>
        <w:pStyle w:val="BodyText"/>
        <w:spacing w:line="316" w:lineRule="auto"/>
        <w:ind w:left="474" w:right="1122"/>
        <w:jc w:val="left"/>
      </w:pPr>
      <w:r>
        <w:rPr/>
        <w:t>软件解决方案业务向客户提供以自主平台软件为基础的软件系统开发服务，包括定制软件开发、定量软件开发服务。 定制开发是指合同签订时有明确开发需求</w:t>
      </w:r>
      <w:r>
        <w:rPr>
          <w:rFonts w:ascii="宋体" w:hAnsi="宋体" w:cs="宋体" w:eastAsia="宋体" w:hint="default"/>
        </w:rPr>
        <w:t>,</w:t>
      </w:r>
      <w:r>
        <w:rPr/>
        <w:t>在软件主要功能通过测试时点并经客户确认后，开始按完工百分比法确认收</w:t>
      </w:r>
    </w:p>
    <w:p>
      <w:pPr>
        <w:pStyle w:val="BodyText"/>
        <w:spacing w:line="316" w:lineRule="auto"/>
        <w:ind w:left="474" w:right="0" w:hanging="360"/>
        <w:jc w:val="left"/>
      </w:pPr>
      <w:r>
        <w:rPr/>
        <w:t>入，完工进度根据累计实际发生的合同成本占合同预计总成本的比例确定。 </w:t>
      </w:r>
      <w:r>
        <w:rPr>
          <w:spacing w:val="-2"/>
        </w:rPr>
        <w:t>定量开发是指合同约定按照开发工作量结算，在提供相应工作量的开发劳务并经客户确认后，确认对应工作量劳务的收</w:t>
      </w:r>
    </w:p>
    <w:p>
      <w:pPr>
        <w:pStyle w:val="BodyText"/>
        <w:spacing w:line="240" w:lineRule="auto"/>
        <w:ind w:right="0"/>
        <w:jc w:val="left"/>
      </w:pPr>
      <w:r>
        <w:rPr/>
        <w:t>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0"/>
        <w:jc w:val="left"/>
      </w:pPr>
      <w:r>
        <w:rPr>
          <w:rFonts w:ascii="宋体" w:hAnsi="宋体" w:cs="宋体" w:eastAsia="宋体" w:hint="default"/>
        </w:rPr>
        <w:t>(1)</w:t>
      </w:r>
      <w:r>
        <w:rPr/>
        <w:t>、政府补助类型 </w:t>
      </w:r>
      <w:r>
        <w:rPr>
          <w:spacing w:val="-2"/>
        </w:rPr>
        <w:t>政府补助是指本公司从政府无偿取得的货币性资产或非货币性资产（但不包括政府作为所有者投入的资本），主要划分</w:t>
      </w:r>
    </w:p>
    <w:p>
      <w:pPr>
        <w:pStyle w:val="BodyText"/>
        <w:spacing w:line="316" w:lineRule="auto"/>
        <w:ind w:left="474" w:right="6072" w:hanging="360"/>
        <w:jc w:val="left"/>
      </w:pPr>
      <w:r>
        <w:rPr/>
        <w:t>为与资产相关的政府补助和与收益相关的政府补助两类型。 </w:t>
      </w:r>
      <w:r>
        <w:rPr>
          <w:rFonts w:ascii="宋体" w:hAnsi="宋体" w:cs="宋体" w:eastAsia="宋体" w:hint="default"/>
        </w:rPr>
        <w:t>(2)</w:t>
      </w:r>
      <w:r>
        <w:rPr/>
        <w:t>、政府补助会计处理 </w:t>
      </w:r>
      <w:r>
        <w:rPr>
          <w:rFonts w:ascii="宋体" w:hAnsi="宋体" w:cs="宋体" w:eastAsia="宋体" w:hint="default"/>
        </w:rPr>
        <w:t>1</w:t>
      </w:r>
      <w:r>
        <w:rPr/>
        <w:t>）与资产相关的政府补助会计处理</w:t>
      </w:r>
    </w:p>
    <w:p>
      <w:pPr>
        <w:pStyle w:val="BodyText"/>
        <w:spacing w:line="316" w:lineRule="auto"/>
        <w:ind w:right="1132" w:firstLine="360"/>
        <w:jc w:val="both"/>
      </w:pPr>
      <w:r>
        <w:rPr>
          <w:spacing w:val="-2"/>
        </w:rPr>
        <w:t>本公司取得的、用于购建或以其他方式形成长期资产的政府补助，确认为与资产相关的政府补助，与资产相关的政府补</w:t>
      </w:r>
      <w:r>
        <w:rPr/>
        <w:t> </w:t>
      </w:r>
      <w:r>
        <w:rPr>
          <w:spacing w:val="-2"/>
        </w:rPr>
        <w:t>助，确认为递延收益，自相关资产可供使用时起，按照相关资产的预计使用期限，将递延收益平均分摊转入当期损益，其中</w:t>
      </w:r>
      <w:r>
        <w:rPr>
          <w:spacing w:val="-66"/>
        </w:rPr>
        <w:t> </w:t>
      </w:r>
      <w:r>
        <w:rPr>
          <w:spacing w:val="-66"/>
        </w:rPr>
      </w:r>
      <w:r>
        <w:rPr/>
        <w:t>与本公司日常活动相关的，计入其他收益或冲减相关成本费用，与本公司日常活动无关的，计入营业外收入。</w:t>
      </w:r>
    </w:p>
    <w:p>
      <w:pPr>
        <w:pStyle w:val="BodyText"/>
        <w:spacing w:line="316" w:lineRule="auto"/>
        <w:ind w:left="474" w:right="6252"/>
        <w:jc w:val="left"/>
      </w:pPr>
      <w:r>
        <w:rPr/>
        <w:t>按照名义金额计量的政府补助，直接计入当期损益。 </w:t>
      </w:r>
      <w:r>
        <w:rPr>
          <w:rFonts w:ascii="宋体" w:hAnsi="宋体" w:cs="宋体" w:eastAsia="宋体" w:hint="default"/>
        </w:rPr>
        <w:t>2</w:t>
      </w:r>
      <w:r>
        <w:rPr/>
        <w:t>）与收益相关的政府补助会计处理</w:t>
      </w:r>
    </w:p>
    <w:p>
      <w:pPr>
        <w:pStyle w:val="BodyText"/>
        <w:spacing w:line="316" w:lineRule="auto"/>
        <w:ind w:right="1131" w:firstLine="360"/>
        <w:jc w:val="both"/>
      </w:pPr>
      <w:r>
        <w:rPr>
          <w:spacing w:val="-2"/>
        </w:rPr>
        <w:t>除与资产相关的政府补助之外的政府补助，确认为与收益相关的政府补助。分别下列情况处理：用于补偿企业以后期间</w:t>
      </w:r>
      <w:r>
        <w:rPr/>
        <w:t> </w:t>
      </w:r>
      <w:r>
        <w:rPr>
          <w:spacing w:val="-2"/>
        </w:rPr>
        <w:t>的相关费用或损失的，确认为递延收益，并在确认相关费用的期间，计入当期损益。用于补偿企业已发生的相关费用或损失</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的，直接计入当期损益。计入当期损益时，与本公司日常活动相关的政府补助，计入其他收益或冲减相关成本费用；与本公</w:t>
      </w:r>
      <w:r>
        <w:rPr>
          <w:spacing w:val="-66"/>
        </w:rPr>
        <w:t> </w:t>
      </w:r>
      <w:r>
        <w:rPr>
          <w:spacing w:val="-66"/>
        </w:rPr>
      </w:r>
      <w:r>
        <w:rPr/>
        <w:t>司日常活动无关的政府补助，计入营业外收入。</w:t>
      </w:r>
    </w:p>
    <w:p>
      <w:pPr>
        <w:pStyle w:val="BodyText"/>
        <w:spacing w:line="316" w:lineRule="auto"/>
        <w:ind w:left="474" w:right="0"/>
        <w:jc w:val="left"/>
      </w:pPr>
      <w:r>
        <w:rPr>
          <w:rFonts w:ascii="宋体" w:hAnsi="宋体" w:cs="宋体" w:eastAsia="宋体" w:hint="default"/>
        </w:rPr>
        <w:t>(3)</w:t>
      </w:r>
      <w:r>
        <w:rPr/>
        <w:t>、区分与资产相关政府补助和与收益相关政府补助的具体标准 </w:t>
      </w:r>
      <w:r>
        <w:rPr>
          <w:spacing w:val="-2"/>
        </w:rPr>
        <w:t>若政府文件未明确规定补助对象，将该政府补助划分为与资产相关或与收益相关的判断依据：本公司取得的、用于购建</w:t>
      </w:r>
    </w:p>
    <w:p>
      <w:pPr>
        <w:pStyle w:val="BodyText"/>
        <w:spacing w:line="316" w:lineRule="auto"/>
        <w:ind w:right="0"/>
        <w:jc w:val="left"/>
      </w:pPr>
      <w:r>
        <w:rPr>
          <w:spacing w:val="-2"/>
        </w:rPr>
        <w:t>或以其他方式形成长期资产的政府补助，确认为与资产相关的政府补助，除与资产相关的政府补助之外的政府补助，确认为</w:t>
      </w:r>
      <w:r>
        <w:rPr>
          <w:spacing w:val="-66"/>
        </w:rPr>
        <w:t> </w:t>
      </w:r>
      <w:r>
        <w:rPr>
          <w:spacing w:val="-66"/>
        </w:rPr>
      </w:r>
      <w:r>
        <w:rPr/>
        <w:t>与收益相关的政府补助。</w:t>
      </w:r>
    </w:p>
    <w:p>
      <w:pPr>
        <w:pStyle w:val="BodyText"/>
        <w:spacing w:line="316" w:lineRule="auto"/>
        <w:ind w:left="474" w:right="0"/>
        <w:jc w:val="left"/>
      </w:pPr>
      <w:r>
        <w:rPr>
          <w:rFonts w:ascii="宋体" w:hAnsi="宋体" w:cs="宋体" w:eastAsia="宋体" w:hint="default"/>
        </w:rPr>
        <w:t>(4)</w:t>
      </w:r>
      <w:r>
        <w:rPr/>
        <w:t>、政府补助的确认时点 </w:t>
      </w:r>
      <w:r>
        <w:rPr>
          <w:spacing w:val="-2"/>
        </w:rPr>
        <w:t>按照应收金额计量的政府补助，在期末有确凿证据表明能够符合财政扶持政策规定的相关条件且预计能够收到财政扶持</w:t>
      </w:r>
    </w:p>
    <w:p>
      <w:pPr>
        <w:pStyle w:val="BodyText"/>
        <w:spacing w:line="316" w:lineRule="auto"/>
        <w:ind w:left="474" w:right="1122" w:hanging="360"/>
        <w:jc w:val="left"/>
      </w:pPr>
      <w:r>
        <w:rPr/>
        <w:t>资金时予以确认。除按照应收金额计量的政府补助外的其他政府补助，在实际收到补助款项时予以确认。 </w:t>
      </w:r>
      <w:r>
        <w:rPr>
          <w:rFonts w:ascii="宋体" w:hAnsi="宋体" w:cs="宋体" w:eastAsia="宋体" w:hint="default"/>
        </w:rPr>
        <w:t>(5)</w:t>
      </w:r>
      <w:r>
        <w:rPr/>
        <w:t>、政策性优惠贷款贴息的会计处理 </w:t>
      </w:r>
      <w:r>
        <w:rPr>
          <w:rFonts w:ascii="宋体" w:hAnsi="宋体" w:cs="宋体" w:eastAsia="宋体" w:hint="default"/>
        </w:rPr>
        <w:t>1</w:t>
      </w:r>
      <w:r>
        <w:rPr/>
        <w:t>）财政将贴息资金拨付给贷款银行，由贷款银行以政策性优惠利率向本公司提供贷款的，本公司以实际收到的借款金</w:t>
      </w:r>
    </w:p>
    <w:p>
      <w:pPr>
        <w:pStyle w:val="BodyText"/>
        <w:spacing w:line="316" w:lineRule="auto"/>
        <w:ind w:left="474" w:right="3822" w:hanging="360"/>
        <w:jc w:val="left"/>
      </w:pPr>
      <w:r>
        <w:rPr/>
        <w:t>额作为借款的入账价值，按照借款本金和该政策性优惠利率计算相关借款费用。 </w:t>
      </w:r>
      <w:r>
        <w:rPr>
          <w:rFonts w:ascii="宋体" w:hAnsi="宋体" w:cs="宋体" w:eastAsia="宋体" w:hint="default"/>
        </w:rPr>
        <w:t>2</w:t>
      </w:r>
      <w:r>
        <w:rPr/>
        <w:t>）财政将贴息资金直接拨付给本公司的，本公司将对应的贴息冲减相关借款费用。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firstLine="360"/>
        <w:jc w:val="both"/>
      </w:pPr>
      <w:r>
        <w:rPr>
          <w:rFonts w:ascii="宋体" w:hAnsi="宋体" w:cs="宋体" w:eastAsia="宋体" w:hint="default"/>
          <w:spacing w:val="-2"/>
        </w:rPr>
        <w:t>(1).</w:t>
      </w:r>
      <w:r>
        <w:rPr>
          <w:spacing w:val="-2"/>
        </w:rPr>
        <w:t>根据资产、负债的账面价值与其计税基础之间的差额（未作为资产和负债确认的项目按照税法规定可以确定其计税</w:t>
      </w:r>
      <w:r>
        <w:rPr/>
        <w:t> </w:t>
      </w:r>
      <w:r>
        <w:rPr>
          <w:spacing w:val="-2"/>
        </w:rPr>
        <w:t>基础的，确定该计税基础为其差额），按照预期收回该资产或清偿该负债期间的适用税率计算确认递延所得税资产或递延所</w:t>
      </w:r>
      <w:r>
        <w:rPr>
          <w:spacing w:val="-65"/>
        </w:rPr>
        <w:t> </w:t>
      </w:r>
      <w:r>
        <w:rPr>
          <w:spacing w:val="-65"/>
        </w:rPr>
      </w:r>
      <w:r>
        <w:rPr/>
        <w:t>得税负债。</w:t>
      </w:r>
    </w:p>
    <w:p>
      <w:pPr>
        <w:pStyle w:val="BodyText"/>
        <w:spacing w:line="316" w:lineRule="auto"/>
        <w:ind w:right="1032" w:firstLine="360"/>
        <w:jc w:val="left"/>
      </w:pPr>
      <w:r>
        <w:rPr>
          <w:rFonts w:ascii="宋体" w:hAnsi="宋体" w:cs="宋体" w:eastAsia="宋体" w:hint="default"/>
          <w:spacing w:val="-2"/>
        </w:rPr>
        <w:t>(2).</w:t>
      </w:r>
      <w:r>
        <w:rPr>
          <w:spacing w:val="-2"/>
        </w:rPr>
        <w:t>递延所得税资产的确认以很可能取得用来抵扣可抵扣暂时性差异的应纳税所得额为限。资产负债表日，有确凿证据</w:t>
      </w:r>
      <w:r>
        <w:rPr/>
        <w:t> 表明未来期间很可能获得足够的应纳税所得额用来抵扣可抵扣暂时性差异的，确认以前会计期间未确认的递延所得税资产。 如未来期间很可能无法获得足够的应纳税所得额用以抵扣递延所得税资产的，则减记递延所得税资产的账面价值。</w:t>
      </w:r>
    </w:p>
    <w:p>
      <w:pPr>
        <w:pStyle w:val="BodyText"/>
        <w:spacing w:line="316" w:lineRule="auto"/>
        <w:ind w:right="1131" w:firstLine="360"/>
        <w:jc w:val="both"/>
      </w:pPr>
      <w:r>
        <w:rPr>
          <w:rFonts w:ascii="宋体" w:hAnsi="宋体" w:cs="宋体" w:eastAsia="宋体" w:hint="default"/>
          <w:spacing w:val="-2"/>
        </w:rPr>
        <w:t>(3).</w:t>
      </w:r>
      <w:r>
        <w:rPr>
          <w:spacing w:val="-2"/>
        </w:rPr>
        <w:t>对与子公司及联营企业投资相关的应纳税暂时性差异，确认递延所得税负债，除非本公司能够控制暂时性差异转回</w:t>
      </w:r>
      <w:r>
        <w:rPr/>
        <w:t> </w:t>
      </w:r>
      <w:r>
        <w:rPr>
          <w:spacing w:val="-2"/>
        </w:rPr>
        <w:t>的时间且该暂时性差异在可预见的未来很可能不会转回。对与子公司及联营企业投资相关的可抵扣暂时性差异，当该暂时性</w:t>
      </w:r>
      <w:r>
        <w:rPr>
          <w:spacing w:val="-64"/>
        </w:rPr>
        <w:t> </w:t>
      </w:r>
      <w:r>
        <w:rPr>
          <w:spacing w:val="-64"/>
        </w:rPr>
      </w:r>
      <w:r>
        <w:rPr/>
        <w:t>差异在可预见的未来很可能转回且未来很可能获得用来抵扣可抵扣暂时性差异的应纳税所得额时，确认递延所得税资产。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4" w:right="0"/>
        <w:jc w:val="left"/>
      </w:pPr>
      <w:r>
        <w:rPr/>
        <w:t>经营租赁的租金支出在租赁期内按照直线法计入相关资产成本或当期损益。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以租赁资产的公允价值与最低租赁付款额的现值两者中较低者作为租入资产的入账价值，租入资产的入账价值与最低租</w:t>
      </w:r>
      <w:r>
        <w:rPr/>
        <w:t> </w:t>
      </w:r>
      <w:r>
        <w:rPr>
          <w:spacing w:val="-2"/>
        </w:rPr>
        <w:t>赁付款额之间的差额作为未确认融资费用，在租赁期内按实际利率法摊销。最低租赁付款额扣除未确认融资费用后的余额作</w:t>
      </w:r>
      <w:r>
        <w:rPr>
          <w:spacing w:val="-64"/>
        </w:rPr>
        <w:t> </w:t>
      </w:r>
      <w:r>
        <w:rPr>
          <w:spacing w:val="-64"/>
        </w:rPr>
      </w:r>
      <w:r>
        <w:rPr/>
        <w:t>为长期应付款列示。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9"/>
        <w:gridCol w:w="2844"/>
        <w:gridCol w:w="1994"/>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日发布了《财政部关于修订印发</w:t>
            </w:r>
          </w:p>
          <w:p>
            <w:pPr>
              <w:pStyle w:val="TableParagraph"/>
              <w:spacing w:line="309" w:lineRule="auto" w:before="63"/>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年度一般企业财务报表格式的通知》（财会〔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号），执行企业会计准则的企业应按照企业会计准则和该通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知要求编制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届董事会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年第二次临时会</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pacing w:val="-9"/>
                <w:sz w:val="18"/>
                <w:szCs w:val="18"/>
              </w:rPr>
              <w:t>议、第三届监事会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 临时会议，审议通过。</w:t>
            </w:r>
          </w:p>
        </w:tc>
        <w:tc>
          <w:tcPr>
            <w:tcW w:w="1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240" w:lineRule="auto" w:before="44"/>
        <w:ind w:left="474" w:right="0"/>
        <w:jc w:val="left"/>
      </w:pPr>
      <w:r>
        <w:rPr/>
        <w:t>本公司执行财会〔</w:t>
      </w:r>
      <w:r>
        <w:rPr>
          <w:rFonts w:ascii="宋体" w:hAnsi="宋体" w:cs="宋体" w:eastAsia="宋体" w:hint="default"/>
        </w:rPr>
        <w:t>2018</w:t>
      </w:r>
      <w:r>
        <w:rPr/>
        <w:t>〕</w:t>
      </w:r>
      <w:r>
        <w:rPr>
          <w:rFonts w:ascii="宋体" w:hAnsi="宋体" w:cs="宋体" w:eastAsia="宋体" w:hint="default"/>
        </w:rPr>
        <w:t>15</w:t>
      </w:r>
      <w:r>
        <w:rPr/>
        <w:t>号的主要影响如下：</w:t>
      </w:r>
    </w:p>
    <w:p>
      <w:pPr>
        <w:spacing w:line="240" w:lineRule="auto" w:before="2"/>
        <w:rPr>
          <w:rFonts w:ascii="宋体" w:hAnsi="宋体" w:cs="宋体" w:eastAsia="宋体" w:hint="default"/>
          <w:sz w:val="5"/>
          <w:szCs w:val="5"/>
        </w:rPr>
      </w:pPr>
    </w:p>
    <w:p>
      <w:pPr>
        <w:spacing w:line="3735" w:lineRule="exact"/>
        <w:ind w:left="11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6161256" cy="237210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6161256" cy="237210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spacing w:line="487" w:lineRule="auto" w:before="0"/>
        <w:ind w:left="114" w:right="896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981"/>
        <w:gridCol w:w="2416"/>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207"/>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 税率扣除当期允计抵扣的进项税后的余额计算</w:t>
            </w:r>
            <w:r>
              <w:rPr>
                <w:rFonts w:ascii="Times New Roman" w:hAnsi="Times New Roman" w:cs="Times New Roman" w:eastAsia="Times New Roman" w:hint="default"/>
                <w:sz w:val="18"/>
                <w:szCs w:val="18"/>
              </w:rPr>
              <w:t>)</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4" w:right="1122"/>
        <w:jc w:val="left"/>
      </w:pPr>
      <w:r>
        <w:rPr>
          <w:rFonts w:ascii="宋体" w:hAnsi="宋体" w:cs="宋体" w:eastAsia="宋体" w:hint="default"/>
        </w:rPr>
        <w:t>(1).</w:t>
      </w:r>
      <w:r>
        <w:rPr/>
        <w:t>企业所得税税收优惠 公司经北京市科学技术委员会、北京市财政局、北京市国家税务局、北京市地方税务局认定和批准，于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w:t>
      </w:r>
    </w:p>
    <w:p>
      <w:pPr>
        <w:pStyle w:val="BodyText"/>
        <w:spacing w:line="316" w:lineRule="auto"/>
        <w:ind w:right="0"/>
        <w:jc w:val="left"/>
      </w:pPr>
      <w:r>
        <w:rPr>
          <w:spacing w:val="-2"/>
        </w:rPr>
        <w:t>取得</w:t>
      </w:r>
      <w:r>
        <w:rPr>
          <w:rFonts w:ascii="宋体" w:hAnsi="宋体" w:cs="宋体" w:eastAsia="宋体" w:hint="default"/>
          <w:spacing w:val="-2"/>
        </w:rPr>
        <w:t>GR201711007355</w:t>
      </w:r>
      <w:r>
        <w:rPr>
          <w:spacing w:val="-2"/>
        </w:rPr>
        <w:t>号高新技术企业证书，有效期三年。公司自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％的企业所得税率</w:t>
      </w:r>
      <w:r>
        <w:rPr>
          <w:spacing w:val="-34"/>
        </w:rPr>
        <w:t> </w:t>
      </w:r>
      <w:r>
        <w:rPr/>
        <w:t>征收企业所得税。</w:t>
      </w:r>
    </w:p>
    <w:p>
      <w:pPr>
        <w:pStyle w:val="BodyText"/>
        <w:spacing w:line="316" w:lineRule="auto"/>
        <w:ind w:left="474" w:right="0"/>
        <w:jc w:val="left"/>
      </w:pPr>
      <w:r>
        <w:rPr>
          <w:rFonts w:ascii="宋体" w:hAnsi="宋体" w:cs="宋体" w:eastAsia="宋体" w:hint="default"/>
        </w:rPr>
        <w:t>(2).</w:t>
      </w:r>
      <w:r>
        <w:rPr/>
        <w:t>增值税税收优惠 </w:t>
      </w:r>
      <w:r>
        <w:rPr>
          <w:spacing w:val="-4"/>
        </w:rPr>
        <w:t>依据国务院下发的《国务院关于印发进一步鼓励软件产业和集成电路产业发展若干政策的通知》（国发</w:t>
      </w:r>
      <w:r>
        <w:rPr>
          <w:rFonts w:ascii="宋体" w:hAnsi="宋体" w:cs="宋体" w:eastAsia="宋体" w:hint="default"/>
          <w:spacing w:val="-4"/>
        </w:rPr>
        <w:t>[2011]4</w:t>
      </w:r>
      <w:r>
        <w:rPr>
          <w:spacing w:val="-4"/>
        </w:rPr>
        <w:t>号）的规</w:t>
      </w:r>
    </w:p>
    <w:p>
      <w:pPr>
        <w:pStyle w:val="BodyText"/>
        <w:spacing w:line="316" w:lineRule="auto"/>
        <w:ind w:right="0"/>
        <w:jc w:val="left"/>
      </w:pPr>
      <w:r>
        <w:rPr>
          <w:spacing w:val="-2"/>
        </w:rPr>
        <w:t>定，以及财政部、国家税务总局联合下发的《财政部、国家税务总局关于软件产品增值税政策的通知》（财税</w:t>
      </w:r>
      <w:r>
        <w:rPr>
          <w:rFonts w:ascii="宋体" w:hAnsi="宋体" w:cs="宋体" w:eastAsia="宋体" w:hint="default"/>
          <w:spacing w:val="-2"/>
        </w:rPr>
        <w:t>[2011]100</w:t>
      </w:r>
      <w:r>
        <w:rPr>
          <w:spacing w:val="-2"/>
        </w:rPr>
        <w:t>号）</w:t>
      </w:r>
      <w:r>
        <w:rPr>
          <w:spacing w:val="-62"/>
        </w:rPr>
        <w:t> </w:t>
      </w:r>
      <w:r>
        <w:rPr/>
        <w:t>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日起，公司销售其自行开发生产的软件产品，按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rFonts w:ascii="宋体" w:hAnsi="宋体" w:cs="宋体" w:eastAsia="宋体" w:hint="default"/>
          <w:spacing w:val="-83"/>
        </w:rPr>
        <w:t> </w:t>
      </w:r>
      <w:r>
        <w:rPr/>
        <w:t>的部分实行即征即退政策。</w:t>
      </w:r>
    </w:p>
    <w:p>
      <w:pPr>
        <w:pStyle w:val="BodyText"/>
        <w:spacing w:line="316" w:lineRule="auto"/>
        <w:ind w:right="1116" w:firstLine="360"/>
        <w:jc w:val="left"/>
      </w:pPr>
      <w:r>
        <w:rPr/>
        <w:t>依据《财政部</w:t>
      </w:r>
      <w:r>
        <w:rPr>
          <w:spacing w:val="14"/>
        </w:rPr>
        <w:t> </w:t>
      </w:r>
      <w:r>
        <w:rPr>
          <w:spacing w:val="-2"/>
        </w:rPr>
        <w:t>国家税务总局关于全面推开营业税改征增值税试点的通知》（财税〔</w:t>
      </w:r>
      <w:r>
        <w:rPr>
          <w:rFonts w:ascii="宋体" w:hAnsi="宋体" w:cs="宋体" w:eastAsia="宋体" w:hint="default"/>
          <w:spacing w:val="-2"/>
        </w:rPr>
        <w:t>2016</w:t>
      </w:r>
      <w:r>
        <w:rPr>
          <w:spacing w:val="-2"/>
        </w:rPr>
        <w:t>〕</w:t>
      </w:r>
      <w:r>
        <w:rPr>
          <w:rFonts w:ascii="宋体" w:hAnsi="宋体" w:cs="宋体" w:eastAsia="宋体" w:hint="default"/>
          <w:spacing w:val="-2"/>
        </w:rPr>
        <w:t>36</w:t>
      </w:r>
      <w:r>
        <w:rPr>
          <w:spacing w:val="-2"/>
        </w:rPr>
        <w:t>号）的规定</w:t>
      </w:r>
      <w:r>
        <w:rPr>
          <w:rFonts w:ascii="宋体" w:hAnsi="宋体" w:cs="宋体" w:eastAsia="宋体" w:hint="default"/>
          <w:spacing w:val="-2"/>
        </w:rPr>
        <w:t>,</w:t>
      </w:r>
      <w:r>
        <w:rPr>
          <w:spacing w:val="-2"/>
        </w:rPr>
        <w:t>试点纳税人提</w:t>
      </w:r>
      <w:r>
        <w:rPr/>
        <w:t> 供技术转让、技术开发和与之相关的技术咨询、技术服务，免征增值税。</w:t>
      </w:r>
    </w:p>
    <w:p>
      <w:pPr>
        <w:spacing w:line="240" w:lineRule="auto" w:before="0"/>
        <w:rPr>
          <w:rFonts w:ascii="宋体" w:hAnsi="宋体" w:cs="宋体" w:eastAsia="宋体" w:hint="default"/>
          <w:sz w:val="18"/>
          <w:szCs w:val="18"/>
        </w:rPr>
      </w:pPr>
    </w:p>
    <w:p>
      <w:pPr>
        <w:pStyle w:val="BodyText"/>
        <w:spacing w:line="338" w:lineRule="auto" w:before="136"/>
        <w:ind w:left="564" w:right="1843" w:hanging="45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本报告期公司累计享受软件增值税退税</w:t>
      </w:r>
      <w:r>
        <w:rPr>
          <w:rFonts w:ascii="宋体" w:hAnsi="宋体" w:cs="宋体" w:eastAsia="宋体" w:hint="default"/>
        </w:rPr>
        <w:t>1,078,024.37</w:t>
      </w:r>
      <w:r>
        <w:rPr/>
        <w:t>元，计入其他收益中，影响当期损益。</w:t>
      </w:r>
    </w:p>
    <w:p>
      <w:pPr>
        <w:spacing w:line="240" w:lineRule="auto" w:before="4"/>
        <w:rPr>
          <w:rFonts w:ascii="宋体" w:hAnsi="宋体" w:cs="宋体" w:eastAsia="宋体" w:hint="default"/>
          <w:sz w:val="21"/>
          <w:szCs w:val="21"/>
        </w:rPr>
      </w:pPr>
    </w:p>
    <w:p>
      <w:pPr>
        <w:spacing w:line="487" w:lineRule="auto" w:before="0"/>
        <w:ind w:left="114" w:right="7692"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3,849.38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5,237.46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254,674,389.61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336,952,363.94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3,579,566.44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8,218,387.89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258,257,805.43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345,175,989.29</w:t>
            </w:r>
          </w:p>
        </w:tc>
      </w:tr>
    </w:tbl>
    <w:p>
      <w:pPr>
        <w:spacing w:line="355" w:lineRule="auto" w:before="51"/>
        <w:ind w:left="114" w:right="1393" w:firstLine="0"/>
        <w:jc w:val="left"/>
        <w:rPr>
          <w:rFonts w:ascii="宋体" w:hAnsi="宋体" w:cs="宋体" w:eastAsia="宋体" w:hint="default"/>
          <w:sz w:val="16"/>
          <w:szCs w:val="16"/>
        </w:rPr>
      </w:pPr>
      <w:r>
        <w:rPr>
          <w:rFonts w:ascii="宋体" w:hAnsi="宋体" w:cs="宋体" w:eastAsia="宋体" w:hint="default"/>
          <w:sz w:val="18"/>
          <w:szCs w:val="18"/>
        </w:rPr>
        <w:t>其他说明 </w:t>
      </w:r>
      <w:r>
        <w:rPr>
          <w:rFonts w:ascii="宋体" w:hAnsi="宋体" w:cs="宋体" w:eastAsia="宋体" w:hint="default"/>
          <w:w w:val="95"/>
          <w:sz w:val="16"/>
          <w:szCs w:val="16"/>
        </w:rPr>
        <w:t>本期末其他货币资金系保函保证金，其中于</w:t>
      </w:r>
      <w:r>
        <w:rPr>
          <w:rFonts w:ascii="宋体" w:hAnsi="宋体" w:cs="宋体" w:eastAsia="宋体" w:hint="default"/>
          <w:w w:val="95"/>
          <w:sz w:val="16"/>
          <w:szCs w:val="16"/>
        </w:rPr>
        <w:t>201</w:t>
      </w:r>
      <w:r>
        <w:rPr>
          <w:rFonts w:ascii="Times New Roman" w:hAnsi="Times New Roman" w:cs="Times New Roman" w:eastAsia="Times New Roman" w:hint="default"/>
          <w:w w:val="95"/>
          <w:sz w:val="16"/>
          <w:szCs w:val="16"/>
        </w:rPr>
        <w:t>9</w:t>
      </w:r>
      <w:r>
        <w:rPr>
          <w:rFonts w:ascii="宋体" w:hAnsi="宋体" w:cs="宋体" w:eastAsia="宋体" w:hint="default"/>
          <w:w w:val="95"/>
          <w:sz w:val="16"/>
          <w:szCs w:val="16"/>
        </w:rPr>
        <w:t>年</w:t>
      </w:r>
      <w:r>
        <w:rPr>
          <w:rFonts w:ascii="宋体" w:hAnsi="宋体" w:cs="宋体" w:eastAsia="宋体" w:hint="default"/>
          <w:w w:val="95"/>
          <w:sz w:val="16"/>
          <w:szCs w:val="16"/>
        </w:rPr>
        <w:t>3</w:t>
      </w:r>
      <w:r>
        <w:rPr>
          <w:rFonts w:ascii="宋体" w:hAnsi="宋体" w:cs="宋体" w:eastAsia="宋体" w:hint="default"/>
          <w:w w:val="95"/>
          <w:sz w:val="16"/>
          <w:szCs w:val="16"/>
        </w:rPr>
        <w:t>月</w:t>
      </w:r>
      <w:r>
        <w:rPr>
          <w:rFonts w:ascii="宋体" w:hAnsi="宋体" w:cs="宋体" w:eastAsia="宋体" w:hint="default"/>
          <w:w w:val="95"/>
          <w:sz w:val="16"/>
          <w:szCs w:val="16"/>
        </w:rPr>
        <w:t>31</w:t>
      </w:r>
      <w:r>
        <w:rPr>
          <w:rFonts w:ascii="宋体" w:hAnsi="宋体" w:cs="宋体" w:eastAsia="宋体" w:hint="default"/>
          <w:w w:val="95"/>
          <w:sz w:val="16"/>
          <w:szCs w:val="16"/>
        </w:rPr>
        <w:t>后到期的金额</w:t>
      </w:r>
      <w:r>
        <w:rPr>
          <w:rFonts w:ascii="Times New Roman" w:hAnsi="Times New Roman" w:cs="Times New Roman" w:eastAsia="Times New Roman" w:hint="default"/>
          <w:w w:val="95"/>
          <w:sz w:val="16"/>
          <w:szCs w:val="16"/>
        </w:rPr>
        <w:t>2,334,401.49</w:t>
      </w:r>
      <w:r>
        <w:rPr>
          <w:rFonts w:ascii="宋体" w:hAnsi="宋体" w:cs="宋体" w:eastAsia="宋体" w:hint="default"/>
          <w:w w:val="95"/>
          <w:sz w:val="16"/>
          <w:szCs w:val="16"/>
        </w:rPr>
        <w:t>元。货币资金中不存在其他因抵押或冻结等对使用有限</w:t>
      </w:r>
      <w:r>
        <w:rPr>
          <w:rFonts w:ascii="宋体" w:hAnsi="宋体" w:cs="宋体" w:eastAsia="宋体" w:hint="default"/>
          <w:spacing w:val="9"/>
          <w:w w:val="95"/>
          <w:sz w:val="16"/>
          <w:szCs w:val="16"/>
        </w:rPr>
        <w:t> </w:t>
      </w:r>
      <w:r>
        <w:rPr>
          <w:rFonts w:ascii="宋体" w:hAnsi="宋体" w:cs="宋体" w:eastAsia="宋体" w:hint="default"/>
          <w:spacing w:val="9"/>
          <w:w w:val="95"/>
          <w:sz w:val="16"/>
          <w:szCs w:val="16"/>
        </w:rPr>
      </w:r>
      <w:r>
        <w:rPr>
          <w:rFonts w:ascii="宋体" w:hAnsi="宋体" w:cs="宋体" w:eastAsia="宋体" w:hint="default"/>
          <w:sz w:val="16"/>
          <w:szCs w:val="16"/>
        </w:rPr>
        <w:t>制、存放在境外、有潜在回收风险的款项</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467,825,243.85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right="0"/>
        <w:jc w:val="left"/>
      </w:pPr>
      <w:r>
        <w:rPr>
          <w:rFonts w:ascii="Times New Roman" w:hAnsi="Times New Roman" w:cs="Times New Roman" w:eastAsia="Times New Roman" w:hint="default"/>
        </w:rPr>
        <w:t>4)</w:t>
      </w:r>
      <w:r>
        <w:rPr/>
        <w:t>期末公司因出票人未履约而将其转应收账款的票据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868"/>
        <w:gridCol w:w="762"/>
        <w:gridCol w:w="762"/>
        <w:gridCol w:w="763"/>
        <w:gridCol w:w="955"/>
        <w:gridCol w:w="802"/>
        <w:gridCol w:w="762"/>
        <w:gridCol w:w="814"/>
        <w:gridCol w:w="698"/>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55"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16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475,547,</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090.22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99.52</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9,251,3</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67.67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466,295,7</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22.55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532,949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571.43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522,726,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049.65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2,309,06</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66.64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477,856,</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156.86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11,560,</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434.31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466,295,7</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22.55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532,949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6"/>
              <w:ind w:left="206" w:right="0"/>
              <w:jc w:val="left"/>
              <w:rPr>
                <w:rFonts w:ascii="Times New Roman" w:hAnsi="Times New Roman" w:cs="Times New Roman" w:eastAsia="Times New Roman" w:hint="default"/>
                <w:sz w:val="18"/>
                <w:szCs w:val="18"/>
              </w:rPr>
            </w:pPr>
            <w:r>
              <w:rPr>
                <w:rFonts w:ascii="Times New Roman"/>
                <w:sz w:val="18"/>
              </w:rPr>
              <w:t>571.43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522,726,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049.65</w:t>
            </w:r>
          </w:p>
        </w:tc>
      </w:tr>
    </w:tbl>
    <w:p>
      <w:pPr>
        <w:pStyle w:val="BodyText"/>
        <w:spacing w:line="240" w:lineRule="auto" w:before="51"/>
        <w:ind w:right="0"/>
        <w:jc w:val="left"/>
      </w:pPr>
      <w:r>
        <w:rPr/>
        <w:t>期末单项金额重大并单项计提坏账准备的应收账款：</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240" w:lineRule="auto" w:before="44"/>
        <w:ind w:right="-20"/>
        <w:jc w:val="left"/>
      </w:pPr>
      <w:r>
        <w:rPr/>
        <w:t>组合中，按账龄分析法计提坏账准备的应收账款：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075" w:space="475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404,245,154.72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4,042,451.55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55,538,282.89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2,776,914.14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12,712,183.10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1,271,218.31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1,984,755.42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595,426.63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1,002,714.10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501,357.05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63,999.99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475,547,090.22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9,251,367.67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pStyle w:val="BodyText"/>
        <w:spacing w:line="319" w:lineRule="auto" w:before="25"/>
        <w:ind w:right="1118" w:firstLine="360"/>
        <w:jc w:val="left"/>
      </w:pPr>
      <w:r>
        <w:rPr/>
        <w:t>本报告期末共有</w:t>
      </w:r>
      <w:r>
        <w:rPr>
          <w:rFonts w:ascii="宋体" w:hAnsi="宋体" w:cs="宋体" w:eastAsia="宋体" w:hint="default"/>
        </w:rPr>
        <w:t>2,309,066.64</w:t>
      </w:r>
      <w:r>
        <w:rPr/>
        <w:t>元涉诉应收账款，采用单项金额虽不重大但单项计提坏账准备的方法计提，计提比例为 </w:t>
      </w:r>
      <w:r>
        <w:rPr>
          <w:rFonts w:ascii="宋体" w:hAnsi="宋体" w:cs="宋体" w:eastAsia="宋体" w:hint="default"/>
        </w:rPr>
        <w:t>100%</w:t>
      </w:r>
      <w:r>
        <w:rPr/>
        <w:t>。</w:t>
      </w:r>
    </w:p>
    <w:p>
      <w:pPr>
        <w:pStyle w:val="BodyText"/>
        <w:spacing w:line="240" w:lineRule="auto" w:before="58"/>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4460"/>
        <w:jc w:val="left"/>
      </w:pPr>
      <w:r>
        <w:rPr/>
        <w:t>本期计提坏账准备金额</w:t>
      </w:r>
      <w:r>
        <w:rPr>
          <w:spacing w:val="-47"/>
        </w:rPr>
        <w:t> </w:t>
      </w:r>
      <w:r>
        <w:rPr>
          <w:rFonts w:ascii="Times New Roman" w:hAnsi="Times New Roman" w:cs="Times New Roman" w:eastAsia="Times New Roman" w:hint="default"/>
        </w:rPr>
        <w:t>2,549,584.28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3"/>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1,212,721.40</w:t>
            </w:r>
          </w:p>
        </w:tc>
      </w:tr>
    </w:tbl>
    <w:p>
      <w:pPr>
        <w:pStyle w:val="BodyText"/>
        <w:spacing w:line="357" w:lineRule="auto" w:before="51"/>
        <w:ind w:right="8232"/>
        <w:jc w:val="left"/>
      </w:pPr>
      <w:r>
        <w:rPr/>
        <w:t>其中重要的应收账款核销情况： 应收账款核销说明：</w:t>
      </w:r>
    </w:p>
    <w:p>
      <w:pPr>
        <w:pStyle w:val="BodyText"/>
        <w:spacing w:line="240" w:lineRule="auto" w:before="28"/>
        <w:ind w:right="0"/>
        <w:jc w:val="left"/>
      </w:pPr>
      <w:r>
        <w:rPr/>
        <w:t>公司核销的应收账款为三年以上账龄，核实后确实无法收回，经业务经理及总经理审核后进行核销。</w:t>
      </w:r>
    </w:p>
    <w:p>
      <w:pPr>
        <w:pStyle w:val="BodyText"/>
        <w:spacing w:line="338" w:lineRule="auto" w:before="117"/>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57" w:lineRule="auto" w:before="43"/>
        <w:ind w:right="8952"/>
        <w:jc w:val="left"/>
      </w:pPr>
      <w:r>
        <w:rPr/>
        <w:t>是 软件与信息技术服务业</w:t>
      </w:r>
    </w:p>
    <w:p>
      <w:pPr>
        <w:spacing w:line="240" w:lineRule="auto" w:before="10"/>
        <w:rPr>
          <w:rFonts w:ascii="宋体" w:hAnsi="宋体" w:cs="宋体" w:eastAsia="宋体" w:hint="default"/>
          <w:sz w:val="11"/>
          <w:szCs w:val="11"/>
        </w:rPr>
      </w:pPr>
    </w:p>
    <w:p>
      <w:pPr>
        <w:spacing w:line="972" w:lineRule="exact"/>
        <w:ind w:left="114"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5177154" cy="617219"/>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5177154" cy="617219"/>
                    </a:xfrm>
                    <a:prstGeom prst="rect">
                      <a:avLst/>
                    </a:prstGeom>
                  </pic:spPr>
                </pic:pic>
              </a:graphicData>
            </a:graphic>
          </wp:inline>
        </w:drawing>
      </w:r>
      <w:r>
        <w:rPr>
          <w:rFonts w:ascii="宋体" w:hAnsi="宋体" w:cs="宋体" w:eastAsia="宋体" w:hint="default"/>
          <w:position w:val="-18"/>
          <w:sz w:val="20"/>
          <w:szCs w:val="20"/>
        </w:rPr>
      </w:r>
    </w:p>
    <w:p>
      <w:pPr>
        <w:spacing w:after="0" w:line="972" w:lineRule="exact"/>
        <w:rPr>
          <w:rFonts w:ascii="宋体" w:hAnsi="宋体" w:cs="宋体" w:eastAsia="宋体" w:hint="default"/>
          <w:sz w:val="20"/>
          <w:szCs w:val="20"/>
        </w:rPr>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2"/>
        <w:ind w:right="0"/>
        <w:jc w:val="left"/>
      </w:pPr>
      <w:r>
        <w:rPr>
          <w:rFonts w:ascii="Times New Roman" w:hAnsi="Times New Roman" w:cs="Times New Roman" w:eastAsia="Times New Roman" w:hint="default"/>
        </w:rPr>
        <w:t>6)</w:t>
      </w:r>
      <w:r>
        <w:rPr/>
        <w:t>转移应收账款且继续涉入形成的资产、负债金额</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24,011,809.22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32,371,742.73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11,045,659.07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346,727.93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346,727.93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1,156,704.82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83,119.47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58,903.07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35,487,315.69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33,934,078.55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11"/>
          <w:szCs w:val="11"/>
        </w:rPr>
      </w:pPr>
    </w:p>
    <w:p>
      <w:pPr>
        <w:spacing w:line="830" w:lineRule="exact"/>
        <w:ind w:left="11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077626" cy="527494"/>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2" cstate="print"/>
                    <a:stretch>
                      <a:fillRect/>
                    </a:stretch>
                  </pic:blipFill>
                  <pic:spPr>
                    <a:xfrm>
                      <a:off x="0" y="0"/>
                      <a:ext cx="6077626" cy="527494"/>
                    </a:xfrm>
                    <a:prstGeom prst="rect">
                      <a:avLst/>
                    </a:prstGeom>
                  </pic:spPr>
                </pic:pic>
              </a:graphicData>
            </a:graphic>
          </wp:inline>
        </w:drawing>
      </w:r>
      <w:r>
        <w:rPr>
          <w:rFonts w:ascii="宋体" w:hAnsi="宋体" w:cs="宋体" w:eastAsia="宋体" w:hint="default"/>
          <w:position w:val="-16"/>
          <w:sz w:val="20"/>
          <w:szCs w:val="20"/>
        </w:rPr>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682" w:lineRule="exact"/>
        <w:ind w:left="114"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6131683" cy="433482"/>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6131683" cy="433482"/>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4"/>
        <w:rPr>
          <w:rFonts w:ascii="宋体" w:hAnsi="宋体" w:cs="宋体" w:eastAsia="宋体" w:hint="default"/>
          <w:b/>
          <w:bCs/>
          <w:sz w:val="10"/>
          <w:szCs w:val="10"/>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609,095.89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12,254,936.05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12,983,318.84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12,864,031.94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609,095.89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609,095.89</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762"/>
        <w:gridCol w:w="762"/>
        <w:gridCol w:w="812"/>
        <w:gridCol w:w="864"/>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7" w:right="15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13,474,</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276.72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490,95</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7.88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12,983,</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318.84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12,681,</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397.51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426,461</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12,254,9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36.05</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13,474,</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276.72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490,95</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7.88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12,983,</w:t>
            </w:r>
          </w:p>
          <w:p>
            <w:pPr>
              <w:pStyle w:val="TableParagraph"/>
              <w:spacing w:line="240" w:lineRule="auto" w:before="106"/>
              <w:ind w:left="181" w:right="0"/>
              <w:jc w:val="left"/>
              <w:rPr>
                <w:rFonts w:ascii="Times New Roman" w:hAnsi="Times New Roman" w:cs="Times New Roman" w:eastAsia="Times New Roman" w:hint="default"/>
                <w:sz w:val="18"/>
                <w:szCs w:val="18"/>
              </w:rPr>
            </w:pPr>
            <w:r>
              <w:rPr>
                <w:rFonts w:ascii="Times New Roman"/>
                <w:sz w:val="18"/>
              </w:rPr>
              <w:t>318.84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12,681,</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397.51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426,461</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12,254,9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36.05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10,864,931.41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108,649.32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1,902,019.35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95,100.96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464,950.96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46,495.10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13,474,276.72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490,957.88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spacing w:after="0" w:line="357"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357" w:lineRule="auto" w:before="44"/>
        <w:ind w:right="1915"/>
        <w:jc w:val="left"/>
      </w:pPr>
      <w:r>
        <w:rPr/>
        <w:t>□ 适用 √ 不适用 组合中，采用其他方法计提坏账准备的其他应收款：</w:t>
      </w:r>
    </w:p>
    <w:p>
      <w:pPr>
        <w:pStyle w:val="BodyText"/>
        <w:spacing w:line="240" w:lineRule="auto" w:before="29"/>
        <w:ind w:right="1915"/>
        <w:jc w:val="left"/>
      </w:pPr>
      <w:r>
        <w:rPr/>
        <w:t>□ 适用 √ 不适用</w:t>
      </w:r>
    </w:p>
    <w:p>
      <w:pPr>
        <w:pStyle w:val="BodyText"/>
        <w:spacing w:line="240" w:lineRule="auto" w:before="116"/>
        <w:ind w:right="191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6"/>
        <w:jc w:val="left"/>
      </w:pPr>
      <w:r>
        <w:rPr/>
        <w:t>本期计提坏账准备金额</w:t>
      </w:r>
      <w:r>
        <w:rPr>
          <w:spacing w:val="-46"/>
        </w:rPr>
        <w:t> </w:t>
      </w:r>
      <w:r>
        <w:rPr>
          <w:rFonts w:ascii="Times New Roman" w:hAnsi="Times New Roman" w:cs="Times New Roman" w:eastAsia="Times New Roman" w:hint="default"/>
        </w:rPr>
        <w:t>64,496.42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915"/>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right="1915"/>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113" w:right="0"/>
        <w:jc w:val="left"/>
      </w:pPr>
      <w:r>
        <w:rPr/>
        <w:t>单位： 元</w:t>
      </w:r>
    </w:p>
    <w:p>
      <w:pPr>
        <w:spacing w:after="0" w:line="240" w:lineRule="auto"/>
        <w:jc w:val="left"/>
        <w:sectPr>
          <w:type w:val="continuous"/>
          <w:pgSz w:w="11910" w:h="16840"/>
          <w:pgMar w:top="1100" w:bottom="1200" w:left="1020" w:right="0"/>
          <w:cols w:num="2" w:equalWidth="0">
            <w:col w:w="6190" w:space="2640"/>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12,182,859.13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11,263,744.88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977,526.05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920,114.17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313,891.54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497,538.46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13,474,276.72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12,681,397.51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27"/>
        <w:gridCol w:w="1501"/>
        <w:gridCol w:w="1594"/>
        <w:gridCol w:w="1948"/>
        <w:gridCol w:w="1823"/>
        <w:gridCol w:w="1262"/>
      </w:tblGrid>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5" w:right="185"/>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6" w:right="1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2,399,800.00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23,998.00</w:t>
            </w:r>
          </w:p>
        </w:tc>
      </w:tr>
      <w:tr>
        <w:trPr>
          <w:trHeight w:val="75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1,690,300.00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1,690,000.00</w:t>
            </w:r>
            <w:r>
              <w:rPr>
                <w:rFonts w:ascii="宋体" w:hAnsi="宋体" w:cs="宋体" w:eastAsia="宋体" w:hint="default"/>
                <w:sz w:val="18"/>
                <w:szCs w:val="18"/>
              </w:rPr>
              <w:t>；</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16,915.00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847,602.50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42,380.13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800,000.00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414,480.00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4,144.80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6,152,182.50</w:t>
            </w:r>
          </w:p>
        </w:tc>
        <w:tc>
          <w:tcPr>
            <w:tcW w:w="1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45.78%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95,437.93</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3"/>
        <w:ind w:right="0"/>
        <w:jc w:val="left"/>
      </w:pPr>
      <w:r>
        <w:rPr>
          <w:rFonts w:ascii="Times New Roman" w:hAnsi="Times New Roman" w:cs="Times New Roman" w:eastAsia="Times New Roman" w:hint="default"/>
        </w:rPr>
        <w:t>8)</w:t>
      </w:r>
      <w:r>
        <w:rPr/>
        <w:t>转移其他应收款且继续涉入形成的资产、负债金额</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after="0" w:line="357" w:lineRule="auto"/>
        <w:jc w:val="left"/>
        <w:sectPr>
          <w:type w:val="continuous"/>
          <w:pgSz w:w="11910" w:h="16840"/>
          <w:pgMar w:top="1100" w:bottom="120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5"/>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257,576,257.03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257,576,257.03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169,824,135.59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169,824,135.59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77,589,598.97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77,589,598.97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56,785,022.95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56,785,022.95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335,165,856.00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335,165,856.00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226,609,158.54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226,609,158.54</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747,019.88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747,019.88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7,689.56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98"/>
        <w:gridCol w:w="1192"/>
        <w:gridCol w:w="665"/>
        <w:gridCol w:w="670"/>
        <w:gridCol w:w="1237"/>
        <w:gridCol w:w="593"/>
        <w:gridCol w:w="634"/>
        <w:gridCol w:w="683"/>
        <w:gridCol w:w="683"/>
        <w:gridCol w:w="1007"/>
        <w:gridCol w:w="770"/>
      </w:tblGrid>
      <w:tr>
        <w:trPr>
          <w:trHeight w:val="402" w:hRule="exact"/>
        </w:trPr>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38" w:right="13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9" w:right="109"/>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498"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7" w:right="14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4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0" w:right="13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07" w:type="dxa"/>
            <w:vMerge/>
            <w:tcBorders>
              <w:left w:val="single" w:sz="4" w:space="0" w:color="000000"/>
              <w:bottom w:val="single" w:sz="4" w:space="0" w:color="000000"/>
              <w:right w:val="single" w:sz="4" w:space="0" w:color="000000"/>
            </w:tcBorders>
            <w:shd w:val="clear" w:color="auto" w:fill="D2D2D2"/>
          </w:tcPr>
          <w:p>
            <w:pPr/>
          </w:p>
        </w:tc>
        <w:tc>
          <w:tcPr>
            <w:tcW w:w="7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苏州优圣美智能 系统有限公司</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6,000,000.00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3.00%</w:t>
            </w: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6,000,000.00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长期应收款" w:id="252"/>
      <w:bookmarkEnd w:id="252"/>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253"/>
      <w:bookmarkEnd w:id="25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70"/>
        <w:gridCol w:w="928"/>
        <w:gridCol w:w="721"/>
        <w:gridCol w:w="678"/>
        <w:gridCol w:w="798"/>
        <w:gridCol w:w="798"/>
        <w:gridCol w:w="635"/>
        <w:gridCol w:w="798"/>
        <w:gridCol w:w="798"/>
        <w:gridCol w:w="624"/>
        <w:gridCol w:w="852"/>
        <w:gridCol w:w="797"/>
      </w:tblGrid>
      <w:tr>
        <w:trPr>
          <w:trHeight w:val="402" w:hRule="exact"/>
        </w:trPr>
        <w:tc>
          <w:tcPr>
            <w:tcW w:w="1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68" w:right="18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85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29" w:right="15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2" w:right="12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1170"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5" w:right="174"/>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3" w:right="152"/>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1" w:right="13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共青城银汐 投资管理合 伙企业（有 限合伙）</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94,619,0</w:t>
            </w:r>
          </w:p>
          <w:p>
            <w:pPr>
              <w:pStyle w:val="TableParagraph"/>
              <w:spacing w:line="240" w:lineRule="auto" w:before="106"/>
              <w:ind w:left="410" w:right="0"/>
              <w:jc w:val="left"/>
              <w:rPr>
                <w:rFonts w:ascii="Times New Roman" w:hAnsi="Times New Roman" w:cs="Times New Roman" w:eastAsia="Times New Roman" w:hint="default"/>
                <w:sz w:val="18"/>
                <w:szCs w:val="18"/>
              </w:rPr>
            </w:pPr>
            <w:r>
              <w:rPr>
                <w:rFonts w:ascii="Times New Roman"/>
                <w:sz w:val="18"/>
              </w:rPr>
              <w:t>29.35</w:t>
            </w:r>
          </w:p>
        </w:tc>
        <w:tc>
          <w:tcPr>
            <w:tcW w:w="721"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-1,745,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586.12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-5,532,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403.76</w:t>
            </w:r>
          </w:p>
        </w:tc>
        <w:tc>
          <w:tcPr>
            <w:tcW w:w="6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87,341,0</w:t>
            </w:r>
          </w:p>
          <w:p>
            <w:pPr>
              <w:pStyle w:val="TableParagraph"/>
              <w:spacing w:line="240" w:lineRule="auto" w:before="106"/>
              <w:ind w:left="333" w:right="0"/>
              <w:jc w:val="left"/>
              <w:rPr>
                <w:rFonts w:ascii="Times New Roman" w:hAnsi="Times New Roman" w:cs="Times New Roman" w:eastAsia="Times New Roman" w:hint="default"/>
                <w:sz w:val="18"/>
                <w:szCs w:val="18"/>
              </w:rPr>
            </w:pPr>
            <w:r>
              <w:rPr>
                <w:rFonts w:ascii="Times New Roman"/>
                <w:sz w:val="18"/>
              </w:rPr>
              <w:t>39.47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70"/>
        <w:gridCol w:w="928"/>
        <w:gridCol w:w="721"/>
        <w:gridCol w:w="678"/>
        <w:gridCol w:w="798"/>
        <w:gridCol w:w="798"/>
        <w:gridCol w:w="635"/>
        <w:gridCol w:w="798"/>
        <w:gridCol w:w="798"/>
        <w:gridCol w:w="624"/>
        <w:gridCol w:w="852"/>
        <w:gridCol w:w="798"/>
      </w:tblGrid>
      <w:tr>
        <w:trPr>
          <w:trHeight w:val="71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北京泛融科 技有限公司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7,797,06</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4.70</w:t>
            </w:r>
          </w:p>
        </w:tc>
        <w:tc>
          <w:tcPr>
            <w:tcW w:w="721"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-411,40</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2.84</w:t>
            </w:r>
          </w:p>
        </w:tc>
        <w:tc>
          <w:tcPr>
            <w:tcW w:w="79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7,385,66</w:t>
            </w:r>
          </w:p>
          <w:p>
            <w:pPr>
              <w:pStyle w:val="TableParagraph"/>
              <w:spacing w:line="240" w:lineRule="auto" w:before="106"/>
              <w:ind w:left="423"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北京海同科 技有限公司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113" w:right="0"/>
              <w:jc w:val="left"/>
              <w:rPr>
                <w:rFonts w:ascii="Times New Roman" w:hAnsi="Times New Roman" w:cs="Times New Roman" w:eastAsia="Times New Roman" w:hint="default"/>
                <w:sz w:val="18"/>
                <w:szCs w:val="18"/>
              </w:rPr>
            </w:pPr>
            <w:r>
              <w:rPr>
                <w:rFonts w:ascii="Times New Roman"/>
                <w:sz w:val="18"/>
              </w:rPr>
              <w:t>000.00</w:t>
            </w: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-70,388</w:t>
            </w:r>
          </w:p>
          <w:p>
            <w:pPr>
              <w:pStyle w:val="TableParagraph"/>
              <w:spacing w:line="240" w:lineRule="auto" w:before="106"/>
              <w:ind w:left="461" w:right="0"/>
              <w:jc w:val="lef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5,929,61</w:t>
            </w:r>
          </w:p>
          <w:p>
            <w:pPr>
              <w:pStyle w:val="TableParagraph"/>
              <w:spacing w:line="240" w:lineRule="auto" w:before="106"/>
              <w:ind w:left="423" w:right="0"/>
              <w:jc w:val="lef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102,416,</w:t>
            </w:r>
          </w:p>
          <w:p>
            <w:pPr>
              <w:pStyle w:val="TableParagraph"/>
              <w:spacing w:line="240" w:lineRule="auto" w:before="106"/>
              <w:ind w:left="218" w:right="0"/>
              <w:jc w:val="center"/>
              <w:rPr>
                <w:rFonts w:ascii="Times New Roman" w:hAnsi="Times New Roman" w:cs="Times New Roman" w:eastAsia="Times New Roman" w:hint="default"/>
                <w:sz w:val="18"/>
                <w:szCs w:val="18"/>
              </w:rPr>
            </w:pPr>
            <w:r>
              <w:rPr>
                <w:rFonts w:ascii="Times New Roman"/>
                <w:sz w:val="18"/>
              </w:rPr>
              <w:t>094.05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113" w:right="0"/>
              <w:jc w:val="left"/>
              <w:rPr>
                <w:rFonts w:ascii="Times New Roman" w:hAnsi="Times New Roman" w:cs="Times New Roman" w:eastAsia="Times New Roman" w:hint="default"/>
                <w:sz w:val="18"/>
                <w:szCs w:val="18"/>
              </w:rPr>
            </w:pPr>
            <w:r>
              <w:rPr>
                <w:rFonts w:ascii="Times New Roman"/>
                <w:sz w:val="18"/>
              </w:rPr>
              <w:t>000.00</w:t>
            </w: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377.09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-5,532,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403.76</w:t>
            </w:r>
          </w:p>
        </w:tc>
        <w:tc>
          <w:tcPr>
            <w:tcW w:w="6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100,656,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313.20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102,416,</w:t>
            </w:r>
          </w:p>
          <w:p>
            <w:pPr>
              <w:pStyle w:val="TableParagraph"/>
              <w:spacing w:line="240" w:lineRule="auto" w:before="106"/>
              <w:ind w:left="218" w:right="0"/>
              <w:jc w:val="center"/>
              <w:rPr>
                <w:rFonts w:ascii="Times New Roman" w:hAnsi="Times New Roman" w:cs="Times New Roman" w:eastAsia="Times New Roman" w:hint="default"/>
                <w:sz w:val="18"/>
                <w:szCs w:val="18"/>
              </w:rPr>
            </w:pPr>
            <w:r>
              <w:rPr>
                <w:rFonts w:ascii="Times New Roman"/>
                <w:sz w:val="18"/>
              </w:rPr>
              <w:t>094.05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113" w:right="0"/>
              <w:jc w:val="left"/>
              <w:rPr>
                <w:rFonts w:ascii="Times New Roman" w:hAnsi="Times New Roman" w:cs="Times New Roman" w:eastAsia="Times New Roman" w:hint="default"/>
                <w:sz w:val="18"/>
                <w:szCs w:val="18"/>
              </w:rPr>
            </w:pPr>
            <w:r>
              <w:rPr>
                <w:rFonts w:ascii="Times New Roman"/>
                <w:sz w:val="18"/>
              </w:rPr>
              <w:t>000.00</w:t>
            </w: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377.09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-5,532,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403.76</w:t>
            </w:r>
          </w:p>
        </w:tc>
        <w:tc>
          <w:tcPr>
            <w:tcW w:w="6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100,656,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313.20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54"/>
      <w:bookmarkEnd w:id="25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5"/>
      <w:bookmarkEnd w:id="25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56"/>
      <w:bookmarkEnd w:id="25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57"/>
      <w:bookmarkEnd w:id="25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6、固定资产" w:id="258"/>
      <w:bookmarkEnd w:id="25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61,667,379.57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6,416,918.16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61,667,379.57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6,416,918.16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59"/>
      <w:bookmarkEnd w:id="25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61"/>
        <w:gridCol w:w="1914"/>
        <w:gridCol w:w="1914"/>
        <w:gridCol w:w="1914"/>
        <w:gridCol w:w="1614"/>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1,024,228.66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16,896,059.86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17,920,288.52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53,809,985.59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335,920.69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5,113,191.01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59,259,097.29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53,809,985.59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335,920.69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5,113,191.01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59,259,097.29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261"/>
        <w:gridCol w:w="1914"/>
        <w:gridCol w:w="1914"/>
        <w:gridCol w:w="1914"/>
        <w:gridCol w:w="1614"/>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418,991.00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7,172,109.48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7,591,100.48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418,991.00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7,172,109.48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7,591,100.48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53,809,985.59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941,158.35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14,837,141.39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69,588,285.33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769,602.09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10,733,768.27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11,503,370.36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1,217,130.60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120,313.90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2,291,636.61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3,629,081.11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1,217,130.60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120,313.90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2,291,636.61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3,629,081.11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398,041.45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6,813,504.26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7,211,545.71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398,041.45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6,813,504.26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7,211,545.71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1,217,130.60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491,874.54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6,211,900.62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7,920,905.76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52,592,854.99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449,283.81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8,625,240.77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61,667,379.57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254,626.57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6,162,291.59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6,416,918.16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60"/>
      <w:bookmarkEnd w:id="26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通过融资租赁租入的固定资产情况" w:id="261"/>
      <w:bookmarkEnd w:id="26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62"/>
      <w:bookmarkEnd w:id="26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未办妥产权证书的固定资产情况" w:id="263"/>
      <w:bookmarkEnd w:id="26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固定资产清理" w:id="264"/>
      <w:bookmarkEnd w:id="264"/>
      <w:r>
        <w:rPr>
          <w:b w:val="0"/>
          <w:bCs w:val="0"/>
        </w:rPr>
      </w:r>
      <w:r>
        <w:rPr/>
        <w:t>（</w:t>
      </w:r>
      <w:r>
        <w:rPr>
          <w:rFonts w:ascii="Times New Roman" w:hAnsi="Times New Roman" w:cs="Times New Roman" w:eastAsia="Times New Roman" w:hint="default"/>
        </w:rPr>
        <w:t>6</w:t>
      </w:r>
      <w:r>
        <w:rPr/>
        <w:t>）固定资产清理</w:t>
      </w:r>
      <w:r>
        <w:rPr>
          <w:b w:val="0"/>
          <w:bCs w:val="0"/>
        </w:rPr>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3"/>
        <w:spacing w:line="240" w:lineRule="auto" w:before="35"/>
        <w:ind w:right="0"/>
        <w:jc w:val="left"/>
        <w:rPr>
          <w:b w:val="0"/>
          <w:bCs w:val="0"/>
        </w:rPr>
      </w:pPr>
      <w:bookmarkStart w:name="17、 在建工程" w:id="265"/>
      <w:bookmarkEnd w:id="26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8、生产性生物资产" w:id="266"/>
      <w:bookmarkEnd w:id="266"/>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67"/>
      <w:bookmarkEnd w:id="26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68"/>
      <w:bookmarkEnd w:id="26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油气资产" w:id="269"/>
      <w:bookmarkEnd w:id="26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无形资产" w:id="270"/>
      <w:bookmarkEnd w:id="27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1"/>
      <w:bookmarkEnd w:id="27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1"/>
        <w:gridCol w:w="1332"/>
        <w:gridCol w:w="1466"/>
        <w:gridCol w:w="1348"/>
        <w:gridCol w:w="1595"/>
        <w:gridCol w:w="1594"/>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4,277,463.11</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4,449,710.62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8,727,173.73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5,031,879.05</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635,079.57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5,666,958.62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635,079.57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635,079.57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5,031,879.05</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5,031,879.05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9,309,342.16</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5,084,790.19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14,394,132.35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191,509.75</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3,392,093.53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3,583,603.28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857,877.39</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566,919.15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1,424,796.54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857,877.39</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566,919.15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1,424,796.54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261"/>
        <w:gridCol w:w="1332"/>
        <w:gridCol w:w="1466"/>
        <w:gridCol w:w="1348"/>
        <w:gridCol w:w="1595"/>
        <w:gridCol w:w="1594"/>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1,049,387.14</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3,959,012.68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5,008,399.82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8,259,955.02</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1,125,777.51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9,385,732.53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4,085,953.36</w:t>
            </w:r>
          </w:p>
        </w:tc>
        <w:tc>
          <w:tcPr>
            <w:tcW w:w="134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1,057,617.09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5,143,570.45</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88.01%</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72"/>
      <w:bookmarkEnd w:id="27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1、开发支出" w:id="273"/>
      <w:bookmarkEnd w:id="27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54"/>
        <w:gridCol w:w="1246"/>
        <w:gridCol w:w="1287"/>
        <w:gridCol w:w="584"/>
        <w:gridCol w:w="288"/>
        <w:gridCol w:w="1193"/>
        <w:gridCol w:w="1062"/>
        <w:gridCol w:w="247"/>
        <w:gridCol w:w="1375"/>
      </w:tblGrid>
      <w:tr>
        <w:trPr>
          <w:trHeight w:val="402" w:hRule="exact"/>
        </w:trPr>
        <w:tc>
          <w:tcPr>
            <w:tcW w:w="2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54" w:type="dxa"/>
            <w:vMerge/>
            <w:tcBorders>
              <w:left w:val="single" w:sz="4" w:space="0" w:color="000000"/>
              <w:bottom w:val="single" w:sz="4" w:space="0" w:color="000000"/>
              <w:right w:val="single" w:sz="4" w:space="0" w:color="000000"/>
            </w:tcBorders>
            <w:shd w:val="clear" w:color="auto" w:fill="D2D2D2"/>
          </w:tcPr>
          <w:p>
            <w:pPr/>
          </w:p>
        </w:tc>
        <w:tc>
          <w:tcPr>
            <w:tcW w:w="1246"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48" w:right="0"/>
              <w:jc w:val="left"/>
              <w:rPr>
                <w:rFonts w:ascii="宋体" w:hAnsi="宋体" w:cs="宋体" w:eastAsia="宋体" w:hint="default"/>
                <w:sz w:val="13"/>
                <w:szCs w:val="13"/>
              </w:rPr>
            </w:pPr>
            <w:r>
              <w:rPr>
                <w:rFonts w:ascii="宋体" w:hAnsi="宋体" w:cs="宋体" w:eastAsia="宋体" w:hint="default"/>
                <w:sz w:val="13"/>
                <w:szCs w:val="13"/>
              </w:rPr>
              <w:t>内部开发支出</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5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37"/>
              <w:jc w:val="right"/>
              <w:rPr>
                <w:rFonts w:ascii="宋体" w:hAnsi="宋体" w:cs="宋体" w:eastAsia="宋体" w:hint="default"/>
                <w:sz w:val="13"/>
                <w:szCs w:val="13"/>
              </w:rPr>
            </w:pPr>
            <w:r>
              <w:rPr>
                <w:rFonts w:ascii="宋体" w:hAnsi="宋体" w:cs="宋体" w:eastAsia="宋体" w:hint="default"/>
                <w:w w:val="95"/>
                <w:sz w:val="13"/>
                <w:szCs w:val="13"/>
              </w:rPr>
              <w:t>确认为无形资产</w:t>
            </w:r>
            <w:r>
              <w:rPr>
                <w:rFonts w:ascii="宋体" w:hAnsi="宋体" w:cs="宋体" w:eastAsia="宋体" w:hint="default"/>
                <w:sz w:val="13"/>
                <w:szCs w:val="13"/>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35" w:right="0"/>
              <w:jc w:val="left"/>
              <w:rPr>
                <w:rFonts w:ascii="宋体" w:hAnsi="宋体" w:cs="宋体" w:eastAsia="宋体" w:hint="default"/>
                <w:sz w:val="13"/>
                <w:szCs w:val="13"/>
              </w:rPr>
            </w:pPr>
            <w:r>
              <w:rPr>
                <w:rFonts w:ascii="宋体" w:hAnsi="宋体" w:cs="宋体" w:eastAsia="宋体" w:hint="default"/>
                <w:sz w:val="13"/>
                <w:szCs w:val="13"/>
              </w:rPr>
              <w:t>转入当期损益</w:t>
            </w:r>
          </w:p>
        </w:tc>
        <w:tc>
          <w:tcPr>
            <w:tcW w:w="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架构的金融渠道 和业务平台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Starring6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1,504,449.91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3,032,532.35</w:t>
            </w: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4,536,982.26</w:t>
            </w:r>
          </w:p>
        </w:tc>
      </w:tr>
      <w:tr>
        <w:trPr>
          <w:trHeight w:val="714"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03" w:right="259"/>
              <w:jc w:val="left"/>
              <w:rPr>
                <w:rFonts w:ascii="宋体" w:hAnsi="宋体" w:cs="宋体" w:eastAsia="宋体" w:hint="default"/>
                <w:sz w:val="18"/>
                <w:szCs w:val="18"/>
              </w:rPr>
            </w:pPr>
            <w:r>
              <w:rPr>
                <w:rFonts w:ascii="宋体" w:hAnsi="宋体" w:cs="宋体" w:eastAsia="宋体" w:hint="default"/>
                <w:sz w:val="18"/>
                <w:szCs w:val="18"/>
              </w:rPr>
              <w:t>企业数据管理及应用软件 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1,178,883.00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1,096,520.90</w:t>
            </w: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2,275,403.90</w:t>
            </w:r>
          </w:p>
        </w:tc>
      </w:tr>
      <w:tr>
        <w:trPr>
          <w:trHeight w:val="714"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统一客户服务平台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项 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2,032,072.95</w:t>
            </w:r>
          </w:p>
        </w:tc>
        <w:tc>
          <w:tcPr>
            <w:tcW w:w="12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2,032,072.95</w:t>
            </w:r>
          </w:p>
        </w:tc>
      </w:tr>
      <w:tr>
        <w:trPr>
          <w:trHeight w:val="714"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大数据平台及应用</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BDPAS</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4,122,063.26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2,713,694.57</w:t>
            </w: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2,525,658.20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4,310,099.63</w:t>
            </w:r>
          </w:p>
        </w:tc>
      </w:tr>
      <w:tr>
        <w:trPr>
          <w:trHeight w:val="402"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创智平台研发项目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79,998.15</w:t>
            </w:r>
          </w:p>
        </w:tc>
        <w:tc>
          <w:tcPr>
            <w:tcW w:w="12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79,998.15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运维服务体系建设项目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1,069,364.61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4,011,523.65</w:t>
            </w: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2,426,222.70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2,654,665.56</w:t>
            </w:r>
          </w:p>
        </w:tc>
      </w:tr>
      <w:tr>
        <w:trPr>
          <w:trHeight w:val="402"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9,986,831.88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10,854,271.47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5,031,879.05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15,809,224.30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6"/>
        <w:rPr>
          <w:rFonts w:ascii="宋体" w:hAnsi="宋体" w:cs="宋体" w:eastAsia="宋体" w:hint="default"/>
          <w:sz w:val="9"/>
          <w:szCs w:val="9"/>
        </w:rPr>
      </w:pPr>
    </w:p>
    <w:p>
      <w:pPr>
        <w:spacing w:line="5888" w:lineRule="exact"/>
        <w:ind w:left="114"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6112122" cy="3739419"/>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4" cstate="print"/>
                    <a:stretch>
                      <a:fillRect/>
                    </a:stretch>
                  </pic:blipFill>
                  <pic:spPr>
                    <a:xfrm>
                      <a:off x="0" y="0"/>
                      <a:ext cx="6112122" cy="3739419"/>
                    </a:xfrm>
                    <a:prstGeom prst="rect">
                      <a:avLst/>
                    </a:prstGeom>
                  </pic:spPr>
                </pic:pic>
              </a:graphicData>
            </a:graphic>
          </wp:inline>
        </w:drawing>
      </w:r>
      <w:r>
        <w:rPr>
          <w:rFonts w:ascii="宋体" w:hAnsi="宋体" w:cs="宋体" w:eastAsia="宋体" w:hint="default"/>
          <w:position w:val="-117"/>
          <w:sz w:val="20"/>
          <w:szCs w:val="20"/>
        </w:rPr>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2、商誉" w:id="274"/>
      <w:bookmarkEnd w:id="274"/>
      <w:r>
        <w:rPr>
          <w:b w:val="0"/>
          <w:bCs w:val="0"/>
        </w:rPr>
      </w:r>
      <w:r>
        <w:rPr>
          <w:rFonts w:ascii="Times New Roman" w:hAnsi="Times New Roman" w:cs="Times New Roman" w:eastAsia="Times New Roman" w:hint="default"/>
        </w:rPr>
        <w:t>22</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3、长期待摊费用" w:id="275"/>
      <w:bookmarkEnd w:id="27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292,612.62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126,545.45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83,831.60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335,326.47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292,612.62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126,545.45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83,831.60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335,326.47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76"/>
      <w:bookmarkEnd w:id="27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7"/>
      <w:bookmarkEnd w:id="27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12,048,974.13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1,807,346.12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10,649,513.60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1,597,427.04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暂估入账成本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679,245.27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101,886.79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23,326,009.40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3,498,901.41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5,893,025.80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883,953.87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18,891,245.20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2,833,686.78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34,605,523.00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5,190,828.45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8"/>
      <w:bookmarkEnd w:id="27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以抵销后净额列示的递延所得税资产或负债" w:id="279"/>
      <w:bookmarkEnd w:id="27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2,833,686.78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5,190,828.45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80"/>
      <w:bookmarkEnd w:id="28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未确认递延所得税资产的可抵扣亏损将于以下年度到期" w:id="281"/>
      <w:bookmarkEnd w:id="28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5、其他非流动资产" w:id="282"/>
      <w:bookmarkEnd w:id="28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未取得权证的房屋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53,291,700.00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53,291,700.00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283"/>
      <w:bookmarkEnd w:id="28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4"/>
      <w:bookmarkEnd w:id="28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350,000,000.00</w:t>
            </w:r>
          </w:p>
        </w:tc>
      </w:tr>
    </w:tbl>
    <w:p>
      <w:pPr>
        <w:pStyle w:val="BodyText"/>
        <w:spacing w:line="357" w:lineRule="auto" w:before="51"/>
        <w:ind w:right="1662"/>
        <w:jc w:val="left"/>
        <w:rPr>
          <w:rFonts w:ascii="宋体" w:hAnsi="宋体" w:cs="宋体" w:eastAsia="宋体" w:hint="default"/>
        </w:rPr>
      </w:pPr>
      <w:r>
        <w:rPr/>
        <w:t>短期借款分类的说明： 注：保证借款系由股东林鸿、李铠、朱胡勇、罗云波、庄云江、杨格平、吴文胜为借款提供个人无限连带责任保证</w:t>
      </w:r>
      <w:r>
        <w:rPr>
          <w:rFonts w:ascii="宋体" w:hAnsi="宋体" w:cs="宋体" w:eastAsia="宋体" w:hint="default"/>
        </w:rPr>
        <w:t>.</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已逾期未偿还的短期借款情况" w:id="285"/>
      <w:bookmarkEnd w:id="28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7、以公允价值计量且其变动计入当期损益的金融负债" w:id="286"/>
      <w:bookmarkEnd w:id="28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8、衍生金融负债" w:id="287"/>
      <w:bookmarkEnd w:id="28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应付票据及应付账款" w:id="288"/>
      <w:bookmarkEnd w:id="28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55,857,757.69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23,654,754.00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138,372,998.81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144,397,953.91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194,230,756.50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168,052,707.91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89"/>
      <w:bookmarkEnd w:id="28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40,843,514.06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23,654,754.00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15,014,243.63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55,857,757.69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23,654,754.00</w:t>
            </w:r>
          </w:p>
        </w:tc>
      </w:tr>
    </w:tbl>
    <w:p>
      <w:pPr>
        <w:pStyle w:val="BodyText"/>
        <w:spacing w:line="240" w:lineRule="auto" w:before="51"/>
        <w:ind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290"/>
      <w:bookmarkEnd w:id="29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109,036,163.61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129,800,418.83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29,336,835.20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14,597,535.08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138,372,998.81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144,397,953.91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91"/>
      <w:bookmarkEnd w:id="29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7,350,075.12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7,096,650.20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3,396,226.42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2,157,169.53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1,479,798.23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1,141,107.69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1,052,332.00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23,673,359.19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292"/>
      <w:bookmarkEnd w:id="29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3"/>
      <w:bookmarkEnd w:id="29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47,888,346.87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17,713,200.00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803,412.09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1,288,460.91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48,691,758.96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19,001,660.91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382,905.98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382,905.98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95"/>
      <w:bookmarkEnd w:id="29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1、应付职工薪酬" w:id="296"/>
      <w:bookmarkEnd w:id="29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7"/>
      <w:bookmarkEnd w:id="29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28"/>
        <w:gridCol w:w="1716"/>
        <w:gridCol w:w="1712"/>
        <w:gridCol w:w="1708"/>
        <w:gridCol w:w="1675"/>
      </w:tblGrid>
      <w:tr>
        <w:trPr>
          <w:trHeight w:val="402" w:hRule="exact"/>
        </w:trPr>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26,624,787.83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239,518,051.82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223,745,702.71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42,397,136.94</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1,002,621.73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20,251,567.44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20,155,184.81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1,099,004.36</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101,155.00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101,155.00</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27,627,409.56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259,870,774.26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244,002,042.52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43,496,141.30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短期薪酬列示" w:id="298"/>
      <w:bookmarkEnd w:id="29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02"/>
        <w:gridCol w:w="1700"/>
        <w:gridCol w:w="2041"/>
        <w:gridCol w:w="1816"/>
        <w:gridCol w:w="1640"/>
      </w:tblGrid>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、工资、奖金、津贴和补贴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25,284,805.89</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214,157,960.51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198,505,256.54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40,937,509.86</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2,398,965.10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2,398,965.10</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556,588.14</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10,865,141.21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10,812,505.27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609,224.08</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505,104.53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10,054,370.43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10,005,195.09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554,279.87</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9,679.77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244,915.55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244,770.90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9,824.42</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41,803.84</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565,855.23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562,539.28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45,119.79</w:t>
            </w:r>
          </w:p>
        </w:tc>
      </w:tr>
      <w:tr>
        <w:trPr>
          <w:trHeight w:val="40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783,393.80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12,095,985.00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12,028,975.80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850,403.00</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26,624,787.83</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239,518,051.82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223,745,702.71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42,397,136.94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9"/>
      <w:bookmarkEnd w:id="29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963,987.80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19,504,046.71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19,411,683.33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1,056,351.18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38,633.93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747,520.73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743,501.48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42,653.18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1,002,621.73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20,251,567.44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20,155,184.81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1,099,004.36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应交税费" w:id="300"/>
      <w:bookmarkEnd w:id="30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6,948,217.12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14,159,626.02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2,610,272.11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5,237,442.22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536,935.38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1,015,269.39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486,375.21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991,207.34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208,446.52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424,803.14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地方教育附加税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138,964.34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283,202.11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10,929,210.68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22,111,550.22</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3、其他应付款" w:id="301"/>
      <w:bookmarkEnd w:id="30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15,300,058.19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5,856,007.32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15,300,058.19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5,856,007.32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02"/>
      <w:bookmarkEnd w:id="30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应付股利" w:id="303"/>
      <w:bookmarkEnd w:id="30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付款" w:id="304"/>
      <w:bookmarkEnd w:id="30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1,176,800.44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3,374,186.00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365,555.12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676,472.39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160,305.85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1,805,348.93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13,597,396.78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15,300,058.19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5,856,007.32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4、持有待售负债" w:id="305"/>
      <w:bookmarkEnd w:id="30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5、一年内到期的非流动负债" w:id="306"/>
      <w:bookmarkEnd w:id="30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6、其他流动负债" w:id="307"/>
      <w:bookmarkEnd w:id="30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7、长期借款" w:id="308"/>
      <w:bookmarkEnd w:id="30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8、应付债券" w:id="309"/>
      <w:bookmarkEnd w:id="309"/>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9、长期应付款" w:id="310"/>
      <w:bookmarkEnd w:id="31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0、长期应付职工薪酬" w:id="311"/>
      <w:bookmarkEnd w:id="311"/>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1、预计负债" w:id="312"/>
      <w:bookmarkEnd w:id="312"/>
      <w:r>
        <w:rPr>
          <w:b w:val="0"/>
          <w:bCs w:val="0"/>
        </w:rPr>
      </w:r>
      <w:r>
        <w:rPr>
          <w:rFonts w:ascii="Times New Roman" w:hAnsi="Times New Roman" w:cs="Times New Roman" w:eastAsia="Times New Roman" w:hint="default"/>
        </w:rPr>
        <w:t>41</w:t>
      </w:r>
      <w:r>
        <w:rPr/>
        <w:t>、预计负债</w:t>
      </w:r>
      <w:r>
        <w:rPr>
          <w:b w:val="0"/>
          <w:bCs w:val="0"/>
        </w:rPr>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42、递延收益" w:id="313"/>
      <w:bookmarkEnd w:id="313"/>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1"/>
              <w:jc w:val="right"/>
              <w:rPr>
                <w:rFonts w:ascii="宋体" w:hAnsi="宋体" w:cs="宋体" w:eastAsia="宋体" w:hint="default"/>
                <w:sz w:val="18"/>
                <w:szCs w:val="18"/>
              </w:rPr>
            </w:pPr>
            <w:r>
              <w:rPr>
                <w:rFonts w:ascii="宋体" w:hAnsi="宋体" w:cs="宋体" w:eastAsia="宋体" w:hint="default"/>
                <w:sz w:val="18"/>
                <w:szCs w:val="18"/>
              </w:rPr>
              <w:t>收到财政拨款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6"/>
        <w:gridCol w:w="1064"/>
        <w:gridCol w:w="930"/>
        <w:gridCol w:w="1064"/>
        <w:gridCol w:w="1063"/>
        <w:gridCol w:w="1063"/>
        <w:gridCol w:w="839"/>
        <w:gridCol w:w="1063"/>
        <w:gridCol w:w="1063"/>
      </w:tblGrid>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188"/>
              <w:jc w:val="both"/>
              <w:rPr>
                <w:rFonts w:ascii="宋体" w:hAnsi="宋体" w:cs="宋体" w:eastAsia="宋体" w:hint="default"/>
                <w:sz w:val="18"/>
                <w:szCs w:val="18"/>
              </w:rPr>
            </w:pPr>
            <w:r>
              <w:rPr>
                <w:rFonts w:ascii="宋体" w:hAnsi="宋体" w:cs="宋体" w:eastAsia="宋体" w:hint="default"/>
                <w:sz w:val="18"/>
                <w:szCs w:val="18"/>
              </w:rPr>
              <w:t>本期新 增补助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0"/>
              <w:jc w:val="both"/>
              <w:rPr>
                <w:rFonts w:ascii="宋体" w:hAnsi="宋体" w:cs="宋体" w:eastAsia="宋体" w:hint="default"/>
                <w:sz w:val="18"/>
                <w:szCs w:val="18"/>
              </w:rPr>
            </w:pPr>
            <w:r>
              <w:rPr>
                <w:rFonts w:ascii="宋体" w:hAnsi="宋体" w:cs="宋体" w:eastAsia="宋体" w:hint="default"/>
                <w:sz w:val="18"/>
                <w:szCs w:val="18"/>
              </w:rPr>
              <w:t>电子信息产业 发展基金资助 项目补贴款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630,000.00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360,000.00</w:t>
            </w:r>
          </w:p>
        </w:tc>
        <w:tc>
          <w:tcPr>
            <w:tcW w:w="83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630,000.00</w:t>
            </w:r>
          </w:p>
        </w:tc>
        <w:tc>
          <w:tcPr>
            <w:tcW w:w="93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360,000.00</w:t>
            </w:r>
          </w:p>
        </w:tc>
        <w:tc>
          <w:tcPr>
            <w:tcW w:w="83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其他非流动负债" w:id="314"/>
      <w:bookmarkEnd w:id="314"/>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4、股本" w:id="315"/>
      <w:bookmarkEnd w:id="315"/>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30"/>
        <w:gridCol w:w="1348"/>
        <w:gridCol w:w="1196"/>
        <w:gridCol w:w="1064"/>
        <w:gridCol w:w="1294"/>
        <w:gridCol w:w="955"/>
        <w:gridCol w:w="1297"/>
        <w:gridCol w:w="1372"/>
      </w:tblGrid>
      <w:tr>
        <w:trPr>
          <w:trHeight w:val="402" w:hRule="exact"/>
        </w:trPr>
        <w:tc>
          <w:tcPr>
            <w:tcW w:w="1030" w:type="dxa"/>
            <w:vMerge w:val="restart"/>
            <w:tcBorders>
              <w:top w:val="single" w:sz="4" w:space="0" w:color="000000"/>
              <w:left w:val="single" w:sz="4" w:space="0" w:color="000000"/>
              <w:right w:val="single" w:sz="4" w:space="0" w:color="000000"/>
            </w:tcBorders>
            <w:shd w:val="clear" w:color="auto" w:fill="D2D2D2"/>
          </w:tcPr>
          <w:p>
            <w:pP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30"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1,167,000.00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59,999,996.00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61,166,996.00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181,166,996.00</w:t>
            </w:r>
          </w:p>
        </w:tc>
      </w:tr>
    </w:tbl>
    <w:p>
      <w:pPr>
        <w:pStyle w:val="BodyText"/>
        <w:spacing w:line="357" w:lineRule="auto" w:before="51"/>
        <w:ind w:right="4362"/>
        <w:jc w:val="left"/>
      </w:pPr>
      <w:r>
        <w:rPr/>
        <w:t>其他说明： </w:t>
      </w:r>
      <w:r>
        <w:rPr>
          <w:rFonts w:ascii="宋体" w:hAnsi="宋体" w:cs="宋体" w:eastAsia="宋体" w:hint="default"/>
        </w:rPr>
        <w:t>(1)</w:t>
      </w:r>
      <w:r>
        <w:rPr/>
        <w:t>发行新股增加</w:t>
      </w:r>
      <w:r>
        <w:rPr>
          <w:rFonts w:ascii="宋体" w:hAnsi="宋体" w:cs="宋体" w:eastAsia="宋体" w:hint="default"/>
        </w:rPr>
        <w:t>1,167,000.00</w:t>
      </w:r>
      <w:r>
        <w:rPr/>
        <w:t>元，为本报告期公司实行股权激励所增加的金额；</w:t>
      </w:r>
    </w:p>
    <w:p>
      <w:pPr>
        <w:pStyle w:val="BodyText"/>
        <w:spacing w:line="224" w:lineRule="exact" w:before="0"/>
        <w:ind w:right="0"/>
        <w:jc w:val="left"/>
      </w:pPr>
      <w:r>
        <w:rPr>
          <w:rFonts w:ascii="宋体" w:hAnsi="宋体" w:cs="宋体" w:eastAsia="宋体" w:hint="default"/>
        </w:rPr>
        <w:t>(2)</w:t>
      </w:r>
      <w:r>
        <w:rPr/>
        <w:t>公积金转股增加</w:t>
      </w:r>
      <w:r>
        <w:rPr>
          <w:rFonts w:ascii="宋体" w:hAnsi="宋体" w:cs="宋体" w:eastAsia="宋体" w:hint="default"/>
        </w:rPr>
        <w:t>59,999,996.00</w:t>
      </w:r>
      <w:r>
        <w:rPr/>
        <w:t>元，为本报告期公司以原有总股本</w:t>
      </w:r>
      <w:r>
        <w:rPr>
          <w:rFonts w:ascii="宋体" w:hAnsi="宋体" w:cs="宋体" w:eastAsia="宋体" w:hint="default"/>
        </w:rPr>
        <w:t>121,167,000</w:t>
      </w:r>
      <w:r>
        <w:rPr/>
        <w:t>股为基数，每</w:t>
      </w:r>
      <w:r>
        <w:rPr>
          <w:rFonts w:ascii="宋体" w:hAnsi="宋体" w:cs="宋体" w:eastAsia="宋体" w:hint="default"/>
        </w:rPr>
        <w:t>10</w:t>
      </w:r>
      <w:r>
        <w:rPr/>
        <w:t>股转增</w:t>
      </w:r>
      <w:r>
        <w:rPr>
          <w:rFonts w:ascii="宋体" w:hAnsi="宋体" w:cs="宋体" w:eastAsia="宋体" w:hint="default"/>
        </w:rPr>
        <w:t>4.951843</w:t>
      </w:r>
      <w:r>
        <w:rPr/>
        <w:t>股所增加</w:t>
      </w:r>
    </w:p>
    <w:p>
      <w:pPr>
        <w:pStyle w:val="BodyText"/>
        <w:spacing w:line="240" w:lineRule="auto" w:before="76"/>
        <w:ind w:right="0"/>
        <w:jc w:val="left"/>
      </w:pPr>
      <w:r>
        <w:rPr/>
        <w:t>的金额。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5、其他权益工具" w:id="316"/>
      <w:bookmarkEnd w:id="316"/>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6、资本公积" w:id="317"/>
      <w:bookmarkEnd w:id="317"/>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11,891,730.00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59,999,996.00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307,158,987.00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5,893,025.83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5,893,025.83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17,784,755.83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59,999,996.00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313,052,012.83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34" w:right="1252" w:hanging="321"/>
        <w:jc w:val="left"/>
      </w:pPr>
      <w:r>
        <w:rPr/>
        <w:t>其他说明，包括本期增减变动情况、变动原因说明： </w:t>
      </w:r>
      <w:r>
        <w:rPr>
          <w:rFonts w:ascii="宋体" w:hAnsi="宋体" w:cs="宋体" w:eastAsia="宋体" w:hint="default"/>
        </w:rPr>
        <w:t>(1)</w:t>
      </w:r>
      <w:r>
        <w:rPr/>
        <w:t>资本溢价（股本溢价）本报告期增加</w:t>
      </w:r>
      <w:r>
        <w:rPr>
          <w:rFonts w:ascii="宋体" w:hAnsi="宋体" w:cs="宋体" w:eastAsia="宋体" w:hint="default"/>
        </w:rPr>
        <w:t>11,891,730.00</w:t>
      </w:r>
      <w:r>
        <w:rPr/>
        <w:t>元，主要系本报告期确认限制性股票股本溢价所致；本期减少</w:t>
      </w:r>
    </w:p>
    <w:p>
      <w:pPr>
        <w:pStyle w:val="BodyText"/>
        <w:spacing w:line="224" w:lineRule="exact" w:before="0"/>
        <w:ind w:right="0"/>
        <w:jc w:val="left"/>
      </w:pPr>
      <w:r>
        <w:rPr>
          <w:rFonts w:ascii="宋体" w:hAnsi="宋体" w:cs="宋体" w:eastAsia="宋体" w:hint="default"/>
        </w:rPr>
        <w:t>59,999,996.00</w:t>
      </w:r>
      <w:r>
        <w:rPr/>
        <w:t>元，主要系本报告期资本公积转增股本所致。</w:t>
      </w:r>
    </w:p>
    <w:p>
      <w:pPr>
        <w:pStyle w:val="BodyText"/>
        <w:spacing w:line="240" w:lineRule="auto" w:before="76"/>
        <w:ind w:left="434" w:right="0"/>
        <w:jc w:val="left"/>
      </w:pPr>
      <w:r>
        <w:rPr>
          <w:rFonts w:ascii="宋体" w:hAnsi="宋体" w:cs="宋体" w:eastAsia="宋体" w:hint="default"/>
        </w:rPr>
        <w:t>(2)</w:t>
      </w:r>
      <w:r>
        <w:rPr/>
        <w:t>其他资本公积本报告期增加</w:t>
      </w:r>
      <w:r>
        <w:rPr>
          <w:rFonts w:ascii="宋体" w:hAnsi="宋体" w:cs="宋体" w:eastAsia="宋体" w:hint="default"/>
        </w:rPr>
        <w:t>5,893,025.83</w:t>
      </w:r>
      <w:r>
        <w:rPr/>
        <w:t>元，主要系公司实施限制性股票激励计提的费用所致。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7、库存股" w:id="318"/>
      <w:bookmarkEnd w:id="318"/>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13,712,972.37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13,597,396.78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13,712,972.37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13,597,396.78</w:t>
            </w:r>
          </w:p>
        </w:tc>
      </w:tr>
    </w:tbl>
    <w:p>
      <w:pPr>
        <w:pStyle w:val="BodyText"/>
        <w:spacing w:line="338" w:lineRule="auto" w:before="51"/>
        <w:ind w:left="434" w:right="3502" w:hanging="321"/>
        <w:jc w:val="left"/>
      </w:pPr>
      <w:r>
        <w:rPr/>
        <w:t>其他说明，包括本期增减变动情况、变动原因说明： </w:t>
      </w:r>
      <w:r>
        <w:rPr>
          <w:rFonts w:ascii="宋体" w:hAnsi="宋体" w:cs="宋体" w:eastAsia="宋体" w:hint="default"/>
        </w:rPr>
        <w:t>(1)</w:t>
      </w:r>
      <w:r>
        <w:rPr/>
        <w:t>库存股增加</w:t>
      </w:r>
      <w:r>
        <w:rPr>
          <w:rFonts w:ascii="宋体" w:hAnsi="宋体" w:cs="宋体" w:eastAsia="宋体" w:hint="default"/>
        </w:rPr>
        <w:t>13,712,972.37</w:t>
      </w:r>
      <w:r>
        <w:rPr/>
        <w:t>元，主要系本报告期确认限制性股票回购义务所致。 </w:t>
      </w:r>
      <w:r>
        <w:rPr>
          <w:rFonts w:ascii="宋体" w:hAnsi="宋体" w:cs="宋体" w:eastAsia="宋体" w:hint="default"/>
        </w:rPr>
        <w:t>(2)</w:t>
      </w:r>
      <w:r>
        <w:rPr/>
        <w:t>库存股减少</w:t>
      </w:r>
      <w:r>
        <w:rPr>
          <w:rFonts w:ascii="宋体" w:hAnsi="宋体" w:cs="宋体" w:eastAsia="宋体" w:hint="default"/>
        </w:rPr>
        <w:t>115,575.59</w:t>
      </w:r>
      <w:r>
        <w:rPr/>
        <w:t>元，主要系本报告期限制性股票股利分红冲减回购义务所致。</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8、其他综合收益" w:id="319"/>
      <w:bookmarkEnd w:id="319"/>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02"/>
        <w:gridCol w:w="1318"/>
        <w:gridCol w:w="1185"/>
        <w:gridCol w:w="1152"/>
        <w:gridCol w:w="811"/>
        <w:gridCol w:w="1115"/>
        <w:gridCol w:w="874"/>
        <w:gridCol w:w="1262"/>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902"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137"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0" w:right="128"/>
              <w:jc w:val="center"/>
              <w:rPr>
                <w:rFonts w:ascii="宋体" w:hAnsi="宋体" w:cs="宋体" w:eastAsia="宋体" w:hint="default"/>
                <w:sz w:val="18"/>
                <w:szCs w:val="18"/>
              </w:rPr>
            </w:pPr>
            <w:r>
              <w:rPr>
                <w:rFonts w:ascii="宋体" w:hAnsi="宋体" w:cs="宋体" w:eastAsia="宋体" w:hint="default"/>
                <w:sz w:val="18"/>
                <w:szCs w:val="18"/>
              </w:rPr>
              <w:t>减：所 得税费 用</w:t>
            </w: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1" w:right="19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2" w:right="16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-5,532,403.76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9" w:right="0"/>
              <w:jc w:val="left"/>
              <w:rPr>
                <w:rFonts w:ascii="Times New Roman" w:hAnsi="Times New Roman" w:cs="Times New Roman" w:eastAsia="Times New Roman" w:hint="default"/>
                <w:sz w:val="16"/>
                <w:szCs w:val="16"/>
              </w:rPr>
            </w:pPr>
            <w:r>
              <w:rPr>
                <w:rFonts w:ascii="Times New Roman"/>
                <w:sz w:val="16"/>
              </w:rPr>
              <w:t>-5,532,403.76</w:t>
            </w:r>
          </w:p>
        </w:tc>
        <w:tc>
          <w:tcPr>
            <w:tcW w:w="87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-9,446,642.95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其中：权益法下可转 损益的其他综合收益</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-5,532,403.76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9" w:right="0"/>
              <w:jc w:val="left"/>
              <w:rPr>
                <w:rFonts w:ascii="Times New Roman" w:hAnsi="Times New Roman" w:cs="Times New Roman" w:eastAsia="Times New Roman" w:hint="default"/>
                <w:sz w:val="16"/>
                <w:szCs w:val="16"/>
              </w:rPr>
            </w:pPr>
            <w:r>
              <w:rPr>
                <w:rFonts w:ascii="Times New Roman"/>
                <w:sz w:val="16"/>
              </w:rPr>
              <w:t>-5,532,403.76</w:t>
            </w:r>
          </w:p>
        </w:tc>
        <w:tc>
          <w:tcPr>
            <w:tcW w:w="87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-9,446,642.95</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-5,532,403.76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left"/>
              <w:rPr>
                <w:rFonts w:ascii="Times New Roman" w:hAnsi="Times New Roman" w:cs="Times New Roman" w:eastAsia="Times New Roman" w:hint="default"/>
                <w:sz w:val="16"/>
                <w:szCs w:val="16"/>
              </w:rPr>
            </w:pPr>
            <w:r>
              <w:rPr>
                <w:rFonts w:ascii="Times New Roman"/>
                <w:sz w:val="16"/>
              </w:rPr>
              <w:t>-5,532,403.76</w:t>
            </w:r>
          </w:p>
        </w:tc>
        <w:tc>
          <w:tcPr>
            <w:tcW w:w="87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-9,446,642.95</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专项储备" w:id="320"/>
      <w:bookmarkEnd w:id="320"/>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0、盈余公积" w:id="321"/>
      <w:bookmarkEnd w:id="321"/>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31,144,910.29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5,357,418.64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36,502,328.93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31,144,910.29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5,357,418.64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36,502,328.93</w:t>
            </w:r>
          </w:p>
        </w:tc>
      </w:tr>
    </w:tbl>
    <w:p>
      <w:pPr>
        <w:pStyle w:val="BodyText"/>
        <w:spacing w:line="357" w:lineRule="auto" w:before="51"/>
        <w:ind w:right="4542"/>
        <w:jc w:val="left"/>
      </w:pPr>
      <w:r>
        <w:rPr/>
        <w:t>盈余公积说明，包括本期增减变动情况、变动原因说明： 盈余公积增加</w:t>
      </w:r>
      <w:r>
        <w:rPr>
          <w:rFonts w:ascii="宋体" w:hAnsi="宋体" w:cs="宋体" w:eastAsia="宋体" w:hint="default"/>
        </w:rPr>
        <w:t>5,357,418.64</w:t>
      </w:r>
      <w:r>
        <w:rPr/>
        <w:t>元，为按照本报告期净利润</w:t>
      </w:r>
      <w:r>
        <w:rPr>
          <w:rFonts w:ascii="宋体" w:hAnsi="宋体" w:cs="宋体" w:eastAsia="宋体" w:hint="default"/>
        </w:rPr>
        <w:t>10%</w:t>
      </w:r>
      <w:r>
        <w:rPr/>
        <w:t>提取所增加的金额。</w:t>
      </w:r>
    </w:p>
    <w:p>
      <w:pPr>
        <w:spacing w:after="0" w:line="357"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1、未分配利润" w:id="322"/>
      <w:bookmarkEnd w:id="322"/>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234,278,293.12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234,278,293.12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51,188,116.34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5,357,418.64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4,478,165.30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11,999,991.94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268,108,998.88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234,278,293.12</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23"/>
      <w:bookmarkEnd w:id="323"/>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1,169,716,001.27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824,976,926.13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1,169,716,001.27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824,976,926.13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24"/>
      <w:bookmarkEnd w:id="324"/>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905,589.78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1,381,452.34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388,109.92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592,051.00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970,850.80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563,098.10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258,739.93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394,700.69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2,526,457.10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2,934,402.13</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4、销售费用" w:id="325"/>
      <w:bookmarkEnd w:id="325"/>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21,680,030.09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18,721,566.24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3,320,346.51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3,810,780.91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销售部门办公费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11,901,158.27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14,203,130.73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6,776,519.49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5,796,965.05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43,678,054.36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42,532,442.93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管理费用" w:id="326"/>
      <w:bookmarkEnd w:id="326"/>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28,703,725.59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29,552,186.05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4,352,463.59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5,389,174.02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7,273,864.00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7,853,106.48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3,836,000.26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2,490,707.81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2,380,821.69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1,564,771.58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限制性股票费用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5,893,025.83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42,029.09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52,446,578.62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46,891,975.03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6、研发费用" w:id="327"/>
      <w:bookmarkEnd w:id="327"/>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26,135,906.76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20,368,647.50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研发人员社保公积金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11,201,102.90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8,729,420.36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857,877.39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委托外部研发费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1,143,396.23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857,505.51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2,787,300.70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1,919,723.56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42,983,089.49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31,017,791.42</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7、财务费用" w:id="328"/>
      <w:bookmarkEnd w:id="328"/>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16,838,323.54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12,399,295.58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2,308,538.24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4,844,194.44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136,258.20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108,383.19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229,941.87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258,892.53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14,651,343.98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7,950,251.87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29"/>
      <w:bookmarkEnd w:id="329"/>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2,614,080.70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4,403,010.87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2,614,080.70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4,403,010.87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收益" w:id="330"/>
      <w:bookmarkEnd w:id="330"/>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1,078,024.37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881,282.06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393,649.74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389,599.81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1,471,674.11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1,270,881.87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31"/>
      <w:bookmarkEnd w:id="331"/>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-2,227,377.09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-1,669,666.76</w:t>
            </w:r>
          </w:p>
        </w:tc>
      </w:tr>
      <w:tr>
        <w:trPr>
          <w:trHeight w:val="40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-2,227,377.09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-1,669,666.76</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61、公允价值变动收益" w:id="332"/>
      <w:bookmarkEnd w:id="332"/>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2、资产处置收益" w:id="333"/>
      <w:bookmarkEnd w:id="333"/>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-357.32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34"/>
      <w:bookmarkEnd w:id="334"/>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326,300.00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57,030.25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383,330.25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1176"/>
        <w:gridCol w:w="776"/>
        <w:gridCol w:w="958"/>
        <w:gridCol w:w="947"/>
        <w:gridCol w:w="943"/>
        <w:gridCol w:w="1064"/>
        <w:gridCol w:w="888"/>
        <w:gridCol w:w="1063"/>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7"/>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6" w:right="10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167"/>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收到中关村科技园 区管理委员会上市 支持资金补助</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both"/>
              <w:rPr>
                <w:rFonts w:ascii="宋体" w:hAnsi="宋体" w:cs="宋体" w:eastAsia="宋体" w:hint="default"/>
                <w:sz w:val="18"/>
                <w:szCs w:val="18"/>
              </w:rPr>
            </w:pPr>
            <w:r>
              <w:rPr>
                <w:rFonts w:ascii="宋体" w:hAnsi="宋体" w:cs="宋体" w:eastAsia="宋体" w:hint="default"/>
                <w:sz w:val="18"/>
                <w:szCs w:val="18"/>
              </w:rPr>
              <w:t>北京市中关 村科技园区 管理委员会</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奖励上市 而给予的 政府补助</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326,300.00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326,300.00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营业外支出" w:id="335"/>
      <w:bookmarkEnd w:id="335"/>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358,605.22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44,686.94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358,605.22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33,170.77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33,170.77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391,775.99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44,964.94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391,775.99</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65、所得税费用" w:id="336"/>
      <w:bookmarkEnd w:id="336"/>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7"/>
      <w:bookmarkEnd w:id="33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7,423,105.33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9,159,160.21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2,357,141.67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-1,197,999.24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9,780,247.00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7,961,160.97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8"/>
      <w:bookmarkEnd w:id="33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60,968,363.34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9,145,254.50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357,910.50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-2,216,316.94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2,493,398.94</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9,780,247.00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4" w:right="8855" w:firstLine="0"/>
        <w:jc w:val="left"/>
        <w:rPr>
          <w:rFonts w:ascii="宋体" w:hAnsi="宋体" w:cs="宋体" w:eastAsia="宋体" w:hint="default"/>
          <w:sz w:val="21"/>
          <w:szCs w:val="21"/>
        </w:rPr>
      </w:pPr>
      <w:bookmarkStart w:name="66、其他综合收益" w:id="339"/>
      <w:bookmarkEnd w:id="339"/>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40"/>
      <w:bookmarkEnd w:id="340"/>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41"/>
      <w:bookmarkEnd w:id="34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2,308,538.24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4,844,194.44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收回质保金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22,558,577.49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16,999,120.13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各项补助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714,600.05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1,043,099.81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25,581,715.78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22,886,414.38</w:t>
            </w:r>
          </w:p>
        </w:tc>
      </w:tr>
    </w:tbl>
    <w:p>
      <w:pPr>
        <w:pStyle w:val="BodyText"/>
        <w:spacing w:line="240" w:lineRule="auto" w:before="51"/>
        <w:ind w:right="0"/>
        <w:jc w:val="left"/>
      </w:pPr>
      <w:r>
        <w:rPr/>
        <w:t>收到的其他与经营活动有关的现金说明：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支付的其他与经营活动有关的现金" w:id="342"/>
      <w:bookmarkEnd w:id="34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其中：市场推广费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6,776,519.49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5,796,965.05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3,829,344.84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4,590,563.21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22,313,582.60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21,530,125.15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24,025,148.71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20,377,294.03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房租等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7,273,864.00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7,853,106.48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1,404,714.79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3,331,110.92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65,623,174.43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63,479,164.84</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43"/>
      <w:bookmarkEnd w:id="34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支付的其他与投资活动有关的现金" w:id="344"/>
      <w:bookmarkEnd w:id="34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收到的其他与筹资活动有关的现金" w:id="345"/>
      <w:bookmarkEnd w:id="34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支付的其他与筹资活动有关的现金" w:id="346"/>
      <w:bookmarkEnd w:id="34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8、现金流量表补充资料" w:id="347"/>
      <w:bookmarkEnd w:id="347"/>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8"/>
      <w:bookmarkEnd w:id="34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908"/>
        <w:gridCol w:w="1856"/>
        <w:gridCol w:w="1840"/>
      </w:tblGrid>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51,188,116.34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42,930,074.35</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2,614,080.70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4,403,010.87</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3,629,081.11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1,974,201.70</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1,424,796.54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876,506.11</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83,831.60</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-357.32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44,686.94</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358,605.22</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16,838,323.54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12,999,295.58</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2,227,377.09</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1,707,085.64</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2,357,141.67</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-1,197,999.24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5908"/>
        <w:gridCol w:w="1856"/>
        <w:gridCol w:w="1840"/>
      </w:tblGrid>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-108,556,697.46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-62,929,219.79</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44,478,496.25</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-144,474,273.25</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70,833,668.98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5,137,569.31</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87,476,464.26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-138,529,061.78</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255,923,403.94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341,409,880.20</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341,409,880.20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434,862,054.54</w:t>
            </w:r>
          </w:p>
        </w:tc>
      </w:tr>
      <w:tr>
        <w:trPr>
          <w:trHeight w:val="402" w:hRule="exact"/>
        </w:trPr>
        <w:tc>
          <w:tcPr>
            <w:tcW w:w="5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-85,486,476.26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-93,452,174.34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9"/>
      <w:bookmarkEnd w:id="34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收到的处置子公司的现金净额" w:id="350"/>
      <w:bookmarkEnd w:id="35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51"/>
      <w:bookmarkEnd w:id="35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255,923,403.94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3,849.38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5,237.46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254,674,389.61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336,952,363.94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1,245,164.95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4,452,278.80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255,923,403.94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所有者权益变动表项目注释" w:id="352"/>
      <w:bookmarkEnd w:id="352"/>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0、所有权或使用权受到限制的资产" w:id="353"/>
      <w:bookmarkEnd w:id="353"/>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2,334,401.49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2,334,401.49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71、外币货币性项目" w:id="354"/>
      <w:bookmarkEnd w:id="354"/>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5"/>
      <w:bookmarkEnd w:id="35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2）境外经营实体说明，包括对于重要的境外经营实体，应披露其境外主要经营地、记账" w:id="356"/>
      <w:bookmarkEnd w:id="35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套期" w:id="357"/>
      <w:bookmarkEnd w:id="357"/>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3、政府补助" w:id="358"/>
      <w:bookmarkEnd w:id="358"/>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59"/>
      <w:bookmarkEnd w:id="35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25"/>
        <w:gridCol w:w="1910"/>
        <w:gridCol w:w="1575"/>
        <w:gridCol w:w="1886"/>
      </w:tblGrid>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电子发展基金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360,000.00</w:t>
            </w: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中关村科技园区管理委员会上市支持资金补助</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326,300.00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326,300.00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60"/>
      <w:bookmarkEnd w:id="36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9222"/>
        <w:jc w:val="left"/>
      </w:pPr>
      <w:r>
        <w:rPr/>
        <w:t>□ 适用 √ 不适用 其他说明：</w:t>
      </w:r>
    </w:p>
    <w:p>
      <w:pPr>
        <w:spacing w:line="240" w:lineRule="auto" w:before="11"/>
        <w:rPr>
          <w:rFonts w:ascii="宋体" w:hAnsi="宋体" w:cs="宋体" w:eastAsia="宋体" w:hint="default"/>
          <w:sz w:val="19"/>
          <w:szCs w:val="19"/>
        </w:rPr>
      </w:pPr>
    </w:p>
    <w:p>
      <w:pPr>
        <w:spacing w:line="487" w:lineRule="auto" w:before="0"/>
        <w:ind w:left="114" w:right="8328" w:firstLine="0"/>
        <w:jc w:val="left"/>
        <w:rPr>
          <w:rFonts w:ascii="宋体" w:hAnsi="宋体" w:cs="宋体" w:eastAsia="宋体" w:hint="default"/>
          <w:sz w:val="21"/>
          <w:szCs w:val="21"/>
        </w:rPr>
      </w:pPr>
      <w:bookmarkStart w:name="74、其他" w:id="361"/>
      <w:bookmarkEnd w:id="361"/>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62"/>
      <w:bookmarkEnd w:id="36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63"/>
      <w:bookmarkEnd w:id="3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64"/>
      <w:bookmarkEnd w:id="36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合并成本及商誉" w:id="365"/>
      <w:bookmarkEnd w:id="36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被购买方于购买日可辨认资产、负债" w:id="366"/>
      <w:bookmarkEnd w:id="36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购买日之前持有的股权按照公允价值重新计量产生的利得或损失" w:id="367"/>
      <w:bookmarkEnd w:id="36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7"/>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5）购买日或合并当期期末无法合理确定合并对价或被购买方可辨认资产、负债公允价值" w:id="368"/>
      <w:bookmarkEnd w:id="36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69"/>
      <w:bookmarkEnd w:id="36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70"/>
      <w:bookmarkEnd w:id="37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反向购买" w:id="371"/>
      <w:bookmarkEnd w:id="37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处置子公司" w:id="372"/>
      <w:bookmarkEnd w:id="37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57" w:lineRule="auto" w:before="117"/>
        <w:ind w:right="4992"/>
        <w:jc w:val="left"/>
      </w:pPr>
      <w:r>
        <w:rPr/>
        <w:t>□ 是 √ 否 是否存在通过多次交易分步处置对子公司投资且在本期丧失控制权的情形</w:t>
      </w:r>
    </w:p>
    <w:p>
      <w:pPr>
        <w:pStyle w:val="BodyText"/>
        <w:spacing w:line="240" w:lineRule="auto" w:before="28"/>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373"/>
      <w:bookmarkEnd w:id="37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7692" w:firstLine="0"/>
        <w:jc w:val="left"/>
        <w:rPr>
          <w:rFonts w:ascii="宋体" w:hAnsi="宋体" w:cs="宋体" w:eastAsia="宋体" w:hint="default"/>
          <w:sz w:val="21"/>
          <w:szCs w:val="21"/>
        </w:rPr>
      </w:pPr>
      <w:bookmarkStart w:name="6、其他" w:id="374"/>
      <w:bookmarkEnd w:id="37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5"/>
      <w:bookmarkEnd w:id="37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6"/>
      <w:bookmarkEnd w:id="37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77"/>
      <w:bookmarkEnd w:id="37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9"/>
        <w:gridCol w:w="1367"/>
        <w:gridCol w:w="1128"/>
        <w:gridCol w:w="1062"/>
        <w:gridCol w:w="1091"/>
        <w:gridCol w:w="1021"/>
        <w:gridCol w:w="936"/>
      </w:tblGrid>
      <w:tr>
        <w:trPr>
          <w:trHeight w:val="402" w:hRule="exact"/>
        </w:trPr>
        <w:tc>
          <w:tcPr>
            <w:tcW w:w="2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93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3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行业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100.00%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行业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100.00%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78"/>
      <w:bookmarkEnd w:id="37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重要非全资子公司的主要财务信息" w:id="379"/>
      <w:bookmarkEnd w:id="37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使用企业集团资产和清偿企业集团债务的重大限制" w:id="380"/>
      <w:bookmarkEnd w:id="38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3"/>
        <w:spacing w:line="240" w:lineRule="auto" w:before="35"/>
        <w:ind w:right="0"/>
        <w:jc w:val="left"/>
        <w:rPr>
          <w:b w:val="0"/>
          <w:bCs w:val="0"/>
        </w:rPr>
      </w:pPr>
      <w:bookmarkStart w:name="（5）向纳入合并财务报表范围的结构化主体提供的财务支持或其他支持" w:id="381"/>
      <w:bookmarkEnd w:id="38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82"/>
      <w:bookmarkEnd w:id="38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383"/>
      <w:bookmarkEnd w:id="3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84"/>
      <w:bookmarkEnd w:id="3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33"/>
        <w:gridCol w:w="1217"/>
        <w:gridCol w:w="1050"/>
        <w:gridCol w:w="1218"/>
        <w:gridCol w:w="1036"/>
        <w:gridCol w:w="1121"/>
        <w:gridCol w:w="1493"/>
      </w:tblGrid>
      <w:tr>
        <w:trPr>
          <w:trHeight w:val="402" w:hRule="exact"/>
        </w:trPr>
        <w:tc>
          <w:tcPr>
            <w:tcW w:w="24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10"/>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2433"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9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共青城银汐投资管理合伙企 业（有限合伙）</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江西九江</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36.63%</w:t>
            </w:r>
          </w:p>
        </w:tc>
        <w:tc>
          <w:tcPr>
            <w:tcW w:w="112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8" w:right="0"/>
              <w:jc w:val="left"/>
              <w:rPr>
                <w:rFonts w:ascii="Times New Roman" w:hAnsi="Times New Roman" w:cs="Times New Roman" w:eastAsia="Times New Roman" w:hint="default"/>
                <w:sz w:val="18"/>
                <w:szCs w:val="18"/>
              </w:rPr>
            </w:pPr>
            <w:r>
              <w:rPr>
                <w:rFonts w:ascii="Times New Roman"/>
                <w:sz w:val="18"/>
              </w:rPr>
              <w:t>25.00%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6"/>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85"/>
      <w:bookmarkEnd w:id="38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重要联营企业的主要财务信息" w:id="386"/>
      <w:bookmarkEnd w:id="38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70"/>
        <w:gridCol w:w="1914"/>
        <w:gridCol w:w="1472"/>
        <w:gridCol w:w="1914"/>
        <w:gridCol w:w="1428"/>
      </w:tblGrid>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3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1" w:firstLine="38"/>
              <w:jc w:val="left"/>
              <w:rPr>
                <w:rFonts w:ascii="宋体" w:hAnsi="宋体" w:cs="宋体" w:eastAsia="宋体" w:hint="default"/>
                <w:sz w:val="18"/>
                <w:szCs w:val="18"/>
              </w:rPr>
            </w:pPr>
            <w:r>
              <w:rPr>
                <w:rFonts w:ascii="宋体" w:hAnsi="宋体" w:cs="宋体" w:eastAsia="宋体" w:hint="default"/>
                <w:sz w:val="18"/>
                <w:szCs w:val="18"/>
              </w:rPr>
              <w:t>共青城银汐投资管理 </w:t>
            </w:r>
            <w:r>
              <w:rPr>
                <w:rFonts w:ascii="宋体" w:hAnsi="宋体" w:cs="宋体" w:eastAsia="宋体" w:hint="default"/>
                <w:spacing w:val="-2"/>
                <w:sz w:val="18"/>
                <w:szCs w:val="18"/>
              </w:rPr>
              <w:t>合伙企业（有限合伙）</w:t>
            </w:r>
          </w:p>
        </w:tc>
        <w:tc>
          <w:tcPr>
            <w:tcW w:w="147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北京泛融科技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2" w:right="12" w:firstLine="38"/>
              <w:jc w:val="left"/>
              <w:rPr>
                <w:rFonts w:ascii="宋体" w:hAnsi="宋体" w:cs="宋体" w:eastAsia="宋体" w:hint="default"/>
                <w:sz w:val="18"/>
                <w:szCs w:val="18"/>
              </w:rPr>
            </w:pPr>
            <w:r>
              <w:rPr>
                <w:rFonts w:ascii="宋体" w:hAnsi="宋体" w:cs="宋体" w:eastAsia="宋体" w:hint="default"/>
                <w:sz w:val="18"/>
                <w:szCs w:val="18"/>
              </w:rPr>
              <w:t>共青城银汐投资管理 </w:t>
            </w:r>
            <w:r>
              <w:rPr>
                <w:rFonts w:ascii="宋体" w:hAnsi="宋体" w:cs="宋体" w:eastAsia="宋体" w:hint="default"/>
                <w:spacing w:val="-2"/>
                <w:sz w:val="18"/>
                <w:szCs w:val="18"/>
              </w:rPr>
              <w:t>合伙企业（有限合伙）</w:t>
            </w:r>
          </w:p>
        </w:tc>
        <w:tc>
          <w:tcPr>
            <w:tcW w:w="14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348" w:right="168" w:hanging="180"/>
              <w:jc w:val="left"/>
              <w:rPr>
                <w:rFonts w:ascii="宋体" w:hAnsi="宋体" w:cs="宋体" w:eastAsia="宋体" w:hint="default"/>
                <w:sz w:val="18"/>
                <w:szCs w:val="18"/>
              </w:rPr>
            </w:pPr>
            <w:r>
              <w:rPr>
                <w:rFonts w:ascii="宋体" w:hAnsi="宋体" w:cs="宋体" w:eastAsia="宋体" w:hint="default"/>
                <w:sz w:val="18"/>
                <w:szCs w:val="18"/>
              </w:rPr>
              <w:t>北京泛融科技 有限公司</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33,974,093.16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2,263,697.32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55,762,695.10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1,611,356.14</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164,471,910.04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6,810,868.51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165,797,880.34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4,018,167.68</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198,446,003.20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9,074,565.83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221,560,575.44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5,629,523.82</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5,370,935.60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13,250,640.00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280,282.25</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5,370,935.60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13,250,640.00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280,282.25</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198,441,003.20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3,703,630.23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208,309,935.44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5,349,241.57</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72,688,939.47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925,907.56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76,303,929.35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1,337,310.39</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14,652,100.00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6,459,754.30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18,315,100.00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6,459,754.31</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6,459,754.30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6,459,754.31</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14,652,100.00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18,315,100.00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87,341,039.47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7,385,661.86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94,619,029.35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7,797,064.70</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1,519,248.83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4,591,022.13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237,580.79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2,708,371.83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70"/>
        <w:gridCol w:w="1914"/>
        <w:gridCol w:w="1472"/>
        <w:gridCol w:w="1914"/>
        <w:gridCol w:w="1428"/>
      </w:tblGrid>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-4,765,454.88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-1,645,611.34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-4,004,180.88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-3,097,206.12</w:t>
            </w: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-15,103,477.36</w:t>
            </w:r>
          </w:p>
        </w:tc>
        <w:tc>
          <w:tcPr>
            <w:tcW w:w="147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-10,685,883.68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-19,868,932.24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-1,645,611.34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-14,690,064.56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-3,097,206.12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387"/>
      <w:bookmarkEnd w:id="38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5,929,611.87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-70,388.13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-70,388.13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388"/>
      <w:bookmarkEnd w:id="38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9"/>
      <w:bookmarkEnd w:id="38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与合营企业投资相关的未确认承诺" w:id="390"/>
      <w:bookmarkEnd w:id="39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1"/>
      <w:bookmarkEnd w:id="39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2"/>
      <w:bookmarkEnd w:id="39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393"/>
      <w:bookmarkEnd w:id="39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spacing w:line="477" w:lineRule="auto" w:before="0"/>
        <w:ind w:left="114" w:right="7692" w:firstLine="0"/>
        <w:jc w:val="left"/>
        <w:rPr>
          <w:rFonts w:ascii="宋体" w:hAnsi="宋体" w:cs="宋体" w:eastAsia="宋体" w:hint="default"/>
          <w:sz w:val="21"/>
          <w:szCs w:val="21"/>
        </w:rPr>
      </w:pPr>
      <w:bookmarkStart w:name="6、其他" w:id="394"/>
      <w:bookmarkEnd w:id="39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与金融工具相关的风险" w:id="395"/>
      <w:bookmarkEnd w:id="39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十、与金融工具相关的风险</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十一、公允价值的披露" w:id="396"/>
      <w:bookmarkEnd w:id="396"/>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十二、关联方及关联交易" w:id="397"/>
      <w:bookmarkEnd w:id="397"/>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17"/>
        <w:ind w:right="0"/>
        <w:jc w:val="left"/>
      </w:pPr>
      <w:r>
        <w:rPr/>
        <w:t>本企业的母公司情况的说明</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本公司无实际控制人。</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99"/>
      <w:bookmarkEnd w:id="39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00"/>
      <w:bookmarkEnd w:id="40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共青城银汐投资管理合伙企业（有限合伙）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01"/>
      <w:bookmarkEnd w:id="40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关联方情况" w:id="402"/>
      <w:bookmarkEnd w:id="40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038"/>
        <w:gridCol w:w="5556"/>
      </w:tblGrid>
      <w:tr>
        <w:trPr>
          <w:trHeight w:val="402" w:hRule="exact"/>
        </w:trPr>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83"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以上的自然人股东、董事、总经理</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以上的自然人股东、董事长</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本公司董事、副总经理、董事会秘书</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蔡瑾</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本公司监事会主席</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马明丽</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李显</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十二个月内曾任本公司董事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十二个月内曾任本公司独立董事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十二个月内曾任本公司独立董事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十二个月内曾任本公司监事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038"/>
        <w:gridCol w:w="5556"/>
      </w:tblGrid>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十二个月内曾任本公司监事</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北京银汉创业投资有限公司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以上股份的法人股东</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中关村兴业（北京）投资管理有限公司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银汉创投控股方</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西藏灿煊企业管理合伙企业（有限合伙）</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关联自然人（李铠）控制的企业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成都加华科技股份有限公司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关联自然人（李铠）控制的企业西藏灿煊持有其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r>
              <w:rPr>
                <w:rFonts w:ascii="宋体" w:hAnsi="宋体" w:cs="宋体" w:eastAsia="宋体" w:hint="default"/>
                <w:sz w:val="18"/>
                <w:szCs w:val="18"/>
              </w:rPr>
              <w:t>股权</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北京润峰天和科技有限公司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关联自然人（李铠配偶王黎）控制的企业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北京盛兰时代图文制作有限公司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关联自然人（李铠配偶王黎）持股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并担任监事的企业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北京奥利伊蕾科技有限责任公司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关联自然人（罗云波配偶赵寅鸿）持股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宋体" w:hAnsi="宋体" w:cs="宋体" w:eastAsia="宋体" w:hint="default"/>
                <w:sz w:val="18"/>
                <w:szCs w:val="18"/>
              </w:rPr>
              <w:t>并担任副董事长的企业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快连网络服务（上海）有限公司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关联自然人（单怀光）担任董事长的企业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北京中公教育科技股份有限公司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关联自然人（肖淑芳）担任独立董事的企业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北京华清飞扬网络股份有限公司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关联自然人（肖淑芳）担任独立董事的企业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北京信路威科技股份有限公司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关联自然人（肖淑芳）担任独立董事的企业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北京博电新力电气股份有限公司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关联自然人（肖淑芳）十二个月内曾担任独立董事的企业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关联自然人（苏文力）担任独立董事的企业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金生无忧信息技术有限责任公司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关联自然人（苏文力）担任董事的企业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r>
        <w:trPr>
          <w:trHeight w:val="40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关联自然人（肖红英）担任独立董事的企业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购销商品、提供和接受劳务的关联交易" w:id="403"/>
      <w:bookmarkEnd w:id="40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44"/>
        <w:gridCol w:w="1453"/>
        <w:gridCol w:w="1455"/>
        <w:gridCol w:w="1706"/>
        <w:gridCol w:w="1708"/>
        <w:gridCol w:w="1252"/>
      </w:tblGrid>
      <w:tr>
        <w:trPr>
          <w:trHeight w:val="401"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
              <w:jc w:val="center"/>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1,327,040.17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0" w:right="0"/>
              <w:jc w:val="left"/>
              <w:rPr>
                <w:rFonts w:ascii="Times New Roman" w:hAnsi="Times New Roman" w:cs="Times New Roman" w:eastAsia="Times New Roman" w:hint="default"/>
                <w:sz w:val="18"/>
                <w:szCs w:val="18"/>
              </w:rPr>
            </w:pPr>
            <w:r>
              <w:rPr>
                <w:rFonts w:ascii="Times New Roman"/>
                <w:sz w:val="18"/>
              </w:rPr>
              <w:t>6,000,000.00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
              <w:jc w:val="center"/>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643,965.52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关联受托管理/承包及委托管理/出包情况" w:id="404"/>
      <w:bookmarkEnd w:id="40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关联租赁情况" w:id="405"/>
      <w:bookmarkEnd w:id="40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关联担保情况" w:id="406"/>
      <w:bookmarkEnd w:id="40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9132"/>
        <w:jc w:val="left"/>
      </w:pPr>
      <w:r>
        <w:rPr/>
        <w:t>本公司作为担保方 本公司作为被担保方</w:t>
      </w:r>
    </w:p>
    <w:p>
      <w:pPr>
        <w:spacing w:after="0" w:line="36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70"/>
        <w:gridCol w:w="1605"/>
        <w:gridCol w:w="1722"/>
        <w:gridCol w:w="1716"/>
        <w:gridCol w:w="1116"/>
      </w:tblGrid>
      <w:tr>
        <w:trPr>
          <w:trHeight w:val="713" w:hRule="exact"/>
        </w:trPr>
        <w:tc>
          <w:tcPr>
            <w:tcW w:w="3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林鸿、李铠、朱胡勇、罗云波</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林鸿、罗云波、朱胡勇、吴文胜、李铠、 杨格平、庄云江</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林鸿、罗云波、朱胡勇、吴文胜、李铠、 杨格平、庄云江</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9,458,114.80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林鸿、罗云波、朱胡勇、吴文胜、李铠、 杨格平、庄云江</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9,352,391.30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林鸿、罗云波、朱胡勇、吴文胜、李铠、 杨格平、庄云江</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32,658,260.00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林鸿、崔静萱</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17,341,740.00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19,434,466.74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9,623,042.40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8,019,202.00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22,453,765.60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9,903,990.00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5,569,651.49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
              <w:jc w:val="left"/>
              <w:rPr>
                <w:rFonts w:ascii="宋体" w:hAnsi="宋体" w:cs="宋体" w:eastAsia="宋体" w:hint="default"/>
                <w:sz w:val="18"/>
                <w:szCs w:val="18"/>
              </w:rPr>
            </w:pPr>
            <w:r>
              <w:rPr>
                <w:rFonts w:ascii="宋体" w:hAnsi="宋体" w:cs="宋体" w:eastAsia="宋体" w:hint="default"/>
                <w:spacing w:val="-5"/>
                <w:sz w:val="18"/>
                <w:szCs w:val="18"/>
              </w:rPr>
              <w:t>庄云江、罗云波、林鸿、吴文胜、朱胡勇、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李铠、杨格平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05"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49,999,976.79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470"/>
        <w:gridCol w:w="1605"/>
        <w:gridCol w:w="1722"/>
        <w:gridCol w:w="1716"/>
        <w:gridCol w:w="1116"/>
      </w:tblGrid>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18,970,000.00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林鸿、李铠、朱胡勇、罗云波</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林鸿、李铠、罗云波、杨格平、朱胡勇、 庄云江、吴文胜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13,170,000.00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林鸿、李铠、朱胡勇、罗云波、庄云江、 杨格平、吴文胜</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721,307.19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6,104,360.28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7,634,194.76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07"/>
      <w:bookmarkEnd w:id="40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资产转让、债务重组情况" w:id="408"/>
      <w:bookmarkEnd w:id="40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键管理人员报酬" w:id="409"/>
      <w:bookmarkEnd w:id="40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4,534,638.00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4,881,272.00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10"/>
      <w:bookmarkEnd w:id="41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11"/>
      <w:bookmarkEnd w:id="41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12"/>
      <w:bookmarkEnd w:id="41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应付项目" w:id="413"/>
      <w:bookmarkEnd w:id="41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4" w:right="0"/>
              <w:jc w:val="left"/>
              <w:rPr>
                <w:rFonts w:ascii="Times New Roman" w:hAnsi="Times New Roman" w:cs="Times New Roman" w:eastAsia="Times New Roman" w:hint="default"/>
                <w:sz w:val="18"/>
                <w:szCs w:val="18"/>
              </w:rPr>
            </w:pPr>
            <w:r>
              <w:rPr>
                <w:rFonts w:ascii="Times New Roman"/>
                <w:sz w:val="18"/>
              </w:rPr>
              <w:t>1,006,696.70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8" w:right="0"/>
              <w:jc w:val="left"/>
              <w:rPr>
                <w:rFonts w:ascii="Times New Roman" w:hAnsi="Times New Roman" w:cs="Times New Roman" w:eastAsia="Times New Roman" w:hint="default"/>
                <w:sz w:val="18"/>
                <w:szCs w:val="18"/>
              </w:rPr>
            </w:pPr>
            <w:r>
              <w:rPr>
                <w:rFonts w:ascii="Times New Roman"/>
                <w:sz w:val="18"/>
              </w:rPr>
              <w:t>266,556.46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北京海同科技有限公司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162,269.42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428,825.88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1,006,696.70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14"/>
      <w:bookmarkEnd w:id="41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4" w:right="8750" w:firstLine="0"/>
        <w:jc w:val="left"/>
        <w:rPr>
          <w:rFonts w:ascii="宋体" w:hAnsi="宋体" w:cs="宋体" w:eastAsia="宋体" w:hint="default"/>
          <w:sz w:val="21"/>
          <w:szCs w:val="21"/>
        </w:rPr>
      </w:pPr>
      <w:bookmarkStart w:name="8、其他" w:id="415"/>
      <w:bookmarkEnd w:id="41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16"/>
      <w:bookmarkEnd w:id="41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17"/>
      <w:bookmarkEnd w:id="4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t>√ 适用 □ 不适用</w:t>
      </w:r>
    </w:p>
    <w:p>
      <w:pPr>
        <w:pStyle w:val="BodyText"/>
        <w:spacing w:line="240" w:lineRule="auto" w:before="11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1,167,000.00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行权价格为 </w:t>
            </w:r>
            <w:r>
              <w:rPr>
                <w:rFonts w:ascii="Times New Roman" w:hAnsi="Times New Roman" w:cs="Times New Roman" w:eastAsia="Times New Roman" w:hint="default"/>
                <w:sz w:val="18"/>
                <w:szCs w:val="18"/>
              </w:rPr>
              <w:t>11.19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股；合同剩余期限为 </w:t>
            </w:r>
            <w:r>
              <w:rPr>
                <w:rFonts w:ascii="Times New Roman" w:hAnsi="Times New Roman" w:cs="Times New Roman" w:eastAsia="Times New Roman" w:hint="default"/>
                <w:sz w:val="18"/>
                <w:szCs w:val="18"/>
              </w:rPr>
              <w:t>29 </w:t>
            </w:r>
            <w:r>
              <w:rPr>
                <w:rFonts w:ascii="宋体" w:hAnsi="宋体" w:cs="宋体" w:eastAsia="宋体" w:hint="default"/>
                <w:sz w:val="18"/>
                <w:szCs w:val="18"/>
              </w:rPr>
              <w:t>个月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18"/>
      <w:bookmarkEnd w:id="41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93"/>
        <w:gridCol w:w="5454"/>
      </w:tblGrid>
      <w:tr>
        <w:trPr>
          <w:trHeight w:val="1770" w:hRule="exact"/>
        </w:trPr>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号——股份支付》及《企业会计准则第</w:t>
            </w:r>
          </w:p>
          <w:p>
            <w:pPr>
              <w:pStyle w:val="TableParagraph"/>
              <w:spacing w:line="240" w:lineRule="auto" w:before="102"/>
              <w:ind w:left="103" w:right="0"/>
              <w:jc w:val="both"/>
              <w:rPr>
                <w:rFonts w:ascii="Times New Roman" w:hAnsi="Times New Roman" w:cs="Times New Roman" w:eastAsia="Times New Roman" w:hint="default"/>
                <w:sz w:val="18"/>
                <w:szCs w:val="18"/>
              </w:rPr>
            </w:pPr>
            <w:r>
              <w:rPr>
                <w:rFonts w:ascii="Times New Roman"/>
                <w:sz w:val="18"/>
              </w:rPr>
              <w:t>22</w:t>
            </w:r>
          </w:p>
          <w:p>
            <w:pPr>
              <w:pStyle w:val="TableParagraph"/>
              <w:spacing w:line="357" w:lineRule="auto" w:before="106"/>
              <w:ind w:left="103" w:right="101"/>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
                <w:sz w:val="18"/>
                <w:szCs w:val="18"/>
              </w:rPr>
              <w:t> </w:t>
            </w:r>
            <w:r>
              <w:rPr>
                <w:rFonts w:ascii="宋体" w:hAnsi="宋体" w:cs="宋体" w:eastAsia="宋体" w:hint="default"/>
                <w:spacing w:val="-3"/>
                <w:sz w:val="18"/>
                <w:szCs w:val="18"/>
              </w:rPr>
              <w:t>金融工具确认和计量》的相关规定，本次授予的限制性股票</w:t>
            </w:r>
            <w:r>
              <w:rPr>
                <w:rFonts w:ascii="宋体" w:hAnsi="宋体" w:cs="宋体" w:eastAsia="宋体" w:hint="default"/>
                <w:sz w:val="18"/>
                <w:szCs w:val="18"/>
              </w:rPr>
              <w:t> 的公允价值将基于授予日当天标的股票的收盘价与授予价格的差价 确定。</w:t>
            </w:r>
          </w:p>
        </w:tc>
      </w:tr>
      <w:tr>
        <w:trPr>
          <w:trHeight w:val="754" w:hRule="exact"/>
        </w:trPr>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根据每个考核年度业绩指标完成情况和可行权与可解锁人数变动等 后续信息进行确定。</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18,951,755.83</w:t>
            </w:r>
          </w:p>
        </w:tc>
      </w:tr>
      <w:tr>
        <w:trPr>
          <w:trHeight w:val="402" w:hRule="exact"/>
        </w:trPr>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5,893,025.83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19"/>
      <w:bookmarkEnd w:id="41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股份支付的修改、终止情况" w:id="420"/>
      <w:bookmarkEnd w:id="42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4" w:right="8052" w:firstLine="0"/>
        <w:jc w:val="left"/>
        <w:rPr>
          <w:rFonts w:ascii="宋体" w:hAnsi="宋体" w:cs="宋体" w:eastAsia="宋体" w:hint="default"/>
          <w:sz w:val="21"/>
          <w:szCs w:val="21"/>
        </w:rPr>
      </w:pPr>
      <w:bookmarkStart w:name="5、其他" w:id="421"/>
      <w:bookmarkEnd w:id="4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23"/>
      <w:bookmarkEnd w:id="42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spacing w:before="90"/>
        <w:ind w:left="11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或有事项" w:id="424"/>
      <w:bookmarkEnd w:id="42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25"/>
      <w:bookmarkEnd w:id="42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34" w:right="0"/>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日公司未结清保函金额为</w:t>
      </w:r>
      <w:r>
        <w:rPr>
          <w:rFonts w:ascii="宋体" w:hAnsi="宋体" w:cs="宋体" w:eastAsia="宋体" w:hint="default"/>
        </w:rPr>
        <w:t>8,153,831.46</w:t>
      </w:r>
      <w:r>
        <w:rPr/>
        <w:t>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26"/>
      <w:bookmarkEnd w:id="42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34" w:right="0"/>
        <w:jc w:val="left"/>
      </w:pPr>
      <w:r>
        <w:rPr/>
        <w:t>公司不存在需要披露的重要或有事项。</w:t>
      </w:r>
    </w:p>
    <w:p>
      <w:pPr>
        <w:spacing w:line="240" w:lineRule="auto" w:before="12"/>
        <w:rPr>
          <w:rFonts w:ascii="宋体" w:hAnsi="宋体" w:cs="宋体" w:eastAsia="宋体" w:hint="default"/>
          <w:sz w:val="26"/>
          <w:szCs w:val="26"/>
        </w:rPr>
      </w:pPr>
    </w:p>
    <w:p>
      <w:pPr>
        <w:spacing w:line="487" w:lineRule="auto" w:before="0"/>
        <w:ind w:left="114" w:right="7692" w:firstLine="0"/>
        <w:jc w:val="left"/>
        <w:rPr>
          <w:rFonts w:ascii="宋体" w:hAnsi="宋体" w:cs="宋体" w:eastAsia="宋体" w:hint="default"/>
          <w:sz w:val="21"/>
          <w:szCs w:val="21"/>
        </w:rPr>
      </w:pPr>
      <w:bookmarkStart w:name="3、其他" w:id="427"/>
      <w:bookmarkEnd w:id="4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28"/>
      <w:bookmarkEnd w:id="42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29"/>
      <w:bookmarkEnd w:id="42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0"/>
        <w:jc w:val="left"/>
        <w:rPr>
          <w:b w:val="0"/>
          <w:bCs w:val="0"/>
        </w:rPr>
      </w:pPr>
      <w:bookmarkStart w:name="2、利润分配情况" w:id="430"/>
      <w:bookmarkEnd w:id="43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销售退回" w:id="431"/>
      <w:bookmarkEnd w:id="43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32"/>
      <w:bookmarkEnd w:id="43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433"/>
      <w:bookmarkEnd w:id="43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34"/>
      <w:bookmarkEnd w:id="43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435"/>
      <w:bookmarkEnd w:id="43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36"/>
      <w:bookmarkEnd w:id="436"/>
      <w:r>
        <w:rPr>
          <w:b w:val="0"/>
          <w:bCs w:val="0"/>
        </w:rPr>
      </w:r>
      <w:r>
        <w:rPr>
          <w:rFonts w:ascii="Times New Roman" w:hAnsi="Times New Roman" w:cs="Times New Roman" w:eastAsia="Times New Roman" w:hint="default"/>
        </w:rPr>
        <w:t>3</w:t>
      </w:r>
      <w:r>
        <w:rPr/>
        <w:t>、资产置换</w:t>
      </w:r>
      <w:r>
        <w:rPr>
          <w:b w:val="0"/>
          <w:bCs w:val="0"/>
        </w:rPr>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b/>
          <w:bCs/>
          <w:sz w:val="21"/>
          <w:szCs w:val="21"/>
        </w:rPr>
      </w:pPr>
    </w:p>
    <w:p>
      <w:pPr>
        <w:pStyle w:val="Heading3"/>
        <w:spacing w:line="240" w:lineRule="auto" w:before="35"/>
        <w:ind w:right="0"/>
        <w:jc w:val="left"/>
        <w:rPr>
          <w:b w:val="0"/>
          <w:bCs w:val="0"/>
        </w:rPr>
      </w:pPr>
      <w:bookmarkStart w:name="4、年金计划" w:id="437"/>
      <w:bookmarkEnd w:id="43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38"/>
      <w:bookmarkEnd w:id="43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39"/>
      <w:bookmarkEnd w:id="43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40"/>
      <w:bookmarkEnd w:id="44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6972" w:firstLine="0"/>
        <w:jc w:val="left"/>
        <w:rPr>
          <w:rFonts w:ascii="宋体" w:hAnsi="宋体" w:cs="宋体" w:eastAsia="宋体" w:hint="default"/>
          <w:sz w:val="21"/>
          <w:szCs w:val="21"/>
        </w:rPr>
      </w:pPr>
      <w:bookmarkStart w:name="8、其他" w:id="441"/>
      <w:bookmarkEnd w:id="4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43"/>
      <w:bookmarkEnd w:id="44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466,295,722.55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467,825,243.85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522,726,049.65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44"/>
      <w:bookmarkEnd w:id="44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1,529,521.30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期末公司因出票人未履约而将其转应收账款的票据" w:id="445"/>
      <w:bookmarkEnd w:id="44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2）应收账款" w:id="446"/>
      <w:bookmarkEnd w:id="44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475,54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7,090.2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99.52</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9,251,3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466,29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5,722.5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571.43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522,726,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049.65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477,85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6,156.8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11,560,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466,29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5,722.5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532,9</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571.43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522,726,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049.65</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404,245,154.72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4,042,451.55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55,538,282.89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2,776,914.14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12,712,183.10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1,271,218.31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1,984,755.42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595,426.63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1,002,714.10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501,357.05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63,999.99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475,547,090.22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9,251,367.67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2"/>
        <w:ind w:right="0"/>
        <w:jc w:val="left"/>
      </w:pPr>
      <w:r>
        <w:rPr/>
        <w:t>本期计提坏账准备金额</w:t>
      </w:r>
      <w:r>
        <w:rPr>
          <w:spacing w:val="-47"/>
        </w:rPr>
        <w:t> </w:t>
      </w:r>
      <w:r>
        <w:rPr>
          <w:rFonts w:ascii="Times New Roman" w:hAnsi="Times New Roman" w:cs="Times New Roman" w:eastAsia="Times New Roman" w:hint="default"/>
        </w:rPr>
        <w:t>2,549,584.28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1020" w:right="0"/>
        </w:sectPr>
      </w:pPr>
    </w:p>
    <w:p>
      <w:pPr>
        <w:pStyle w:val="BodyText"/>
        <w:spacing w:line="240" w:lineRule="auto" w:before="44"/>
        <w:ind w:right="-20"/>
        <w:jc w:val="left"/>
      </w:pPr>
      <w:r>
        <w:rPr/>
        <w:t>其中本期坏账准备收回或转回金额重要的：</w:t>
      </w:r>
    </w:p>
    <w:p>
      <w:pPr>
        <w:pStyle w:val="BodyText"/>
        <w:spacing w:line="240" w:lineRule="auto" w:before="116"/>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3535" w:space="529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1,212,721.40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1,212,721.40</w:t>
            </w:r>
          </w:p>
        </w:tc>
      </w:tr>
    </w:tbl>
    <w:p>
      <w:pPr>
        <w:pStyle w:val="BodyText"/>
        <w:spacing w:line="360" w:lineRule="auto" w:before="51"/>
        <w:ind w:right="8232"/>
        <w:jc w:val="left"/>
      </w:pPr>
      <w:r>
        <w:rPr/>
        <w:t>其中重要的应收账款核销情况： 应收账款核销说明：</w:t>
      </w:r>
    </w:p>
    <w:p>
      <w:pPr>
        <w:pStyle w:val="BodyText"/>
        <w:spacing w:line="240" w:lineRule="auto" w:before="25"/>
        <w:ind w:right="0"/>
        <w:jc w:val="left"/>
      </w:pPr>
      <w:r>
        <w:rPr/>
        <w:t>公司核销的应收账款为三年以上账龄，经核实确实无法收回，经业务经理及总经理审核后进行核销。</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12"/>
          <w:szCs w:val="12"/>
        </w:rPr>
      </w:pPr>
    </w:p>
    <w:p>
      <w:pPr>
        <w:spacing w:line="780" w:lineRule="exact"/>
        <w:ind w:left="114"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6065676" cy="49530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5" cstate="print"/>
                    <a:stretch>
                      <a:fillRect/>
                    </a:stretch>
                  </pic:blipFill>
                  <pic:spPr>
                    <a:xfrm>
                      <a:off x="0" y="0"/>
                      <a:ext cx="6065676" cy="495300"/>
                    </a:xfrm>
                    <a:prstGeom prst="rect">
                      <a:avLst/>
                    </a:prstGeom>
                  </pic:spPr>
                </pic:pic>
              </a:graphicData>
            </a:graphic>
          </wp:inline>
        </w:drawing>
      </w:r>
      <w:r>
        <w:rPr>
          <w:rFonts w:ascii="宋体" w:hAnsi="宋体" w:cs="宋体" w:eastAsia="宋体" w:hint="default"/>
          <w:position w:val="-15"/>
          <w:sz w:val="20"/>
          <w:szCs w:val="20"/>
        </w:rPr>
      </w:r>
    </w:p>
    <w:p>
      <w:pPr>
        <w:pStyle w:val="BodyText"/>
        <w:spacing w:line="240" w:lineRule="auto" w:before="129"/>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其他应收款" w:id="447"/>
      <w:bookmarkEnd w:id="4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609,095.89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83,050,206.15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76,316,788.06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83,050,206.15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76,925,883.95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48"/>
      <w:bookmarkEnd w:id="44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609,095.89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609,095.89</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收股利" w:id="449"/>
      <w:bookmarkEnd w:id="44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其他应收款" w:id="450"/>
      <w:bookmarkEnd w:id="45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83,538,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745.95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488,53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83,050,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206.15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76,74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2,730</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425,942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76,316,7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88.06</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83,538,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745.95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488,53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83,050,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206.15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76,74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2,730</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425,942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76,316,7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88.06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10,864,394.90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108,643.95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1,853,765.09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92,688.25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464,950.96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46,495.10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13,425,485.95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488,539.80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pStyle w:val="BodyText"/>
        <w:spacing w:line="240" w:lineRule="auto" w:before="116"/>
        <w:ind w:right="0"/>
        <w:jc w:val="left"/>
      </w:pPr>
      <w:r>
        <w:rPr>
          <w:rFonts w:ascii="Times New Roman" w:hAnsi="Times New Roman" w:cs="Times New Roman" w:eastAsia="Times New Roman" w:hint="default"/>
        </w:rPr>
        <w:t>2)</w:t>
      </w:r>
      <w:r>
        <w:rPr/>
        <w:t>本期计提、收回或转回的坏账准备情况</w:t>
      </w:r>
    </w:p>
    <w:p>
      <w:pPr>
        <w:pStyle w:val="BodyText"/>
        <w:spacing w:line="348" w:lineRule="auto" w:before="104"/>
        <w:ind w:right="4682"/>
        <w:jc w:val="left"/>
      </w:pPr>
      <w:r>
        <w:rPr/>
        <w:t>本期计提坏账准备金额</w:t>
      </w:r>
      <w:r>
        <w:rPr>
          <w:spacing w:val="-46"/>
        </w:rPr>
        <w:t> </w:t>
      </w:r>
      <w:r>
        <w:rPr>
          <w:rFonts w:ascii="Times New Roman" w:hAnsi="Times New Roman" w:cs="Times New Roman" w:eastAsia="Times New Roman" w:hint="default"/>
        </w:rPr>
        <w:t>62,597.61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 </w:t>
      </w:r>
      <w:r>
        <w:rPr>
          <w:rFonts w:ascii="Times New Roman" w:hAnsi="Times New Roman" w:cs="Times New Roman" w:eastAsia="Times New Roman" w:hint="default"/>
        </w:rPr>
        <w:t>3)</w:t>
      </w:r>
      <w:r>
        <w:rPr/>
        <w:t>本期实际核销的其他应收款情况</w:t>
      </w:r>
    </w:p>
    <w:p>
      <w:pPr>
        <w:pStyle w:val="BodyText"/>
        <w:spacing w:line="240" w:lineRule="auto" w:before="14"/>
        <w:ind w:right="0"/>
        <w:jc w:val="left"/>
      </w:pPr>
      <w:r>
        <w:rPr>
          <w:rFonts w:ascii="Times New Roman" w:hAnsi="Times New Roman" w:cs="Times New Roman" w:eastAsia="Times New Roman" w:hint="default"/>
        </w:rPr>
        <w:t>4)</w:t>
      </w:r>
      <w:r>
        <w:rPr/>
        <w:t>其他应收款按款项性质分类情况</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70,113,260.00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64,113,260.00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12,134,068.36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11,211,817.62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977,526.05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920,114.17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313,891.54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497,538.46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83,538,745.95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76,742,730.25</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82"/>
        <w:gridCol w:w="1387"/>
        <w:gridCol w:w="1552"/>
        <w:gridCol w:w="1907"/>
        <w:gridCol w:w="1895"/>
        <w:gridCol w:w="1376"/>
      </w:tblGrid>
      <w:tr>
        <w:trPr>
          <w:trHeight w:val="714"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2" w:right="131"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3" w:right="14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1066"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70,113,260.00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64,111,020</w:t>
            </w:r>
            <w:r>
              <w:rPr>
                <w:rFonts w:ascii="宋体" w:hAnsi="宋体" w:cs="宋体" w:eastAsia="宋体" w:hint="default"/>
                <w:sz w:val="18"/>
                <w:szCs w:val="18"/>
              </w:rPr>
              <w:t>；</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2,399,800.00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23,998.00</w:t>
            </w:r>
          </w:p>
        </w:tc>
      </w:tr>
      <w:tr>
        <w:trPr>
          <w:trHeight w:val="714"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1,690,300.00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1,690,000</w:t>
            </w:r>
            <w:r>
              <w:rPr>
                <w:rFonts w:ascii="宋体" w:hAnsi="宋体" w:cs="宋体" w:eastAsia="宋体" w:hint="default"/>
                <w:sz w:val="18"/>
                <w:szCs w:val="18"/>
              </w:rPr>
              <w:t>；</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16,915.00</w:t>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847,602.50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42,380.13</w:t>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0.96%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75,850,962.50</w:t>
            </w: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90.80%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91,293.13</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0"/>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2"/>
        <w:ind w:right="0"/>
        <w:jc w:val="left"/>
      </w:pPr>
      <w:r>
        <w:rPr>
          <w:rFonts w:ascii="Times New Roman" w:hAnsi="Times New Roman" w:cs="Times New Roman" w:eastAsia="Times New Roman" w:hint="default"/>
        </w:rPr>
        <w:t>8)</w:t>
      </w:r>
      <w:r>
        <w:rPr/>
        <w:t>转移其他应收款且继续涉入形成的资产、负债金额</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长期股权投资" w:id="451"/>
      <w:bookmarkEnd w:id="4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452"/>
      <w:bookmarkEnd w:id="4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6"/>
        <w:gridCol w:w="1275"/>
        <w:gridCol w:w="1145"/>
        <w:gridCol w:w="1122"/>
        <w:gridCol w:w="1274"/>
        <w:gridCol w:w="1026"/>
        <w:gridCol w:w="1051"/>
      </w:tblGrid>
      <w:tr>
        <w:trPr>
          <w:trHeight w:val="714" w:hRule="exact"/>
        </w:trPr>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7" w:right="14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0" w:right="158"/>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50,000,000.00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50,000,000.00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10,000,000.00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10,000,000.00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60,000,000.00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60,000,000.00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53"/>
      <w:bookmarkEnd w:id="45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说明" w:id="454"/>
      <w:bookmarkEnd w:id="45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55"/>
      <w:bookmarkEnd w:id="4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1,169,716,001.27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1,011,748,900.74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824,976,926.13</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1,390,348,474.90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1,169,716,001.27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1,011,748,900.74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824,976,926.13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56"/>
      <w:bookmarkEnd w:id="4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57"/>
      <w:bookmarkEnd w:id="457"/>
      <w:r>
        <w:rPr>
          <w:b w:val="0"/>
          <w:bCs w:val="0"/>
        </w:rPr>
      </w:r>
      <w:r>
        <w:rPr>
          <w:rFonts w:ascii="Times New Roman" w:hAnsi="Times New Roman" w:cs="Times New Roman" w:eastAsia="Times New Roman" w:hint="default"/>
        </w:rPr>
        <w:t>6</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十八、补充资料" w:id="458"/>
      <w:bookmarkEnd w:id="45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59"/>
      <w:bookmarkEnd w:id="4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404"/>
        <w:gridCol w:w="1621"/>
        <w:gridCol w:w="3460"/>
      </w:tblGrid>
      <w:tr>
        <w:trPr>
          <w:trHeight w:val="397"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-358,962.54</w:t>
            </w:r>
            <w:r>
              <w:rPr>
                <w:rFonts w:ascii="Times New Roman"/>
                <w:sz w:val="18"/>
              </w:rPr>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714"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326,300.00</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中关村管委会上市支持资金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23,859.48</w:t>
            </w:r>
          </w:p>
        </w:tc>
        <w:tc>
          <w:tcPr>
            <w:tcW w:w="3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-1,320.46</w:t>
            </w:r>
            <w:r>
              <w:rPr>
                <w:rFonts w:ascii="Times New Roman"/>
                <w:sz w:val="18"/>
              </w:rPr>
            </w:r>
          </w:p>
        </w:tc>
        <w:tc>
          <w:tcPr>
            <w:tcW w:w="3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-7,482.60</w:t>
            </w:r>
            <w:r>
              <w:rPr>
                <w:rFonts w:ascii="Times New Roman"/>
                <w:sz w:val="18"/>
              </w:rPr>
            </w:r>
          </w:p>
        </w:tc>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60"/>
      <w:bookmarkEnd w:id="4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08"/>
        <w:gridCol w:w="2222"/>
        <w:gridCol w:w="1913"/>
        <w:gridCol w:w="1914"/>
      </w:tblGrid>
      <w:tr>
        <w:trPr>
          <w:trHeight w:val="402" w:hRule="exact"/>
        </w:trPr>
        <w:tc>
          <w:tcPr>
            <w:tcW w:w="35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08" w:type="dxa"/>
            <w:vMerge/>
            <w:tcBorders>
              <w:left w:val="single" w:sz="4" w:space="0" w:color="000000"/>
              <w:bottom w:val="single" w:sz="4" w:space="0" w:color="000000"/>
              <w:right w:val="single" w:sz="4" w:space="0" w:color="000000"/>
            </w:tcBorders>
            <w:shd w:val="clear" w:color="auto" w:fill="D2D2D2"/>
          </w:tcPr>
          <w:p>
            <w:pPr/>
          </w:p>
        </w:tc>
        <w:tc>
          <w:tcPr>
            <w:tcW w:w="222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61"/>
      <w:bookmarkEnd w:id="4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62"/>
      <w:bookmarkEnd w:id="4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63"/>
      <w:bookmarkEnd w:id="4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64"/>
      <w:bookmarkEnd w:id="4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65"/>
      <w:bookmarkEnd w:id="46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6" w:right="0"/>
        <w:jc w:val="left"/>
        <w:rPr>
          <w:b w:val="0"/>
          <w:bCs w:val="0"/>
        </w:rPr>
      </w:pPr>
      <w:bookmarkStart w:name="第十二节 备查文件目录" w:id="466"/>
      <w:bookmarkEnd w:id="466"/>
      <w:r>
        <w:rPr>
          <w:b w:val="0"/>
          <w:bCs w:val="0"/>
        </w:rPr>
      </w:r>
      <w:bookmarkStart w:name="_bookmark11" w:id="467"/>
      <w:bookmarkEnd w:id="467"/>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3732"/>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w:t>
      </w:r>
      <w:r>
        <w:rPr>
          <w:rFonts w:ascii="宋体" w:hAnsi="宋体" w:cs="宋体" w:eastAsia="宋体" w:hint="default"/>
        </w:rPr>
        <w:t>2018</w:t>
      </w:r>
      <w:r>
        <w:rPr/>
        <w:t>年度报告原文件；</w:t>
      </w:r>
    </w:p>
    <w:p>
      <w:pPr>
        <w:pStyle w:val="BodyText"/>
        <w:spacing w:line="316" w:lineRule="auto" w:before="17"/>
        <w:ind w:right="6972"/>
        <w:jc w:val="left"/>
      </w:pPr>
      <w:r>
        <w:rPr/>
        <w:t>五、其他备查文件。 以上备查文件的备置地点：公司董事会办公室。</w:t>
      </w:r>
    </w:p>
    <w:p>
      <w:pPr>
        <w:spacing w:after="0" w:line="316" w:lineRule="auto"/>
        <w:jc w:val="left"/>
        <w:sectPr>
          <w:pgSz w:w="11910" w:h="16840"/>
          <w:pgMar w:header="907" w:footer="1019" w:top="1100" w:bottom="1200" w:left="1020" w:right="0"/>
        </w:sectPr>
      </w:pPr>
    </w:p>
    <w:p>
      <w:pPr>
        <w:spacing w:line="240" w:lineRule="auto" w:before="8"/>
        <w:rPr>
          <w:rFonts w:ascii="Times New Roman" w:hAnsi="Times New Roman" w:cs="Times New Roman" w:eastAsia="Times New Roman" w:hint="default"/>
          <w:sz w:val="7"/>
          <w:szCs w:val="7"/>
        </w:rPr>
      </w:pPr>
    </w:p>
    <w:p>
      <w:pPr>
        <w:spacing w:line="182" w:lineRule="exact"/>
        <w:ind w:left="114" w:right="0" w:firstLine="0"/>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drawing>
          <wp:inline distT="0" distB="0" distL="0" distR="0">
            <wp:extent cx="2657320" cy="115824"/>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8" cstate="print"/>
                    <a:stretch>
                      <a:fillRect/>
                    </a:stretch>
                  </pic:blipFill>
                  <pic:spPr>
                    <a:xfrm>
                      <a:off x="0" y="0"/>
                      <a:ext cx="2657320" cy="115824"/>
                    </a:xfrm>
                    <a:prstGeom prst="rect">
                      <a:avLst/>
                    </a:prstGeom>
                  </pic:spPr>
                </pic:pic>
              </a:graphicData>
            </a:graphic>
          </wp:inline>
        </w:drawing>
      </w:r>
      <w:r>
        <w:rPr>
          <w:rFonts w:ascii="Times New Roman" w:hAnsi="Times New Roman" w:cs="Times New Roman" w:eastAsia="Times New Roman" w:hint="default"/>
          <w:position w:val="-3"/>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182" w:lineRule="exact"/>
        <w:ind w:left="200" w:right="0" w:firstLine="0"/>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drawing>
          <wp:inline distT="0" distB="0" distL="0" distR="0">
            <wp:extent cx="3848848" cy="115824"/>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9" cstate="print"/>
                    <a:stretch>
                      <a:fillRect/>
                    </a:stretch>
                  </pic:blipFill>
                  <pic:spPr>
                    <a:xfrm>
                      <a:off x="0" y="0"/>
                      <a:ext cx="3848848" cy="115824"/>
                    </a:xfrm>
                    <a:prstGeom prst="rect">
                      <a:avLst/>
                    </a:prstGeom>
                  </pic:spPr>
                </pic:pic>
              </a:graphicData>
            </a:graphic>
          </wp:inline>
        </w:drawing>
      </w:r>
      <w:r>
        <w:rPr>
          <w:rFonts w:ascii="Times New Roman" w:hAnsi="Times New Roman" w:cs="Times New Roman" w:eastAsia="Times New Roman" w:hint="default"/>
          <w:position w:val="-3"/>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576" w:lineRule="exact"/>
        <w:ind w:left="17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92.65pt;height:28.8pt;mso-position-horizontal-relative:char;mso-position-vertical-relative:line" coordorigin="0,0" coordsize="1853,576">
            <v:group style="position:absolute;left:7;top:569;width:1839;height:2" coordorigin="7,569" coordsize="1839,2">
              <v:shape style="position:absolute;left:7;top:569;width:1839;height:2" coordorigin="7,569" coordsize="1839,0" path="m7,569l1845,569e" filled="false" stroked="true" strokeweight=".72pt" strokecolor="#3b3f44">
                <v:path arrowok="t"/>
              </v:shape>
              <v:shape style="position:absolute;left:1644;top:0;width:192;height:562" type="#_x0000_t75" stroked="false">
                <v:imagedata r:id="rId30" o:title=""/>
              </v:shape>
              <v:shape style="position:absolute;left:430;top:86;width:753;height:437" type="#_x0000_t75" stroked="false">
                <v:imagedata r:id="rId31" o:title=""/>
              </v:shape>
            </v:group>
          </v:group>
        </w:pict>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7571" w:val="left" w:leader="none"/>
          <w:tab w:pos="8507" w:val="left" w:leader="none"/>
        </w:tabs>
        <w:spacing w:line="710" w:lineRule="exact"/>
        <w:ind w:left="6808" w:right="0" w:firstLine="0"/>
        <w:rPr>
          <w:rFonts w:ascii="Times New Roman" w:hAnsi="Times New Roman" w:cs="Times New Roman" w:eastAsia="Times New Roman" w:hint="default"/>
          <w:sz w:val="20"/>
          <w:szCs w:val="20"/>
        </w:rPr>
      </w:pPr>
      <w:r>
        <w:rPr>
          <w:rFonts w:ascii="Times New Roman"/>
          <w:position w:val="-6"/>
          <w:sz w:val="20"/>
        </w:rPr>
        <w:drawing>
          <wp:inline distT="0" distB="0" distL="0" distR="0">
            <wp:extent cx="198080" cy="225551"/>
            <wp:effectExtent l="0" t="0" r="0" b="0"/>
            <wp:docPr id="25" name="image16.jpeg" descr=""/>
            <wp:cNvGraphicFramePr>
              <a:graphicFrameLocks noChangeAspect="1"/>
            </wp:cNvGraphicFramePr>
            <a:graphic>
              <a:graphicData uri="http://schemas.openxmlformats.org/drawingml/2006/picture">
                <pic:pic>
                  <pic:nvPicPr>
                    <pic:cNvPr id="26" name="image16.jpeg"/>
                    <pic:cNvPicPr/>
                  </pic:nvPicPr>
                  <pic:blipFill>
                    <a:blip r:embed="rId32" cstate="print"/>
                    <a:stretch>
                      <a:fillRect/>
                    </a:stretch>
                  </pic:blipFill>
                  <pic:spPr>
                    <a:xfrm>
                      <a:off x="0" y="0"/>
                      <a:ext cx="198080" cy="225551"/>
                    </a:xfrm>
                    <a:prstGeom prst="rect">
                      <a:avLst/>
                    </a:prstGeom>
                  </pic:spPr>
                </pic:pic>
              </a:graphicData>
            </a:graphic>
          </wp:inline>
        </w:drawing>
      </w:r>
      <w:r>
        <w:rPr>
          <w:rFonts w:ascii="Times New Roman"/>
          <w:position w:val="-6"/>
          <w:sz w:val="20"/>
        </w:rPr>
      </w:r>
      <w:r>
        <w:rPr>
          <w:rFonts w:ascii="Times New Roman"/>
          <w:position w:val="-6"/>
          <w:sz w:val="20"/>
        </w:rPr>
        <w:tab/>
      </w:r>
      <w:r>
        <w:rPr>
          <w:rFonts w:ascii="Times New Roman"/>
          <w:position w:val="-12"/>
          <w:sz w:val="20"/>
        </w:rPr>
        <w:drawing>
          <wp:inline distT="0" distB="0" distL="0" distR="0">
            <wp:extent cx="219411" cy="225551"/>
            <wp:effectExtent l="0" t="0" r="0" b="0"/>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33" cstate="print"/>
                    <a:stretch>
                      <a:fillRect/>
                    </a:stretch>
                  </pic:blipFill>
                  <pic:spPr>
                    <a:xfrm>
                      <a:off x="0" y="0"/>
                      <a:ext cx="219411" cy="225551"/>
                    </a:xfrm>
                    <a:prstGeom prst="rect">
                      <a:avLst/>
                    </a:prstGeom>
                  </pic:spPr>
                </pic:pic>
              </a:graphicData>
            </a:graphic>
          </wp:inline>
        </w:drawing>
      </w:r>
      <w:r>
        <w:rPr>
          <w:rFonts w:ascii="Times New Roman"/>
          <w:position w:val="-12"/>
          <w:sz w:val="20"/>
        </w:rPr>
      </w:r>
      <w:r>
        <w:rPr>
          <w:rFonts w:ascii="Times New Roman"/>
          <w:position w:val="-12"/>
          <w:sz w:val="20"/>
        </w:rPr>
        <w:tab/>
      </w:r>
      <w:r>
        <w:rPr>
          <w:rFonts w:ascii="Times New Roman"/>
          <w:position w:val="-13"/>
          <w:sz w:val="20"/>
        </w:rPr>
        <w:drawing>
          <wp:inline distT="0" distB="0" distL="0" distR="0">
            <wp:extent cx="365686" cy="451103"/>
            <wp:effectExtent l="0" t="0" r="0" b="0"/>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34" cstate="print"/>
                    <a:stretch>
                      <a:fillRect/>
                    </a:stretch>
                  </pic:blipFill>
                  <pic:spPr>
                    <a:xfrm>
                      <a:off x="0" y="0"/>
                      <a:ext cx="365686" cy="451103"/>
                    </a:xfrm>
                    <a:prstGeom prst="rect">
                      <a:avLst/>
                    </a:prstGeom>
                  </pic:spPr>
                </pic:pic>
              </a:graphicData>
            </a:graphic>
          </wp:inline>
        </w:drawing>
      </w:r>
      <w:r>
        <w:rPr>
          <w:rFonts w:ascii="Times New Roman"/>
          <w:position w:val="-13"/>
          <w:sz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spacing w:line="513" w:lineRule="exact"/>
        <w:ind w:left="82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323022" cy="326136"/>
            <wp:effectExtent l="0" t="0" r="0" b="0"/>
            <wp:docPr id="31" name="image19.jpeg" descr=""/>
            <wp:cNvGraphicFramePr>
              <a:graphicFrameLocks noChangeAspect="1"/>
            </wp:cNvGraphicFramePr>
            <a:graphic>
              <a:graphicData uri="http://schemas.openxmlformats.org/drawingml/2006/picture">
                <pic:pic>
                  <pic:nvPicPr>
                    <pic:cNvPr id="32" name="image19.jpeg"/>
                    <pic:cNvPicPr/>
                  </pic:nvPicPr>
                  <pic:blipFill>
                    <a:blip r:embed="rId35" cstate="print"/>
                    <a:stretch>
                      <a:fillRect/>
                    </a:stretch>
                  </pic:blipFill>
                  <pic:spPr>
                    <a:xfrm>
                      <a:off x="0" y="0"/>
                      <a:ext cx="323022" cy="326136"/>
                    </a:xfrm>
                    <a:prstGeom prst="rect">
                      <a:avLst/>
                    </a:prstGeom>
                  </pic:spPr>
                </pic:pic>
              </a:graphicData>
            </a:graphic>
          </wp:inline>
        </w:drawing>
      </w:r>
      <w:r>
        <w:rPr>
          <w:rFonts w:ascii="Times New Roman" w:hAnsi="Times New Roman" w:cs="Times New Roman" w:eastAsia="Times New Roman" w:hint="default"/>
          <w:position w:val="-9"/>
          <w:sz w:val="20"/>
          <w:szCs w:val="20"/>
        </w:rPr>
      </w:r>
    </w:p>
    <w:sectPr>
      <w:headerReference w:type="default" r:id="rId26"/>
      <w:footerReference w:type="default" r:id="rId27"/>
      <w:pgSz w:w="11910" w:h="16840"/>
      <w:pgMar w:header="0" w:footer="999" w:top="800" w:bottom="11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4656" type="#_x0000_t75" stroked="false">
          <v:imagedata r:id="rId1" o:title=""/>
        </v:shape>
      </w:pict>
    </w:r>
    <w:r>
      <w:rPr/>
      <w:pict>
        <v:shape style="position:absolute;margin-left:55.700001pt;margin-top:793.5979pt;width:6.5pt;height:11pt;mso-position-horizontal-relative:page;mso-position-vertical-relative:page;z-index:-7046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4608" type="#_x0000_t75" stroked="false">
          <v:imagedata r:id="rId1" o:title=""/>
        </v:shape>
      </w:pict>
    </w:r>
    <w:r>
      <w:rPr/>
      <w:pict>
        <v:shape style="position:absolute;margin-left:54.700001pt;margin-top:779.977905pt;width:13pt;height:11pt;mso-position-horizontal-relative:page;mso-position-vertical-relative:page;z-index:-7045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4464" type="#_x0000_t75" stroked="false">
          <v:imagedata r:id="rId1" o:title=""/>
        </v:shape>
      </w:pict>
    </w:r>
    <w:r>
      <w:rPr/>
      <w:pict>
        <v:shape style="position:absolute;margin-left:55.700001pt;margin-top:779.977905pt;width:15.5pt;height:11pt;mso-position-horizontal-relative:page;mso-position-vertical-relative:page;z-index:-7044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4416" type="#_x0000_t75" stroked="false">
          <v:imagedata r:id="rId1" o:title=""/>
        </v:shape>
      </w:pict>
    </w:r>
    <w:r>
      <w:rPr/>
      <w:pict>
        <v:shape style="position:absolute;margin-left:54.700001pt;margin-top:779.977905pt;width:17.5pt;height:11pt;mso-position-horizontal-relative:page;mso-position-vertical-relative:page;z-index:-7043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88881pt;margin-top:784.110779pt;width:14.45pt;height:10.5pt;mso-position-horizontal-relative:page;mso-position-vertical-relative:page;z-index:-704368" type="#_x0000_t202" filled="false" stroked="false">
          <v:textbox inset="0,0,0,0">
            <w:txbxContent>
              <w:p>
                <w:pPr>
                  <w:spacing w:line="196" w:lineRule="exact" w:before="0"/>
                  <w:ind w:left="20" w:right="0" w:firstLine="0"/>
                  <w:jc w:val="left"/>
                  <w:rPr>
                    <w:rFonts w:ascii="Cambria" w:hAnsi="Cambria" w:cs="Cambria" w:eastAsia="Cambria" w:hint="default"/>
                    <w:sz w:val="17"/>
                    <w:szCs w:val="17"/>
                  </w:rPr>
                </w:pPr>
                <w:r>
                  <w:rPr>
                    <w:rFonts w:ascii="Cambria"/>
                    <w:color w:val="313134"/>
                    <w:w w:val="90"/>
                    <w:sz w:val="17"/>
                  </w:rPr>
                  <w:t>150</w:t>
                </w:r>
                <w:r>
                  <w:rPr>
                    <w:rFonts w:ascii="Cambria"/>
                    <w:sz w:val="17"/>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704680" type="#_x0000_t202" filled="false" stroked="false">
          <v:textbox inset="0,0,0,0">
            <w:txbxContent>
              <w:p>
                <w:pPr>
                  <w:pStyle w:val="BodyText"/>
                  <w:spacing w:line="214" w:lineRule="exact" w:before="0"/>
                  <w:ind w:left="20" w:right="0"/>
                  <w:jc w:val="left"/>
                </w:pPr>
                <w:r>
                  <w:rPr/>
                  <w:t>北京先进数通信息技术股份公司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704560" type="#_x0000_t202" filled="false" stroked="false">
          <v:textbox inset="0,0,0,0">
            <w:txbxContent>
              <w:p>
                <w:pPr>
                  <w:pStyle w:val="BodyText"/>
                  <w:spacing w:line="214" w:lineRule="exact" w:before="0"/>
                  <w:ind w:left="20" w:right="0"/>
                  <w:jc w:val="left"/>
                </w:pPr>
                <w:r>
                  <w:rPr/>
                  <w:t>北京先进数通信息技术股份公司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704536" type="#_x0000_t202" filled="false" stroked="false">
          <v:textbox inset="0,0,0,0">
            <w:txbxContent>
              <w:p>
                <w:pPr>
                  <w:pStyle w:val="BodyText"/>
                  <w:spacing w:line="214" w:lineRule="exact" w:before="0"/>
                  <w:ind w:left="20" w:right="0"/>
                  <w:jc w:val="left"/>
                </w:pPr>
                <w:r>
                  <w:rPr/>
                  <w:t>北京先进数通信息技术股份公司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700001pt;margin-top:72.80748pt;width:182.6pt;height:14pt;mso-position-horizontal-relative:page;mso-position-vertical-relative:page;z-index:-7045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704488" type="#_x0000_t202" filled="false" stroked="false">
          <v:textbox inset="0,0,0,0">
            <w:txbxContent>
              <w:p>
                <w:pPr>
                  <w:pStyle w:val="BodyText"/>
                  <w:spacing w:line="214" w:lineRule="exact" w:before="0"/>
                  <w:ind w:left="20" w:right="0"/>
                  <w:jc w:val="left"/>
                </w:pPr>
                <w:r>
                  <w:rPr/>
                  <w:t>北京先进数通信息技术股份公司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14"/>
    </w:pPr>
    <w:rPr>
      <w:rFonts w:ascii="宋体" w:hAnsi="宋体" w:eastAsia="宋体"/>
      <w:b/>
      <w:bCs/>
      <w:sz w:val="28"/>
      <w:szCs w:val="28"/>
    </w:rPr>
  </w:style>
  <w:style w:styleId="BodyText" w:type="paragraph">
    <w:name w:val="Body Text"/>
    <w:basedOn w:val="Normal"/>
    <w:uiPriority w:val="1"/>
    <w:qFormat/>
    <w:pPr>
      <w:spacing w:before="19"/>
      <w:ind w:left="114"/>
    </w:pPr>
    <w:rPr>
      <w:rFonts w:ascii="宋体" w:hAnsi="宋体" w:eastAsia="宋体"/>
      <w:sz w:val="18"/>
      <w:szCs w:val="18"/>
    </w:rPr>
  </w:style>
  <w:style w:styleId="Heading1" w:type="paragraph">
    <w:name w:val="Heading 1"/>
    <w:basedOn w:val="Normal"/>
    <w:uiPriority w:val="1"/>
    <w:qFormat/>
    <w:pPr>
      <w:spacing w:before="1"/>
      <w:ind w:left="2383"/>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adtec.com.cn/" TargetMode="External"/><Relationship Id="rId11" Type="http://schemas.openxmlformats.org/officeDocument/2006/relationships/hyperlink" Target="mailto:adtec@adtec.com.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ZHY</dc:creator>
  <dcterms:created xsi:type="dcterms:W3CDTF">2020-05-04T22:29:11Z</dcterms:created>
  <dcterms:modified xsi:type="dcterms:W3CDTF">2020-05-04T22:29:11Z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Microsoft® Office Word 2007</vt:lpwstr>
  </property>
  <property fmtid="{D5CDD505-2E9C-101B-9397-08002B2CF9AE}" pid="4" name="LastSaved">
    <vt:filetime>2020-05-04T00:00:00Z</vt:filetime>
  </property>
</Properties>
</file>