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p>
      <w:pPr>
        <w:spacing w:line="633" w:lineRule="exact"/>
        <w:ind w:left="41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33949" cy="40233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33949" cy="402335"/>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9"/>
        <w:rPr>
          <w:rFonts w:ascii="Times New Roman" w:hAnsi="Times New Roman" w:cs="Times New Roman" w:eastAsia="Times New Roman" w:hint="default"/>
          <w:sz w:val="13"/>
          <w:szCs w:val="13"/>
        </w:rPr>
      </w:pPr>
    </w:p>
    <w:p>
      <w:pPr>
        <w:spacing w:line="460" w:lineRule="exact" w:before="0"/>
        <w:ind w:left="454" w:right="1478" w:firstLine="0"/>
        <w:jc w:val="center"/>
        <w:rPr>
          <w:rFonts w:ascii="宋体" w:hAnsi="宋体" w:cs="宋体" w:eastAsia="宋体" w:hint="default"/>
          <w:sz w:val="36"/>
          <w:szCs w:val="36"/>
        </w:rPr>
      </w:pPr>
      <w:r>
        <w:rPr>
          <w:rFonts w:ascii="宋体" w:hAnsi="宋体" w:cs="宋体" w:eastAsia="宋体" w:hint="default"/>
          <w:b/>
          <w:bCs/>
          <w:sz w:val="36"/>
          <w:szCs w:val="36"/>
        </w:rPr>
        <w:t>北京先进数通信息技术股份公司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54" w:right="14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454" w:right="1472" w:firstLine="0"/>
        <w:jc w:val="center"/>
        <w:rPr>
          <w:rFonts w:ascii="Times New Roman" w:hAnsi="Times New Roman" w:cs="Times New Roman" w:eastAsia="Times New Roman" w:hint="default"/>
          <w:sz w:val="22"/>
          <w:szCs w:val="22"/>
        </w:rPr>
      </w:pPr>
      <w:r>
        <w:rPr>
          <w:rFonts w:ascii="Times New Roman"/>
          <w:b/>
          <w:sz w:val="22"/>
        </w:rPr>
        <w:t>2020-020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454" w:right="14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3" w:right="11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ind w:right="1131" w:firstLine="562"/>
        <w:jc w:val="both"/>
        <w:rPr>
          <w:b w:val="0"/>
          <w:bCs w:val="0"/>
        </w:rPr>
      </w:pPr>
      <w:r>
        <w:rPr>
          <w:w w:val="95"/>
        </w:rPr>
        <w:t>公司负责人林鸿、主管会计工作负责人吴文胜及会计机构负责人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张淑君声明：保证年度报告中财务报告的真实、准确、完整。</w:t>
      </w:r>
      <w:r>
        <w:rPr>
          <w:b w:val="0"/>
          <w:bCs w:val="0"/>
        </w:rPr>
      </w:r>
    </w:p>
    <w:p>
      <w:pPr>
        <w:pStyle w:val="Heading2"/>
        <w:spacing w:line="472" w:lineRule="auto" w:before="148"/>
        <w:ind w:left="674" w:right="1133"/>
        <w:jc w:val="left"/>
        <w:rPr>
          <w:b w:val="0"/>
          <w:bCs w:val="0"/>
        </w:rPr>
      </w:pPr>
      <w:r>
        <w:rPr/>
        <w:t>所有董事均已出席了审议本报告的董事会会议。</w:t>
      </w:r>
      <w:r>
        <w:rPr>
          <w:w w:val="99"/>
        </w:rPr>
        <w:t> </w:t>
      </w:r>
      <w:r>
        <w:rPr>
          <w:spacing w:val="2"/>
        </w:rPr>
        <w:t>本报告中涉及的未来的计划、业绩预测等前瞻性陈述，均不构成本公司对</w:t>
      </w:r>
      <w:r>
        <w:rPr>
          <w:b w:val="0"/>
          <w:bCs w:val="0"/>
          <w:spacing w:val="2"/>
        </w:rPr>
      </w:r>
    </w:p>
    <w:p>
      <w:pPr>
        <w:pStyle w:val="Heading2"/>
        <w:spacing w:line="408" w:lineRule="auto" w:before="0"/>
        <w:ind w:right="1129"/>
        <w:jc w:val="left"/>
        <w:rPr>
          <w:b w:val="0"/>
          <w:bCs w:val="0"/>
        </w:rPr>
      </w:pPr>
      <w:r>
        <w:rPr>
          <w:spacing w:val="2"/>
        </w:rPr>
        <w:t>任何投资者及相关人士的实质性承诺，投资者及相关人士应对此保持足够的风</w:t>
      </w:r>
      <w:r>
        <w:rPr>
          <w:w w:val="99"/>
        </w:rPr>
        <w:t> </w:t>
      </w:r>
      <w:r>
        <w:rPr/>
        <w:t>险认识，并且应当理解计划、预测与承诺之间的差异。</w:t>
      </w:r>
      <w:r>
        <w:rPr>
          <w:b w:val="0"/>
          <w:bCs w:val="0"/>
        </w:rPr>
      </w:r>
    </w:p>
    <w:p>
      <w:pPr>
        <w:pStyle w:val="Heading2"/>
        <w:spacing w:line="408" w:lineRule="auto"/>
        <w:ind w:right="1129" w:firstLine="562"/>
        <w:jc w:val="both"/>
        <w:rPr>
          <w:b w:val="0"/>
          <w:bCs w:val="0"/>
        </w:rPr>
      </w:pPr>
      <w:r>
        <w:rPr>
          <w:spacing w:val="2"/>
        </w:rPr>
        <w:t>本公司提请投资者认真阅读本年度报告全文，并特别关注“第四节经营情</w:t>
      </w:r>
      <w:r>
        <w:rPr>
          <w:w w:val="99"/>
        </w:rPr>
        <w:t> </w:t>
      </w:r>
      <w:r>
        <w:rPr>
          <w:spacing w:val="2"/>
        </w:rPr>
        <w:t>况讨论与分析”之“九、公司未来发展的展望”中列示的公司未来发展面临的</w:t>
      </w:r>
      <w:r>
        <w:rPr>
          <w:w w:val="99"/>
        </w:rPr>
        <w:t> </w:t>
      </w:r>
      <w:r>
        <w:rPr/>
        <w:t>风险因素。</w:t>
      </w:r>
      <w:r>
        <w:rPr>
          <w:b w:val="0"/>
          <w:bCs w:val="0"/>
        </w:rPr>
      </w:r>
    </w:p>
    <w:p>
      <w:pPr>
        <w:pStyle w:val="Heading2"/>
        <w:spacing w:line="240" w:lineRule="auto"/>
        <w:ind w:left="674" w:right="0"/>
        <w:jc w:val="left"/>
        <w:rPr>
          <w:b w:val="0"/>
          <w:bCs w:val="0"/>
        </w:rPr>
      </w:pPr>
      <w:r>
        <w:rPr/>
        <w:t>公司经本次董事会审议通过的利润分配预案为：以</w:t>
      </w:r>
      <w:r>
        <w:rPr>
          <w:spacing w:val="-88"/>
        </w:rPr>
        <w:t> </w:t>
      </w:r>
      <w:r>
        <w:rPr>
          <w:rFonts w:ascii="Times New Roman" w:hAnsi="Times New Roman" w:cs="Times New Roman" w:eastAsia="Times New Roman" w:hint="default"/>
        </w:rPr>
        <w:t>181,096,722</w:t>
      </w:r>
      <w:r>
        <w:rPr>
          <w:rFonts w:ascii="Times New Roman" w:hAnsi="Times New Roman" w:cs="Times New Roman" w:eastAsia="Times New Roman" w:hint="default"/>
          <w:spacing w:val="-17"/>
        </w:rPr>
        <w:t> </w:t>
      </w:r>
      <w:r>
        <w:rPr>
          <w:spacing w:val="-6"/>
        </w:rPr>
        <w:t>为基数，向</w:t>
      </w:r>
      <w:r>
        <w:rPr>
          <w:b w:val="0"/>
          <w:bCs w:val="0"/>
          <w:spacing w:val="-6"/>
        </w:rPr>
      </w:r>
    </w:p>
    <w:p>
      <w:pPr>
        <w:pStyle w:val="Heading2"/>
        <w:spacing w:line="240" w:lineRule="auto" w:before="236"/>
        <w:ind w:right="0"/>
        <w:jc w:val="left"/>
        <w:rPr>
          <w:b w:val="0"/>
          <w:bCs w:val="0"/>
        </w:rPr>
      </w:pPr>
      <w:r>
        <w:rPr>
          <w:w w:val="99"/>
        </w:rPr>
        <w:t>全体</w:t>
      </w:r>
      <w:r>
        <w:rPr>
          <w:spacing w:val="2"/>
          <w:w w:val="99"/>
        </w:rPr>
        <w:t>股</w:t>
      </w:r>
      <w:r>
        <w:rPr>
          <w:w w:val="99"/>
        </w:rPr>
        <w:t>东每</w:t>
      </w:r>
      <w:r>
        <w:rPr>
          <w:spacing w:val="-69"/>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99"/>
        </w:rPr>
        <w:t>股派发现</w:t>
      </w:r>
      <w:r>
        <w:rPr>
          <w:spacing w:val="2"/>
          <w:w w:val="99"/>
        </w:rPr>
        <w:t>金</w:t>
      </w:r>
      <w:r>
        <w:rPr>
          <w:w w:val="99"/>
        </w:rPr>
        <w:t>红利</w:t>
      </w:r>
      <w:r>
        <w:rPr>
          <w:spacing w:val="-69"/>
        </w:rPr>
        <w:t> </w:t>
      </w:r>
      <w:r>
        <w:rPr>
          <w:rFonts w:ascii="Times New Roman" w:hAnsi="Times New Roman" w:cs="Times New Roman" w:eastAsia="Times New Roman" w:hint="default"/>
          <w:w w:val="100"/>
        </w:rPr>
        <w:t>0.7</w:t>
      </w:r>
      <w:r>
        <w:rPr>
          <w:rFonts w:ascii="Times New Roman" w:hAnsi="Times New Roman" w:cs="Times New Roman" w:eastAsia="Times New Roman" w:hint="default"/>
        </w:rPr>
        <w:t> </w:t>
      </w:r>
      <w:r>
        <w:rPr>
          <w:w w:val="99"/>
        </w:rPr>
        <w:t>元（含</w:t>
      </w:r>
      <w:r>
        <w:rPr>
          <w:spacing w:val="2"/>
          <w:w w:val="99"/>
        </w:rPr>
        <w:t>税</w:t>
      </w:r>
      <w:r>
        <w:rPr>
          <w:spacing w:val="-142"/>
          <w:w w:val="99"/>
        </w:rPr>
        <w:t>）</w:t>
      </w:r>
      <w:r>
        <w:rPr>
          <w:w w:val="99"/>
        </w:rPr>
        <w:t>，送</w:t>
      </w:r>
      <w:r>
        <w:rPr>
          <w:spacing w:val="2"/>
          <w:w w:val="99"/>
        </w:rPr>
        <w:t>红</w:t>
      </w:r>
      <w:r>
        <w:rPr>
          <w:w w:val="99"/>
        </w:rPr>
        <w:t>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99"/>
        </w:rPr>
        <w:t>股（</w:t>
      </w:r>
      <w:r>
        <w:rPr>
          <w:spacing w:val="2"/>
          <w:w w:val="99"/>
        </w:rPr>
        <w:t>含</w:t>
      </w:r>
      <w:r>
        <w:rPr>
          <w:w w:val="99"/>
        </w:rPr>
        <w:t>税</w:t>
      </w:r>
      <w:r>
        <w:rPr>
          <w:spacing w:val="-142"/>
          <w:w w:val="99"/>
        </w:rPr>
        <w:t>）</w:t>
      </w:r>
      <w:r>
        <w:rPr>
          <w:w w:val="99"/>
        </w:rPr>
        <w:t>，以</w:t>
      </w:r>
      <w:r>
        <w:rPr>
          <w:spacing w:val="2"/>
          <w:w w:val="99"/>
        </w:rPr>
        <w:t>资</w:t>
      </w:r>
      <w:r>
        <w:rPr>
          <w:w w:val="99"/>
        </w:rPr>
        <w:t>本公</w:t>
      </w:r>
      <w:r>
        <w:rPr>
          <w:b w:val="0"/>
          <w:bCs w:val="0"/>
        </w:rPr>
      </w:r>
    </w:p>
    <w:p>
      <w:pPr>
        <w:pStyle w:val="Heading2"/>
        <w:spacing w:line="240" w:lineRule="auto" w:before="237"/>
        <w:ind w:right="1133"/>
        <w:jc w:val="left"/>
        <w:rPr>
          <w:b w:val="0"/>
          <w:bCs w:val="0"/>
        </w:rPr>
      </w:pPr>
      <w:r>
        <w:rPr/>
        <w:t>积金向全体股东每</w:t>
      </w:r>
      <w:r>
        <w:rPr>
          <w:spacing w:val="-70"/>
        </w:rPr>
        <w:t> </w:t>
      </w:r>
      <w:r>
        <w:rPr>
          <w:rFonts w:ascii="Times New Roman" w:hAnsi="Times New Roman" w:cs="Times New Roman" w:eastAsia="Times New Roman" w:hint="default"/>
        </w:rPr>
        <w:t>10 </w:t>
      </w:r>
      <w:r>
        <w:rPr/>
        <w:t>股转增</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footerReference w:type="default" r:id="rId8"/>
          <w:pgSz w:w="11910" w:h="16840"/>
          <w:pgMar w:footer="1021"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line="460" w:lineRule="exact" w:before="0"/>
        <w:ind w:left="454" w:right="14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5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5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5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5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4" w:footer="1021" w:top="1100" w:bottom="1220" w:left="1020" w:right="0"/>
        </w:sectPr>
      </w:pPr>
    </w:p>
    <w:p>
      <w:pPr>
        <w:spacing w:before="906"/>
        <w:ind w:left="454" w:right="147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338"/>
        <w:gridCol w:w="622"/>
        <w:gridCol w:w="6579"/>
      </w:tblGrid>
      <w:tr>
        <w:trPr>
          <w:trHeight w:val="403" w:hRule="exact"/>
        </w:trPr>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公司、本公司、先进数通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3"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r>
      <w:tr>
        <w:trPr>
          <w:trHeight w:val="40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r>
      <w:tr>
        <w:trPr>
          <w:trHeight w:val="403"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IT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713"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构成信息系统的基础软硬件设施，包括服务器、存储设备、网络设备、安全设备 和相关的基础软件以及机房环境、本地网络、远程网络等</w:t>
            </w:r>
          </w:p>
        </w:tc>
      </w:tr>
      <w:tr>
        <w:trPr>
          <w:trHeight w:val="1339"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分布式计算的一种模式，通过网络将数量庞大的服务器组织成一个有机整体，形 </w:t>
            </w:r>
            <w:r>
              <w:rPr>
                <w:rFonts w:ascii="宋体" w:hAnsi="宋体" w:cs="宋体" w:eastAsia="宋体" w:hint="default"/>
                <w:spacing w:val="-1"/>
                <w:sz w:val="18"/>
                <w:szCs w:val="18"/>
              </w:rPr>
              <w:t>成巨大的计算处理能力。复杂、大规模的用户计算处理需求被分解为多个子任务，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由多个服务器进行处理，并将计算结果合并返回用户，通过计算能力的虚拟整合 实现强大效能的计算技术</w:t>
            </w:r>
          </w:p>
        </w:tc>
      </w:tr>
      <w:tr>
        <w:trPr>
          <w:trHeight w:val="713"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规模巨大、类型复杂的数据，其规模与复杂程度超出普通数据库管理工具在可容 忍的运行时间内进行数据捕获、存储和处理的能力</w:t>
            </w:r>
          </w:p>
        </w:tc>
      </w:tr>
      <w:tr>
        <w:trPr>
          <w:trHeight w:val="716"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用于存储数据和运行中央计算机系统、网络、存储等相关设备的专用场所，由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基础设施和应用软件等部分组成</w:t>
            </w:r>
          </w:p>
        </w:tc>
      </w:tr>
      <w:tr>
        <w:trPr>
          <w:trHeight w:val="40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针对用户特定应用目的所编写的软件</w:t>
            </w:r>
          </w:p>
        </w:tc>
      </w:tr>
      <w:tr>
        <w:trPr>
          <w:trHeight w:val="71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平台软件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用于构建特定类别多种应用软件的软件，具有稳定的架构并通过技术手段，实现 应用软件的快速开发、部署、管理</w:t>
            </w:r>
          </w:p>
        </w:tc>
      </w:tr>
      <w:tr>
        <w:trPr>
          <w:trHeight w:val="102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both"/>
              <w:rPr>
                <w:rFonts w:ascii="宋体" w:hAnsi="宋体" w:cs="宋体" w:eastAsia="宋体" w:hint="default"/>
                <w:sz w:val="18"/>
                <w:szCs w:val="18"/>
              </w:rPr>
            </w:pPr>
            <w:r>
              <w:rPr>
                <w:rFonts w:ascii="宋体" w:hAnsi="宋体" w:cs="宋体" w:eastAsia="宋体" w:hint="default"/>
                <w:sz w:val="18"/>
                <w:szCs w:val="18"/>
              </w:rPr>
              <w:t>为解决企业信息化建设中某一方面的具体问题而提供的一整套咨询、开发和服务 方案，包括整体路线、功能架构、技术架构、产品组合、应用设计、定制开发、 方案部署等</w:t>
            </w:r>
          </w:p>
        </w:tc>
      </w:tr>
      <w:tr>
        <w:trPr>
          <w:trHeight w:val="71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ITIL</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Information Technology Infrastructure Library</w:t>
            </w:r>
            <w:r>
              <w:rPr>
                <w:rFonts w:ascii="宋体" w:hAnsi="宋体" w:cs="宋体" w:eastAsia="宋体" w:hint="default"/>
                <w:sz w:val="18"/>
                <w:szCs w:val="18"/>
              </w:rPr>
              <w:t>，信息技术基础架构库，是适用于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IT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服务管理的一套标准体系</w:t>
            </w:r>
          </w:p>
        </w:tc>
      </w:tr>
      <w:tr>
        <w:trPr>
          <w:trHeight w:val="102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ITSS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 Service</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Standards</w:t>
            </w:r>
            <w:r>
              <w:rPr>
                <w:rFonts w:ascii="宋体" w:hAnsi="宋体" w:cs="宋体" w:eastAsia="宋体" w:hint="default"/>
                <w:sz w:val="18"/>
                <w:szCs w:val="18"/>
              </w:rPr>
              <w:t>，是在工业和信息化部、国家标准化委的 </w:t>
            </w:r>
            <w:r>
              <w:rPr>
                <w:rFonts w:ascii="宋体" w:hAnsi="宋体" w:cs="宋体" w:eastAsia="宋体" w:hint="default"/>
                <w:spacing w:val="-3"/>
                <w:sz w:val="18"/>
                <w:szCs w:val="18"/>
              </w:rPr>
              <w:t>领导和支持下，由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工作组研制的一套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服务领域的标准库和提供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服务的 方法论</w:t>
            </w:r>
          </w:p>
        </w:tc>
      </w:tr>
      <w:tr>
        <w:trPr>
          <w:trHeight w:val="71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DevOps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59"/>
              <w:jc w:val="left"/>
              <w:rPr>
                <w:rFonts w:ascii="宋体" w:hAnsi="宋体" w:cs="宋体" w:eastAsia="宋体" w:hint="default"/>
                <w:sz w:val="18"/>
                <w:szCs w:val="18"/>
              </w:rPr>
            </w:pPr>
            <w:r>
              <w:rPr>
                <w:rFonts w:ascii="Times New Roman" w:hAnsi="Times New Roman" w:cs="Times New Roman" w:eastAsia="Times New Roman" w:hint="default"/>
                <w:sz w:val="18"/>
                <w:szCs w:val="18"/>
              </w:rPr>
              <w:t>Development</w:t>
            </w:r>
            <w:r>
              <w:rPr>
                <w:rFonts w:ascii="宋体" w:hAnsi="宋体" w:cs="宋体" w:eastAsia="宋体" w:hint="default"/>
                <w:sz w:val="18"/>
                <w:szCs w:val="18"/>
              </w:rPr>
              <w:t>，</w:t>
            </w:r>
            <w:r>
              <w:rPr>
                <w:rFonts w:ascii="Times New Roman" w:hAnsi="Times New Roman" w:cs="Times New Roman" w:eastAsia="Times New Roman" w:hint="default"/>
                <w:sz w:val="18"/>
                <w:szCs w:val="18"/>
              </w:rPr>
              <w:t>Operations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两词缩写，一组用于促进应用开发、技术运营和质量保 障部门之间沟通、协作与整合过程的方法与系统的统称</w:t>
            </w:r>
          </w:p>
        </w:tc>
      </w:tr>
    </w:tbl>
    <w:p>
      <w:pPr>
        <w:spacing w:after="0" w:line="300" w:lineRule="auto"/>
        <w:jc w:val="left"/>
        <w:rPr>
          <w:rFonts w:ascii="宋体" w:hAnsi="宋体" w:cs="宋体" w:eastAsia="宋体" w:hint="default"/>
          <w:sz w:val="18"/>
          <w:szCs w:val="18"/>
        </w:rPr>
        <w:sectPr>
          <w:headerReference w:type="default" r:id="rId9"/>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602" w:right="11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62"/>
        <w:gridCol w:w="2955"/>
        <w:gridCol w:w="2155"/>
        <w:gridCol w:w="1993"/>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先进数通</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300541</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先进数通</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Beijing</w:t>
            </w:r>
            <w:r>
              <w:rPr>
                <w:rFonts w:ascii="Times New Roman"/>
                <w:spacing w:val="-16"/>
                <w:sz w:val="18"/>
              </w:rPr>
              <w:t> </w:t>
            </w:r>
            <w:r>
              <w:rPr>
                <w:rFonts w:ascii="Times New Roman"/>
                <w:sz w:val="18"/>
              </w:rPr>
              <w:t>Advanced</w:t>
            </w:r>
            <w:r>
              <w:rPr>
                <w:rFonts w:ascii="Times New Roman"/>
                <w:spacing w:val="-5"/>
                <w:sz w:val="18"/>
              </w:rPr>
              <w:t> </w:t>
            </w:r>
            <w:r>
              <w:rPr>
                <w:rFonts w:ascii="Times New Roman"/>
                <w:sz w:val="18"/>
              </w:rPr>
              <w:t>Digital</w:t>
            </w:r>
            <w:r>
              <w:rPr>
                <w:rFonts w:ascii="Times New Roman"/>
                <w:spacing w:val="-8"/>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6"/>
                <w:sz w:val="18"/>
              </w:rPr>
              <w:t> </w:t>
            </w:r>
            <w:r>
              <w:rPr>
                <w:rFonts w:ascii="Times New Roman"/>
                <w:sz w:val="18"/>
              </w:rPr>
              <w:t>Ltd</w:t>
            </w:r>
          </w:p>
        </w:tc>
      </w:tr>
      <w:tr>
        <w:trPr>
          <w:trHeight w:val="404"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pacing w:val="-4"/>
                <w:sz w:val="18"/>
              </w:rPr>
              <w:t>ADTec</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林鸿</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100089</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100089</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0">
              <w:r>
                <w:rPr>
                  <w:rFonts w:ascii="Times New Roman"/>
                  <w:sz w:val="18"/>
                </w:rPr>
                <w:t>www.adtec.com.cn</w:t>
              </w:r>
            </w:hyperlink>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151"/>
        <w:gridCol w:w="3678"/>
        <w:gridCol w:w="3749"/>
      </w:tblGrid>
      <w:tr>
        <w:trPr>
          <w:trHeight w:val="401"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王朗</w:t>
            </w:r>
          </w:p>
        </w:tc>
      </w:tr>
      <w:tr>
        <w:trPr>
          <w:trHeight w:val="401"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p>
        </w:tc>
      </w:tr>
      <w:tr>
        <w:trPr>
          <w:trHeight w:val="403"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010-68700009</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010-68700009</w:t>
            </w:r>
          </w:p>
        </w:tc>
      </w:tr>
      <w:tr>
        <w:trPr>
          <w:trHeight w:val="401"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010-68700510</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010-68700510</w:t>
            </w:r>
          </w:p>
        </w:tc>
      </w:tr>
      <w:tr>
        <w:trPr>
          <w:trHeight w:val="403" w:hRule="exact"/>
        </w:trPr>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r>
              <w:rPr>
                <w:rFonts w:ascii="宋体" w:hAnsi="宋体" w:cs="宋体" w:eastAsia="宋体" w:hint="default"/>
                <w:spacing w:val="48"/>
                <w:sz w:val="18"/>
                <w:szCs w:val="18"/>
              </w:rPr>
              <w:t> </w:t>
            </w: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于曙光，蒲金凤</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521"/>
        <w:gridCol w:w="1527"/>
        <w:gridCol w:w="311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上海市静安区南京西路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768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韩志达、徐可任</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27"/>
        <w:gridCol w:w="1613"/>
        <w:gridCol w:w="1570"/>
        <w:gridCol w:w="1880"/>
        <w:gridCol w:w="1500"/>
      </w:tblGrid>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1,792,508,599.81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28.93%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1,011,762,811.34</w:t>
            </w:r>
          </w:p>
        </w:tc>
      </w:tr>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38.45%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71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1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70,809,965.52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51,195,598.94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38.31%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42,731,166.49</w:t>
            </w:r>
          </w:p>
        </w:tc>
      </w:tr>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-350,845,748.15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87,476,464.26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-501.07%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-138,529,061.78</w:t>
            </w:r>
          </w:p>
        </w:tc>
      </w:tr>
      <w:tr>
        <w:trPr>
          <w:trHeight w:val="401"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39.29%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39.29%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1"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w:t>
            </w:r>
          </w:p>
        </w:tc>
      </w:tr>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1,867,123,756.83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1,318,704,222.54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41.59%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1,330,055,553.14</w:t>
            </w:r>
          </w:p>
        </w:tc>
      </w:tr>
      <w:tr>
        <w:trPr>
          <w:trHeight w:val="40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854,528,754.89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10.15%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341,877,526.02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467,269,708.24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262,440,232.90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720,921,132.65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-68,075.56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23,418,075.50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16,391,903.16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31,127,254.86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-67,082.43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23,425,656.52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16,361,483.06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31,089,908.37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-301,398,256.34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32,143,413.77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8,314,105.14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-89,905,010.72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1301"/>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265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-2,750.29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-358,962.54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-44,686.94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处置固定资产</w:t>
            </w: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326,300.00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155"/>
              <w:jc w:val="left"/>
              <w:rPr>
                <w:rFonts w:ascii="宋体" w:hAnsi="宋体" w:cs="宋体" w:eastAsia="宋体" w:hint="default"/>
                <w:sz w:val="18"/>
                <w:szCs w:val="18"/>
              </w:rPr>
            </w:pPr>
            <w:r>
              <w:rPr>
                <w:rFonts w:ascii="宋体" w:hAnsi="宋体" w:cs="宋体" w:eastAsia="宋体" w:hint="default"/>
                <w:sz w:val="18"/>
                <w:szCs w:val="18"/>
              </w:rPr>
              <w:t>残疾人管理所岗位 补贴</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47,386.15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23,859.48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278,696.19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274"/>
              <w:jc w:val="left"/>
              <w:rPr>
                <w:rFonts w:ascii="宋体" w:hAnsi="宋体" w:cs="宋体" w:eastAsia="宋体" w:hint="default"/>
                <w:sz w:val="18"/>
                <w:szCs w:val="18"/>
              </w:rPr>
            </w:pPr>
            <w:r>
              <w:rPr>
                <w:rFonts w:ascii="宋体" w:hAnsi="宋体" w:cs="宋体" w:eastAsia="宋体" w:hint="default"/>
                <w:sz w:val="18"/>
                <w:szCs w:val="18"/>
              </w:rPr>
              <w:t>账面营业外收入</w:t>
            </w:r>
            <w:r>
              <w:rPr>
                <w:rFonts w:ascii="Times New Roman" w:hAnsi="Times New Roman" w:cs="Times New Roman" w:eastAsia="Times New Roman" w:hint="default"/>
                <w:sz w:val="18"/>
                <w:szCs w:val="18"/>
              </w:rPr>
              <w:t>- </w:t>
            </w:r>
            <w:r>
              <w:rPr>
                <w:rFonts w:ascii="宋体" w:hAnsi="宋体" w:cs="宋体" w:eastAsia="宋体" w:hint="default"/>
                <w:sz w:val="18"/>
                <w:szCs w:val="18"/>
              </w:rPr>
              <w:t>营业外支出</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10,443.42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35,101.39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59,192.44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-7,482.60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198,907.86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2"/>
        <w:ind w:right="1133"/>
        <w:jc w:val="left"/>
      </w:pPr>
      <w:r>
        <w:rPr/>
        <w:t>□ 适用 √</w:t>
      </w:r>
      <w:r>
        <w:rPr>
          <w:spacing w:val="3"/>
        </w:rPr>
        <w:t> </w:t>
      </w:r>
      <w:r>
        <w:rPr/>
        <w:t>不适用</w:t>
      </w:r>
    </w:p>
    <w:p>
      <w:pPr>
        <w:pStyle w:val="BodyText"/>
        <w:spacing w:line="300" w:lineRule="auto" w:before="118"/>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406" w:right="1133"/>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pStyle w:val="BodyText"/>
        <w:spacing w:line="664" w:lineRule="exact" w:before="23"/>
        <w:ind w:left="473" w:right="0"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w:t>
      </w:r>
      <w:r>
        <w:rPr>
          <w:spacing w:val="-2"/>
        </w:rPr>
        <w:t>公司主要面向以商业银行为主的大中型企业客户提供</w:t>
      </w:r>
      <w:r>
        <w:rPr>
          <w:rFonts w:ascii="宋体" w:hAnsi="宋体" w:cs="宋体" w:eastAsia="宋体" w:hint="default"/>
          <w:spacing w:val="-2"/>
        </w:rPr>
        <w:t>IT</w:t>
      </w:r>
      <w:r>
        <w:rPr>
          <w:spacing w:val="-2"/>
        </w:rPr>
        <w:t>解决方案及服务，包括</w:t>
      </w:r>
      <w:r>
        <w:rPr>
          <w:rFonts w:ascii="宋体" w:hAnsi="宋体" w:cs="宋体" w:eastAsia="宋体" w:hint="default"/>
          <w:spacing w:val="-2"/>
        </w:rPr>
        <w:t>IT</w:t>
      </w:r>
      <w:r>
        <w:rPr>
          <w:spacing w:val="-2"/>
        </w:rPr>
        <w:t>基础设施建设、软件解决方案及</w:t>
      </w:r>
      <w:r>
        <w:rPr>
          <w:rFonts w:ascii="宋体" w:hAnsi="宋体" w:cs="宋体" w:eastAsia="宋体" w:hint="default"/>
          <w:spacing w:val="-2"/>
        </w:rPr>
        <w:t>IT</w:t>
      </w:r>
      <w:r>
        <w:rPr>
          <w:spacing w:val="-2"/>
        </w:rPr>
        <w:t>运维</w:t>
      </w:r>
    </w:p>
    <w:p>
      <w:pPr>
        <w:pStyle w:val="BodyText"/>
        <w:spacing w:line="205" w:lineRule="exact"/>
        <w:ind w:right="1133"/>
        <w:jc w:val="left"/>
      </w:pPr>
      <w:r>
        <w:rPr/>
        <w:t>服务，自设立以来，公司的主营业务未发生重大变化。</w:t>
      </w:r>
    </w:p>
    <w:p>
      <w:pPr>
        <w:pStyle w:val="BodyText"/>
        <w:spacing w:line="316" w:lineRule="auto" w:before="76"/>
        <w:ind w:left="473" w:right="1129"/>
        <w:jc w:val="left"/>
      </w:pPr>
      <w:r>
        <w:rPr/>
        <w:t>（一）行业发展态势及公司应对措施 </w:t>
      </w:r>
      <w:r>
        <w:rPr>
          <w:spacing w:val="-2"/>
        </w:rPr>
        <w:t>报告期内，商业银行依然是公司主要的客户群体，涵盖国有大型商业银行、全国性股份制商业银行、区域银行等各类银</w:t>
      </w:r>
    </w:p>
    <w:p>
      <w:pPr>
        <w:pStyle w:val="BodyText"/>
        <w:spacing w:line="316" w:lineRule="auto" w:before="19"/>
        <w:ind w:left="473" w:right="1129" w:hanging="361"/>
        <w:jc w:val="left"/>
      </w:pPr>
      <w:r>
        <w:rPr/>
        <w:t>行主体，公司三项主要业务在各类银行均实现了持续、规模化的销售。 </w:t>
      </w:r>
      <w:r>
        <w:rPr>
          <w:spacing w:val="-2"/>
        </w:rPr>
        <w:t>银行业是信息化程度最高的行业之一，运营高度依赖信息技术，信息化投入规模巨大。与之相适应，银行业拥有庞大的</w:t>
      </w:r>
    </w:p>
    <w:p>
      <w:pPr>
        <w:pStyle w:val="BodyText"/>
        <w:spacing w:line="316" w:lineRule="auto" w:before="19"/>
        <w:ind w:right="1130"/>
        <w:jc w:val="both"/>
      </w:pPr>
      <w:r>
        <w:rPr>
          <w:spacing w:val="-2"/>
        </w:rPr>
        <w:t>信息技术体系及较强的技术能力。作为银行信息化服务商，必须具备丰富的行业应用经验、较高的技术能力、研发能力、管</w:t>
      </w:r>
      <w:r>
        <w:rPr>
          <w:spacing w:val="-67"/>
        </w:rPr>
        <w:t> </w:t>
      </w:r>
      <w:r>
        <w:rPr>
          <w:spacing w:val="-67"/>
        </w:rPr>
      </w:r>
      <w:r>
        <w:rPr>
          <w:spacing w:val="-2"/>
        </w:rPr>
        <w:t>理能力及完善的服务体系。银行业同时也是新技术应用、业务创新最为活跃的行业之一，银行信息化服务商必须紧跟技术发</w:t>
      </w:r>
      <w:r>
        <w:rPr>
          <w:spacing w:val="-63"/>
        </w:rPr>
        <w:t> </w:t>
      </w:r>
      <w:r>
        <w:rPr>
          <w:spacing w:val="-63"/>
        </w:rPr>
      </w:r>
      <w:r>
        <w:rPr/>
        <w:t>展趋势，创新产品、应用，以适应不断提升的银行信息化需求。</w:t>
      </w:r>
    </w:p>
    <w:p>
      <w:pPr>
        <w:pStyle w:val="BodyText"/>
        <w:spacing w:line="316" w:lineRule="auto" w:before="19"/>
        <w:ind w:right="1132" w:firstLine="360"/>
        <w:jc w:val="both"/>
      </w:pPr>
      <w:r>
        <w:rPr>
          <w:spacing w:val="-2"/>
        </w:rPr>
        <w:t>近期，金融信息化领域呈现了很多新的特征，其一，金融机构认同并借鉴互联网行业的发展思路，大规模建设各类金融</w:t>
      </w:r>
      <w:r>
        <w:rPr/>
        <w:t> </w:t>
      </w:r>
      <w:r>
        <w:rPr>
          <w:spacing w:val="-2"/>
        </w:rPr>
        <w:t>生态，各类金融服务及跨界应用大规模增长。其二，金融服务向个性化、快速敏捷、自主可控方向发展。其三，数据驱动业</w:t>
      </w:r>
      <w:r>
        <w:rPr>
          <w:spacing w:val="-73"/>
        </w:rPr>
        <w:t> </w:t>
      </w:r>
      <w:r>
        <w:rPr>
          <w:spacing w:val="-73"/>
        </w:rPr>
      </w:r>
      <w:r>
        <w:rPr>
          <w:spacing w:val="-2"/>
        </w:rPr>
        <w:t>务、数字决策、精准营销、风险控制、以及满足各类监管数据需求成为各类金融机构信息化建设的重点。其四，加强金融中</w:t>
      </w:r>
      <w:r>
        <w:rPr>
          <w:spacing w:val="-68"/>
        </w:rPr>
        <w:t> </w:t>
      </w:r>
      <w:r>
        <w:rPr>
          <w:spacing w:val="-68"/>
        </w:rPr>
      </w:r>
      <w:r>
        <w:rPr>
          <w:spacing w:val="-11"/>
        </w:rPr>
        <w:t>台建设，“数据中台”、“业务中台”、“</w:t>
      </w:r>
      <w:r>
        <w:rPr>
          <w:rFonts w:ascii="宋体" w:hAnsi="宋体" w:cs="宋体" w:eastAsia="宋体" w:hint="default"/>
          <w:spacing w:val="-11"/>
        </w:rPr>
        <w:t>AI</w:t>
      </w:r>
      <w:r>
        <w:rPr>
          <w:spacing w:val="-11"/>
        </w:rPr>
        <w:t>中台”、开放银行等概念得到金融机构的认同，各类金融机构开始着手重构金融应用</w:t>
      </w:r>
      <w:r>
        <w:rPr>
          <w:spacing w:val="-77"/>
        </w:rPr>
        <w:t> </w:t>
      </w:r>
      <w:r>
        <w:rPr>
          <w:spacing w:val="-77"/>
        </w:rPr>
      </w:r>
      <w:r>
        <w:rPr/>
        <w:t>体系。</w:t>
      </w:r>
    </w:p>
    <w:p>
      <w:pPr>
        <w:pStyle w:val="BodyText"/>
        <w:spacing w:line="319" w:lineRule="auto" w:before="19"/>
        <w:ind w:right="1129" w:firstLine="360"/>
        <w:jc w:val="both"/>
      </w:pPr>
      <w:r>
        <w:rPr>
          <w:spacing w:val="-2"/>
        </w:rPr>
        <w:t>适应行业发展趋势，公司及时调整服务体系，成立金融软件服务中心，满足金融应用系统重构、金融生态建设对软件开</w:t>
      </w:r>
      <w:r>
        <w:rPr/>
        <w:t> </w:t>
      </w:r>
      <w:r>
        <w:rPr>
          <w:spacing w:val="-2"/>
        </w:rPr>
        <w:t>发和服务的规模性需求；加大基于分布式架构</w:t>
      </w:r>
      <w:r>
        <w:rPr>
          <w:rFonts w:ascii="宋体" w:hAnsi="宋体" w:cs="宋体" w:eastAsia="宋体" w:hint="default"/>
          <w:spacing w:val="-2"/>
        </w:rPr>
        <w:t>Starring</w:t>
      </w:r>
      <w:r>
        <w:rPr>
          <w:spacing w:val="-2"/>
        </w:rPr>
        <w:t>持续研发和市场推广力度，满足金融机构加强业务中台建设需求；推</w:t>
      </w:r>
      <w:r>
        <w:rPr>
          <w:spacing w:val="-58"/>
        </w:rPr>
        <w:t> </w:t>
      </w:r>
      <w:r>
        <w:rPr>
          <w:spacing w:val="-58"/>
        </w:rPr>
      </w:r>
      <w:r>
        <w:rPr/>
        <w:t>出</w:t>
      </w:r>
      <w:r>
        <w:rPr>
          <w:rFonts w:ascii="宋体" w:hAnsi="宋体" w:cs="宋体" w:eastAsia="宋体" w:hint="default"/>
        </w:rPr>
        <w:t>Shark</w:t>
      </w:r>
      <w:r>
        <w:rPr/>
        <w:t>系列新的数据线核心产品，为数据业务的敏捷开发及运行提供可靠的平台；成立商业智能应用研发中心，加大对数</w:t>
      </w:r>
      <w:r>
        <w:rPr>
          <w:spacing w:val="-85"/>
        </w:rPr>
        <w:t> </w:t>
      </w:r>
      <w:r>
        <w:rPr>
          <w:spacing w:val="-85"/>
        </w:rPr>
      </w:r>
      <w:r>
        <w:rPr/>
        <w:t>据应用领域的投入。</w:t>
      </w:r>
    </w:p>
    <w:p>
      <w:pPr>
        <w:pStyle w:val="BodyText"/>
        <w:spacing w:line="316" w:lineRule="auto" w:before="17"/>
        <w:ind w:right="1131" w:firstLine="360"/>
        <w:jc w:val="both"/>
      </w:pPr>
      <w:r>
        <w:rPr>
          <w:rFonts w:ascii="宋体" w:hAnsi="宋体" w:cs="宋体" w:eastAsia="宋体" w:hint="default"/>
          <w:spacing w:val="-2"/>
        </w:rPr>
        <w:t>2019</w:t>
      </w:r>
      <w:r>
        <w:rPr>
          <w:spacing w:val="-2"/>
        </w:rPr>
        <w:t>年，云数据中心的建设仍然是金融信息化建设的热点领域。公司</w:t>
      </w:r>
      <w:r>
        <w:rPr>
          <w:rFonts w:ascii="宋体" w:hAnsi="宋体" w:cs="宋体" w:eastAsia="宋体" w:hint="default"/>
          <w:spacing w:val="-2"/>
        </w:rPr>
        <w:t>IT</w:t>
      </w:r>
      <w:r>
        <w:rPr>
          <w:spacing w:val="-2"/>
        </w:rPr>
        <w:t>基础设施业务体系持续完善云数据中心解决方案</w:t>
      </w:r>
      <w:r>
        <w:rPr/>
        <w:t> 及服务，实现全面云化的阶段发展目标。</w:t>
      </w:r>
    </w:p>
    <w:p>
      <w:pPr>
        <w:pStyle w:val="BodyText"/>
        <w:spacing w:line="316" w:lineRule="auto" w:before="19"/>
        <w:ind w:right="1129" w:firstLine="360"/>
        <w:jc w:val="both"/>
      </w:pPr>
      <w:r>
        <w:rPr>
          <w:spacing w:val="-2"/>
        </w:rPr>
        <w:t>报告期内，公司与多家大型互联网企业建立了持续的合作关系，使得互联网行业成为公司重要的收入来源。互联网行业</w:t>
      </w:r>
      <w:r>
        <w:rPr/>
        <w:t> </w:t>
      </w:r>
      <w:r>
        <w:rPr>
          <w:rFonts w:ascii="宋体" w:hAnsi="宋体" w:cs="宋体" w:eastAsia="宋体" w:hint="default"/>
          <w:spacing w:val="-2"/>
        </w:rPr>
        <w:t>IT</w:t>
      </w:r>
      <w:r>
        <w:rPr>
          <w:spacing w:val="-2"/>
        </w:rPr>
        <w:t>采购规模巨大，既为公司提供了巨大的业务发展空间，也对公司资金能力、运营能力、服务能力、与上游产品供应商合作</w:t>
      </w:r>
      <w:r>
        <w:rPr>
          <w:spacing w:val="-66"/>
        </w:rPr>
        <w:t> </w:t>
      </w:r>
      <w:r>
        <w:rPr>
          <w:spacing w:val="-66"/>
        </w:rPr>
      </w:r>
      <w:r>
        <w:rPr>
          <w:spacing w:val="-2"/>
        </w:rPr>
        <w:t>关系提出了新的要求。目前，公司在互联网行业的业务主要集中于</w:t>
      </w:r>
      <w:r>
        <w:rPr>
          <w:rFonts w:ascii="宋体" w:hAnsi="宋体" w:cs="宋体" w:eastAsia="宋体" w:hint="default"/>
          <w:spacing w:val="-2"/>
        </w:rPr>
        <w:t>IT</w:t>
      </w:r>
      <w:r>
        <w:rPr>
          <w:spacing w:val="-2"/>
        </w:rPr>
        <w:t>基础设施建设业务，建立更多层次的合作关系，提升客</w:t>
      </w:r>
      <w:r>
        <w:rPr>
          <w:spacing w:val="-61"/>
        </w:rPr>
        <w:t> </w:t>
      </w:r>
      <w:r>
        <w:rPr>
          <w:spacing w:val="-61"/>
        </w:rPr>
      </w:r>
      <w:r>
        <w:rPr/>
        <w:t>户粘度仍是未来公司面临的巨大挑战，同时行业客户覆盖度仍有很大的提升空间。</w:t>
      </w:r>
    </w:p>
    <w:p>
      <w:pPr>
        <w:pStyle w:val="BodyText"/>
        <w:spacing w:line="316" w:lineRule="auto" w:before="19"/>
        <w:ind w:right="1051" w:firstLine="360"/>
        <w:jc w:val="both"/>
      </w:pPr>
      <w:r>
        <w:rPr>
          <w:spacing w:val="-2"/>
        </w:rPr>
        <w:t>报告期内，智慧园区业务成为公司重点突破的业务领域，在产业园区智能化、校园智能化、景区智能化、公用事业信息</w:t>
      </w:r>
      <w:r>
        <w:rPr/>
        <w:t> </w:t>
      </w:r>
      <w:r>
        <w:rPr>
          <w:spacing w:val="-2"/>
        </w:rPr>
        <w:t>化等领域，取得了初步进展。为此，公司成立了专门的业务部门，重点拓展相关领域的业务。智慧园区业务涉及的行业形态</w:t>
      </w:r>
      <w:r>
        <w:rPr>
          <w:spacing w:val="-66"/>
        </w:rPr>
        <w:t> </w:t>
      </w:r>
      <w:r>
        <w:rPr>
          <w:spacing w:val="-66"/>
        </w:rPr>
      </w:r>
      <w:r>
        <w:rPr/>
        <w:t>较为复杂，不同领域呈现的业务特征差异较大，相互协同性也较低，公司后期需要持续关注并寻求与之相适应的解决方案。</w:t>
      </w:r>
    </w:p>
    <w:p>
      <w:pPr>
        <w:spacing w:line="240" w:lineRule="auto" w:before="4"/>
        <w:rPr>
          <w:rFonts w:ascii="宋体" w:hAnsi="宋体" w:cs="宋体" w:eastAsia="宋体" w:hint="default"/>
          <w:sz w:val="25"/>
          <w:szCs w:val="25"/>
        </w:rPr>
      </w:pPr>
    </w:p>
    <w:p>
      <w:pPr>
        <w:pStyle w:val="BodyText"/>
        <w:spacing w:line="316" w:lineRule="auto"/>
        <w:ind w:left="473" w:right="8053"/>
        <w:jc w:val="left"/>
      </w:pPr>
      <w:r>
        <w:rPr/>
        <w:t>（二）主要业务、产品和服务 </w:t>
      </w:r>
      <w:r>
        <w:rPr>
          <w:rFonts w:ascii="宋体" w:hAnsi="宋体" w:cs="宋体" w:eastAsia="宋体" w:hint="default"/>
        </w:rPr>
        <w:t>1</w:t>
      </w:r>
      <w:r>
        <w:rPr/>
        <w:t>、</w:t>
      </w:r>
      <w:r>
        <w:rPr>
          <w:rFonts w:ascii="宋体" w:hAnsi="宋体" w:cs="宋体" w:eastAsia="宋体" w:hint="default"/>
        </w:rPr>
        <w:t>IT</w:t>
      </w:r>
      <w:r>
        <w:rPr/>
        <w:t>基础设施建设业务</w:t>
      </w:r>
    </w:p>
    <w:p>
      <w:pPr>
        <w:pStyle w:val="BodyText"/>
        <w:spacing w:line="316" w:lineRule="auto" w:before="19"/>
        <w:ind w:right="1128" w:firstLine="360"/>
        <w:jc w:val="both"/>
      </w:pPr>
      <w:r>
        <w:rPr>
          <w:rFonts w:ascii="宋体" w:hAnsi="宋体" w:cs="宋体" w:eastAsia="宋体" w:hint="default"/>
          <w:spacing w:val="-2"/>
        </w:rPr>
        <w:t>IT</w:t>
      </w:r>
      <w:r>
        <w:rPr>
          <w:spacing w:val="-2"/>
        </w:rPr>
        <w:t>基础设施领域，公司为企业客户提供</w:t>
      </w:r>
      <w:r>
        <w:rPr>
          <w:rFonts w:ascii="宋体" w:hAnsi="宋体" w:cs="宋体" w:eastAsia="宋体" w:hint="default"/>
          <w:spacing w:val="-2"/>
        </w:rPr>
        <w:t>IT</w:t>
      </w:r>
      <w:r>
        <w:rPr>
          <w:spacing w:val="-2"/>
        </w:rPr>
        <w:t>基础设施规划设计咨询、软硬件选型与部署实施等覆盖</w:t>
      </w:r>
      <w:r>
        <w:rPr>
          <w:rFonts w:ascii="宋体" w:hAnsi="宋体" w:cs="宋体" w:eastAsia="宋体" w:hint="default"/>
          <w:spacing w:val="-2"/>
        </w:rPr>
        <w:t>IT</w:t>
      </w:r>
      <w:r>
        <w:rPr>
          <w:spacing w:val="-2"/>
        </w:rPr>
        <w:t>基础设施建设全生命</w:t>
      </w:r>
      <w:r>
        <w:rPr/>
        <w:t> 周期的解决方案和服务，同时结合自有的软件产品，为客户提供</w:t>
      </w:r>
      <w:r>
        <w:rPr>
          <w:rFonts w:ascii="宋体" w:hAnsi="宋体" w:cs="宋体" w:eastAsia="宋体" w:hint="default"/>
        </w:rPr>
        <w:t>IT</w:t>
      </w:r>
      <w:r>
        <w:rPr/>
        <w:t>基础设施增值服务。</w:t>
      </w:r>
    </w:p>
    <w:p>
      <w:pPr>
        <w:pStyle w:val="BodyText"/>
        <w:spacing w:line="316" w:lineRule="auto" w:before="19"/>
        <w:ind w:right="1128" w:firstLine="360"/>
        <w:jc w:val="both"/>
      </w:pPr>
      <w:r>
        <w:rPr>
          <w:spacing w:val="-2"/>
        </w:rPr>
        <w:t>近期，公司</w:t>
      </w:r>
      <w:r>
        <w:rPr>
          <w:rFonts w:ascii="宋体" w:hAnsi="宋体" w:cs="宋体" w:eastAsia="宋体" w:hint="default"/>
          <w:spacing w:val="-2"/>
        </w:rPr>
        <w:t>IT</w:t>
      </w:r>
      <w:r>
        <w:rPr>
          <w:spacing w:val="-2"/>
        </w:rPr>
        <w:t>基础设施建设业务领域服务与解决方案以云计算为核心，提供：云服务交付及</w:t>
      </w:r>
      <w:r>
        <w:rPr>
          <w:rFonts w:ascii="宋体" w:hAnsi="宋体" w:cs="宋体" w:eastAsia="宋体" w:hint="default"/>
          <w:spacing w:val="-2"/>
        </w:rPr>
        <w:t>DevOps</w:t>
      </w:r>
      <w:r>
        <w:rPr>
          <w:spacing w:val="-2"/>
        </w:rPr>
        <w:t>运营服务、金融云管</w:t>
      </w:r>
      <w:r>
        <w:rPr/>
        <w:t> 理与一体化运维、</w:t>
      </w:r>
      <w:r>
        <w:rPr>
          <w:rFonts w:ascii="宋体" w:hAnsi="宋体" w:cs="宋体" w:eastAsia="宋体" w:hint="default"/>
        </w:rPr>
        <w:t>iPAAS</w:t>
      </w:r>
      <w:r>
        <w:rPr/>
        <w:t>服务交付及整合、</w:t>
      </w:r>
      <w:r>
        <w:rPr>
          <w:rFonts w:ascii="宋体" w:hAnsi="宋体" w:cs="宋体" w:eastAsia="宋体" w:hint="default"/>
        </w:rPr>
        <w:t>IAAS</w:t>
      </w:r>
      <w:r>
        <w:rPr/>
        <w:t>服务规划与交付。主要解决方案包括：云数据中心整体解决方案、云数据中</w:t>
      </w:r>
      <w:r>
        <w:rPr>
          <w:spacing w:val="-86"/>
        </w:rPr>
        <w:t> </w:t>
      </w:r>
      <w:r>
        <w:rPr>
          <w:spacing w:val="-86"/>
        </w:rPr>
      </w:r>
      <w:r>
        <w:rPr/>
        <w:t>心咨询规划方案、多租户云数据中心</w:t>
      </w:r>
      <w:r>
        <w:rPr>
          <w:rFonts w:ascii="宋体" w:hAnsi="宋体" w:cs="宋体" w:eastAsia="宋体" w:hint="default"/>
        </w:rPr>
        <w:t>SDN</w:t>
      </w:r>
      <w:r>
        <w:rPr/>
        <w:t>解决方案、多平台云化迁移解决方案、数字政务解决方案、智慧园区解决方案、智</w:t>
      </w:r>
      <w:r>
        <w:rPr>
          <w:spacing w:val="-84"/>
        </w:rPr>
        <w:t> </w:t>
      </w:r>
      <w:r>
        <w:rPr>
          <w:spacing w:val="-84"/>
        </w:rPr>
      </w:r>
      <w:r>
        <w:rPr/>
        <w:t>慧交通解决方案、一体化云管理平台、基于</w:t>
      </w:r>
      <w:r>
        <w:rPr>
          <w:rFonts w:ascii="宋体" w:hAnsi="宋体" w:cs="宋体" w:eastAsia="宋体" w:hint="default"/>
        </w:rPr>
        <w:t>ITSS</w:t>
      </w:r>
      <w:r>
        <w:rPr/>
        <w:t>管理规范的集成服务管理系统。</w:t>
      </w:r>
    </w:p>
    <w:p>
      <w:pPr>
        <w:spacing w:after="0" w:line="316"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16" w:lineRule="auto" w:before="44"/>
        <w:ind w:left="473" w:right="1129"/>
        <w:jc w:val="left"/>
      </w:pPr>
      <w:r>
        <w:rPr>
          <w:rFonts w:ascii="宋体" w:hAnsi="宋体" w:cs="宋体" w:eastAsia="宋体" w:hint="default"/>
        </w:rPr>
        <w:t>2</w:t>
      </w:r>
      <w:r>
        <w:rPr/>
        <w:t>、软件解决方案 </w:t>
      </w:r>
      <w:r>
        <w:rPr>
          <w:spacing w:val="-2"/>
        </w:rPr>
        <w:t>公司软件解决方案围绕银行业应用需求，形成了金融业务处理、数据管理与商业智能应用两大业务方向，并根据客户自</w:t>
      </w:r>
    </w:p>
    <w:p>
      <w:pPr>
        <w:pStyle w:val="BodyText"/>
        <w:spacing w:line="316" w:lineRule="auto" w:before="19"/>
        <w:ind w:right="1131"/>
        <w:jc w:val="both"/>
      </w:pPr>
      <w:r>
        <w:rPr>
          <w:spacing w:val="-2"/>
        </w:rPr>
        <w:t>身的业务特点，向客户提供以公司自主平台软件为基础的定制化软件解决方案。另外，公司还基于以银行类金融机构为代表</w:t>
      </w:r>
      <w:r>
        <w:rPr>
          <w:spacing w:val="-64"/>
        </w:rPr>
        <w:t> </w:t>
      </w:r>
      <w:r>
        <w:rPr>
          <w:spacing w:val="-64"/>
        </w:rPr>
      </w:r>
      <w:r>
        <w:rPr/>
        <w:t>的国内外大型企业运营中现实的需求，提供定量软件开发服务。</w:t>
      </w:r>
    </w:p>
    <w:p>
      <w:pPr>
        <w:pStyle w:val="BodyText"/>
        <w:spacing w:line="316" w:lineRule="auto" w:before="19"/>
        <w:ind w:right="1132" w:firstLine="360"/>
        <w:jc w:val="both"/>
      </w:pPr>
      <w:r>
        <w:rPr>
          <w:spacing w:val="-2"/>
        </w:rPr>
        <w:t>金融业务处理领域，公司基于自有版权软件产品</w:t>
      </w:r>
      <w:r>
        <w:rPr>
          <w:rFonts w:ascii="宋体" w:hAnsi="宋体" w:cs="宋体" w:eastAsia="宋体" w:hint="default"/>
          <w:spacing w:val="-2"/>
        </w:rPr>
        <w:t>Starring</w:t>
      </w:r>
      <w:r>
        <w:rPr>
          <w:spacing w:val="-2"/>
        </w:rPr>
        <w:t>，提供金融交易云平台解决方案。该平台采用微服务架构，结</w:t>
      </w:r>
      <w:r>
        <w:rPr/>
        <w:t> </w:t>
      </w:r>
      <w:r>
        <w:rPr>
          <w:spacing w:val="-2"/>
        </w:rPr>
        <w:t>合云计算技术，采用软件工厂化理念，帮助用户快速将传统</w:t>
      </w:r>
      <w:r>
        <w:rPr>
          <w:rFonts w:ascii="宋体" w:hAnsi="宋体" w:cs="宋体" w:eastAsia="宋体" w:hint="default"/>
          <w:spacing w:val="-2"/>
        </w:rPr>
        <w:t>IT</w:t>
      </w:r>
      <w:r>
        <w:rPr>
          <w:spacing w:val="-2"/>
        </w:rPr>
        <w:t>应用迁移到云计算架构，同时为客户提供基于云计算平台的应</w:t>
      </w:r>
      <w:r>
        <w:rPr>
          <w:spacing w:val="-64"/>
        </w:rPr>
        <w:t> </w:t>
      </w:r>
      <w:r>
        <w:rPr>
          <w:spacing w:val="-64"/>
        </w:rPr>
      </w:r>
      <w:r>
        <w:rPr/>
        <w:t>用解决方案，包括：</w:t>
      </w:r>
      <w:r>
        <w:rPr>
          <w:rFonts w:ascii="宋体" w:hAnsi="宋体" w:cs="宋体" w:eastAsia="宋体" w:hint="default"/>
        </w:rPr>
        <w:t>ESB</w:t>
      </w:r>
      <w:r>
        <w:rPr/>
        <w:t>、银行交易渠道及前置、中间业务、各类金融支付、电子银行等。</w:t>
      </w:r>
    </w:p>
    <w:p>
      <w:pPr>
        <w:pStyle w:val="BodyText"/>
        <w:spacing w:line="316" w:lineRule="auto" w:before="19"/>
        <w:ind w:right="1131" w:firstLine="360"/>
        <w:jc w:val="both"/>
      </w:pPr>
      <w:r>
        <w:rPr>
          <w:spacing w:val="-2"/>
        </w:rPr>
        <w:t>数据管理与商业智能应用领域，公司以自有版权软件产品</w:t>
      </w:r>
      <w:r>
        <w:rPr>
          <w:rFonts w:ascii="宋体" w:hAnsi="宋体" w:cs="宋体" w:eastAsia="宋体" w:hint="default"/>
          <w:spacing w:val="-2"/>
        </w:rPr>
        <w:t>iMOIA</w:t>
      </w:r>
      <w:r>
        <w:rPr>
          <w:spacing w:val="-2"/>
        </w:rPr>
        <w:t>、大数据平台（</w:t>
      </w:r>
      <w:r>
        <w:rPr>
          <w:rFonts w:ascii="宋体" w:hAnsi="宋体" w:cs="宋体" w:eastAsia="宋体" w:hint="default"/>
          <w:spacing w:val="-2"/>
        </w:rPr>
        <w:t>BDPAS&amp;Shark</w:t>
      </w:r>
      <w:r>
        <w:rPr>
          <w:spacing w:val="-2"/>
        </w:rPr>
        <w:t>系列产品）、</w:t>
      </w:r>
      <w:r>
        <w:rPr>
          <w:rFonts w:ascii="宋体" w:hAnsi="宋体" w:cs="宋体" w:eastAsia="宋体" w:hint="default"/>
          <w:spacing w:val="-2"/>
        </w:rPr>
        <w:t>UCSP</w:t>
      </w:r>
      <w:r>
        <w:rPr>
          <w:spacing w:val="-2"/>
        </w:rPr>
        <w:t>为核心，</w:t>
      </w:r>
      <w:r>
        <w:rPr/>
        <w:t> </w:t>
      </w:r>
      <w:r>
        <w:rPr>
          <w:spacing w:val="-2"/>
        </w:rPr>
        <w:t>搭建企业级大数据管理平台，提供核心的采集、数据集成开发、调度监控、大数据管理及配套的数据分析与展现平台、企业</w:t>
      </w:r>
      <w:r>
        <w:rPr>
          <w:spacing w:val="-67"/>
        </w:rPr>
        <w:t> </w:t>
      </w:r>
      <w:r>
        <w:rPr>
          <w:spacing w:val="-67"/>
        </w:rPr>
      </w:r>
      <w:r>
        <w:rPr>
          <w:spacing w:val="-2"/>
        </w:rPr>
        <w:t>级客户信息管理与客户服务平台、历史数据管理平台、数据治理平台、指标平台、基于大数据金融反欺诈、营销等应用解决</w:t>
      </w:r>
      <w:r>
        <w:rPr>
          <w:spacing w:val="-67"/>
        </w:rPr>
        <w:t> </w:t>
      </w:r>
      <w:r>
        <w:rPr>
          <w:spacing w:val="-67"/>
        </w:rPr>
      </w:r>
      <w:r>
        <w:rPr/>
        <w:t>方案。</w:t>
      </w:r>
    </w:p>
    <w:p>
      <w:pPr>
        <w:spacing w:line="240" w:lineRule="auto" w:before="4"/>
        <w:rPr>
          <w:rFonts w:ascii="宋体" w:hAnsi="宋体" w:cs="宋体" w:eastAsia="宋体" w:hint="default"/>
          <w:sz w:val="25"/>
          <w:szCs w:val="25"/>
        </w:rPr>
      </w:pPr>
    </w:p>
    <w:p>
      <w:pPr>
        <w:pStyle w:val="BodyText"/>
        <w:spacing w:line="316" w:lineRule="auto"/>
        <w:ind w:left="473" w:right="1129"/>
        <w:jc w:val="left"/>
      </w:pPr>
      <w:r>
        <w:rPr>
          <w:rFonts w:ascii="宋体" w:hAnsi="宋体" w:cs="宋体" w:eastAsia="宋体" w:hint="default"/>
        </w:rPr>
        <w:t>3</w:t>
      </w:r>
      <w:r>
        <w:rPr/>
        <w:t>、</w:t>
      </w:r>
      <w:r>
        <w:rPr>
          <w:rFonts w:ascii="宋体" w:hAnsi="宋体" w:cs="宋体" w:eastAsia="宋体" w:hint="default"/>
        </w:rPr>
        <w:t>IT</w:t>
      </w:r>
      <w:r>
        <w:rPr/>
        <w:t>运维服务</w:t>
      </w:r>
      <w:r>
        <w:rPr>
          <w:spacing w:val="-87"/>
        </w:rPr>
        <w:t> </w:t>
      </w:r>
      <w:r>
        <w:rPr>
          <w:rFonts w:ascii="宋体" w:hAnsi="宋体" w:cs="宋体" w:eastAsia="宋体" w:hint="default"/>
          <w:spacing w:val="-2"/>
        </w:rPr>
        <w:t>IT</w:t>
      </w:r>
      <w:r>
        <w:rPr>
          <w:spacing w:val="-2"/>
        </w:rPr>
        <w:t>运维服务业务基于</w:t>
      </w:r>
      <w:r>
        <w:rPr>
          <w:rFonts w:ascii="宋体" w:hAnsi="宋体" w:cs="宋体" w:eastAsia="宋体" w:hint="default"/>
          <w:spacing w:val="-2"/>
        </w:rPr>
        <w:t>ITIL</w:t>
      </w:r>
      <w:r>
        <w:rPr>
          <w:spacing w:val="-2"/>
        </w:rPr>
        <w:t>服务管理体系与</w:t>
      </w:r>
      <w:r>
        <w:rPr>
          <w:rFonts w:ascii="宋体" w:hAnsi="宋体" w:cs="宋体" w:eastAsia="宋体" w:hint="default"/>
          <w:spacing w:val="-2"/>
        </w:rPr>
        <w:t>ITSS</w:t>
      </w:r>
      <w:r>
        <w:rPr>
          <w:spacing w:val="-2"/>
        </w:rPr>
        <w:t>运维技术框架，为客户提供标准化、规范化的运维支持服务，包括基础软</w:t>
      </w:r>
    </w:p>
    <w:p>
      <w:pPr>
        <w:pStyle w:val="BodyText"/>
        <w:spacing w:line="316" w:lineRule="auto" w:before="19"/>
        <w:ind w:left="473" w:right="1133" w:hanging="361"/>
        <w:jc w:val="left"/>
      </w:pPr>
      <w:r>
        <w:rPr/>
        <w:t>硬件维保服务、系统运维服务、专项运维服务、系统及应用软件支持与维护服务。 基础软硬件维保服务包括：巡检服务、事件与问题支持、现场值守等。 系统运维服务包括：运维体系部署、系统监控管理、系统日常运维等。 专项运维服务：根据客户具体需求，结合自主研发的工具，提供专项服务。 </w:t>
      </w:r>
      <w:r>
        <w:rPr>
          <w:spacing w:val="-2"/>
        </w:rPr>
        <w:t>系统及应用软件支持与维护服务：根据客户要求，为已实施的软件解决方案提供定期巡检、故障排除、系统调优、系统</w:t>
      </w:r>
    </w:p>
    <w:p>
      <w:pPr>
        <w:pStyle w:val="BodyText"/>
        <w:spacing w:line="316" w:lineRule="auto" w:before="19"/>
        <w:ind w:right="1132"/>
        <w:jc w:val="both"/>
      </w:pPr>
      <w:r>
        <w:rPr>
          <w:spacing w:val="-2"/>
        </w:rPr>
        <w:t>变更支持等服务。另外，公司也为软件解决方案与</w:t>
      </w:r>
      <w:r>
        <w:rPr>
          <w:rFonts w:ascii="宋体" w:hAnsi="宋体" w:cs="宋体" w:eastAsia="宋体" w:hint="default"/>
          <w:spacing w:val="-2"/>
        </w:rPr>
        <w:t>IT</w:t>
      </w:r>
      <w:r>
        <w:rPr>
          <w:spacing w:val="-2"/>
        </w:rPr>
        <w:t>基础设施建设中使用的第三方应用软件产品提供全面的、端到端的专业</w:t>
      </w:r>
      <w:r>
        <w:rPr>
          <w:spacing w:val="-64"/>
        </w:rPr>
        <w:t> </w:t>
      </w:r>
      <w:r>
        <w:rPr>
          <w:spacing w:val="-64"/>
        </w:rPr>
      </w:r>
      <w:r>
        <w:rPr/>
        <w:t>支持服务。</w:t>
      </w:r>
    </w:p>
    <w:p>
      <w:pPr>
        <w:pStyle w:val="BodyText"/>
        <w:spacing w:line="240" w:lineRule="auto" w:before="19"/>
        <w:ind w:left="473" w:right="1133"/>
        <w:jc w:val="left"/>
      </w:pPr>
      <w:r>
        <w:rPr/>
        <w:t>基于公司自有版权软件产品</w:t>
      </w:r>
      <w:r>
        <w:rPr>
          <w:rFonts w:ascii="宋体" w:hAnsi="宋体" w:cs="宋体" w:eastAsia="宋体" w:hint="default"/>
        </w:rPr>
        <w:t>ANOS</w:t>
      </w:r>
      <w:r>
        <w:rPr/>
        <w:t>，建立符合</w:t>
      </w:r>
      <w:r>
        <w:rPr>
          <w:rFonts w:ascii="宋体" w:hAnsi="宋体" w:cs="宋体" w:eastAsia="宋体" w:hint="default"/>
        </w:rPr>
        <w:t>ITSS</w:t>
      </w:r>
      <w:r>
        <w:rPr/>
        <w:t>运维技术框架的全网络智能化管理及运维体系。</w:t>
      </w:r>
    </w:p>
    <w:p>
      <w:pPr>
        <w:spacing w:line="240" w:lineRule="auto" w:before="0"/>
        <w:rPr>
          <w:rFonts w:ascii="宋体" w:hAnsi="宋体" w:cs="宋体" w:eastAsia="宋体" w:hint="default"/>
          <w:sz w:val="18"/>
          <w:szCs w:val="18"/>
        </w:rPr>
      </w:pPr>
    </w:p>
    <w:p>
      <w:pPr>
        <w:pStyle w:val="BodyText"/>
        <w:spacing w:line="316" w:lineRule="auto" w:before="153"/>
        <w:ind w:left="473" w:right="1033"/>
        <w:jc w:val="left"/>
      </w:pPr>
      <w:r>
        <w:rPr/>
        <w:t>（三）行业地位 公司是国内银行</w:t>
      </w:r>
      <w:r>
        <w:rPr>
          <w:rFonts w:ascii="宋体" w:hAnsi="宋体" w:cs="宋体" w:eastAsia="宋体" w:hint="default"/>
        </w:rPr>
        <w:t>IT</w:t>
      </w:r>
      <w:r>
        <w:rPr/>
        <w:t>服务的重要参与者，是国内少数几家同时为工商银行、建设银行、农业银行、中国银行、交通银行、</w:t>
      </w:r>
    </w:p>
    <w:p>
      <w:pPr>
        <w:pStyle w:val="BodyText"/>
        <w:spacing w:line="316" w:lineRule="auto" w:before="19"/>
        <w:ind w:right="1129"/>
        <w:jc w:val="both"/>
      </w:pPr>
      <w:r>
        <w:rPr>
          <w:spacing w:val="-2"/>
        </w:rPr>
        <w:t>邮政储蓄银行提供</w:t>
      </w:r>
      <w:r>
        <w:rPr>
          <w:rFonts w:ascii="宋体" w:hAnsi="宋体" w:cs="宋体" w:eastAsia="宋体" w:hint="default"/>
          <w:spacing w:val="-2"/>
        </w:rPr>
        <w:t>IT</w:t>
      </w:r>
      <w:r>
        <w:rPr>
          <w:spacing w:val="-2"/>
        </w:rPr>
        <w:t>基础设施建设及运维服务的服务商之一；公司也是国内银行业务处理、大数据领域知名的软件解决方案</w:t>
      </w:r>
      <w:r>
        <w:rPr>
          <w:spacing w:val="-63"/>
        </w:rPr>
        <w:t> </w:t>
      </w:r>
      <w:r>
        <w:rPr>
          <w:spacing w:val="-63"/>
        </w:rPr>
      </w:r>
      <w:r>
        <w:rPr/>
        <w:t>供应商，公司自有版权软件产品</w:t>
      </w:r>
      <w:r>
        <w:rPr>
          <w:rFonts w:ascii="宋体" w:hAnsi="宋体" w:cs="宋体" w:eastAsia="宋体" w:hint="default"/>
        </w:rPr>
        <w:t>Starring</w:t>
      </w:r>
      <w:r>
        <w:rPr/>
        <w:t>、</w:t>
      </w:r>
      <w:r>
        <w:rPr>
          <w:rFonts w:ascii="宋体" w:hAnsi="宋体" w:cs="宋体" w:eastAsia="宋体" w:hint="default"/>
        </w:rPr>
        <w:t>iMOIA</w:t>
      </w:r>
      <w:r>
        <w:rPr/>
        <w:t>、大数据平台在国内银行业拥有广泛的用户基础。近年来，凭借在</w:t>
      </w:r>
      <w:r>
        <w:rPr>
          <w:rFonts w:ascii="宋体" w:hAnsi="宋体" w:cs="宋体" w:eastAsia="宋体" w:hint="default"/>
        </w:rPr>
        <w:t>IT</w:t>
      </w:r>
      <w:r>
        <w:rPr/>
        <w:t>基础</w:t>
      </w:r>
      <w:r>
        <w:rPr>
          <w:spacing w:val="-87"/>
        </w:rPr>
        <w:t> </w:t>
      </w:r>
      <w:r>
        <w:rPr>
          <w:spacing w:val="-2"/>
        </w:rPr>
        <w:t>设施建设领域积累的丰富经验与技术能力，公司成为多家大型互联网企业服务商，在智慧园区</w:t>
      </w:r>
      <w:r>
        <w:rPr>
          <w:rFonts w:ascii="宋体" w:hAnsi="宋体" w:cs="宋体" w:eastAsia="宋体" w:hint="default"/>
          <w:spacing w:val="-2"/>
        </w:rPr>
        <w:t>IT</w:t>
      </w:r>
      <w:r>
        <w:rPr>
          <w:spacing w:val="-2"/>
        </w:rPr>
        <w:t>基础设施建设领域，也取得</w:t>
      </w:r>
      <w:r>
        <w:rPr>
          <w:spacing w:val="-61"/>
        </w:rPr>
        <w:t> </w:t>
      </w:r>
      <w:r>
        <w:rPr>
          <w:spacing w:val="-61"/>
        </w:rPr>
      </w:r>
      <w:r>
        <w:rPr/>
        <w:t>了初步进展。</w:t>
      </w:r>
    </w:p>
    <w:p>
      <w:pPr>
        <w:pStyle w:val="BodyText"/>
        <w:spacing w:line="240" w:lineRule="auto" w:before="19"/>
        <w:ind w:left="473" w:right="1133"/>
        <w:jc w:val="left"/>
      </w:pPr>
      <w:r>
        <w:rPr/>
        <w:t>公司主要资质包括：</w:t>
      </w:r>
    </w:p>
    <w:p>
      <w:pPr>
        <w:spacing w:after="0" w:line="240" w:lineRule="auto"/>
        <w:jc w:val="left"/>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p>
      <w:pPr>
        <w:spacing w:line="11157" w:lineRule="exact"/>
        <w:ind w:left="1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2"/>
          <w:sz w:val="20"/>
          <w:szCs w:val="20"/>
        </w:rPr>
        <w:drawing>
          <wp:inline distT="0" distB="0" distL="0" distR="0">
            <wp:extent cx="6154566" cy="708488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6154566" cy="7084885"/>
                    </a:xfrm>
                    <a:prstGeom prst="rect">
                      <a:avLst/>
                    </a:prstGeom>
                  </pic:spPr>
                </pic:pic>
              </a:graphicData>
            </a:graphic>
          </wp:inline>
        </w:drawing>
      </w:r>
      <w:r>
        <w:rPr>
          <w:rFonts w:ascii="Times New Roman" w:hAnsi="Times New Roman" w:cs="Times New Roman" w:eastAsia="Times New Roman" w:hint="default"/>
          <w:position w:val="-222"/>
          <w:sz w:val="20"/>
          <w:szCs w:val="20"/>
        </w:rPr>
      </w:r>
    </w:p>
    <w:p>
      <w:pPr>
        <w:spacing w:after="0" w:line="11157" w:lineRule="exact"/>
        <w:rPr>
          <w:rFonts w:ascii="Times New Roman" w:hAnsi="Times New Roman" w:cs="Times New Roman" w:eastAsia="Times New Roman" w:hint="default"/>
          <w:sz w:val="20"/>
          <w:szCs w:val="20"/>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3"/>
        <w:spacing w:line="240" w:lineRule="auto" w:before="26"/>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19"/>
      </w:tblGrid>
      <w:tr>
        <w:trPr>
          <w:trHeight w:val="7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离职人员股权回购</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上期购买的办公场地本期取得产权，转入固定资产</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自研资本化项目取得软件著作权并形成无形资产</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left"/>
      </w:pPr>
      <w:r>
        <w:rPr>
          <w:spacing w:val="-2"/>
        </w:rPr>
        <w:t>公司自成立以来，深耕企业</w:t>
      </w:r>
      <w:r>
        <w:rPr>
          <w:rFonts w:ascii="宋体" w:hAnsi="宋体" w:cs="宋体" w:eastAsia="宋体" w:hint="default"/>
          <w:spacing w:val="-2"/>
        </w:rPr>
        <w:t>IT</w:t>
      </w:r>
      <w:r>
        <w:rPr>
          <w:spacing w:val="-2"/>
        </w:rPr>
        <w:t>服务，在客户资源与品牌、产品、人才与团队、技术与经验、供应商合作、营销服务网络</w:t>
      </w:r>
      <w:r>
        <w:rPr/>
        <w:t> 分布方面形成了独特的竞争优势，使公司在高度分散的</w:t>
      </w:r>
      <w:r>
        <w:rPr>
          <w:rFonts w:ascii="宋体" w:hAnsi="宋体" w:cs="宋体" w:eastAsia="宋体" w:hint="default"/>
        </w:rPr>
        <w:t>IT</w:t>
      </w:r>
      <w:r>
        <w:rPr/>
        <w:t>服务市场中拥有良好的口碑。</w:t>
      </w:r>
    </w:p>
    <w:p>
      <w:pPr>
        <w:pStyle w:val="BodyText"/>
        <w:spacing w:line="316" w:lineRule="auto" w:before="19"/>
        <w:ind w:left="473" w:right="1129"/>
        <w:jc w:val="left"/>
      </w:pPr>
      <w:r>
        <w:rPr>
          <w:rFonts w:ascii="宋体" w:hAnsi="宋体" w:cs="宋体" w:eastAsia="宋体" w:hint="default"/>
        </w:rPr>
        <w:t>1</w:t>
      </w:r>
      <w:r>
        <w:rPr/>
        <w:t>、客户资源与品牌优势 </w:t>
      </w:r>
      <w:r>
        <w:rPr>
          <w:spacing w:val="-2"/>
        </w:rPr>
        <w:t>经过十余年的发展，公司积累了国有大型商业银行、全国性股份制商业银行、区域性银行、大型互联网企业等众多的高</w:t>
      </w:r>
    </w:p>
    <w:p>
      <w:pPr>
        <w:pStyle w:val="BodyText"/>
        <w:spacing w:line="316" w:lineRule="auto" w:before="19"/>
        <w:ind w:right="0"/>
        <w:jc w:val="left"/>
      </w:pPr>
      <w:r>
        <w:rPr>
          <w:spacing w:val="-4"/>
        </w:rPr>
        <w:t>端客户。很多客户与公司建立了持续多年的业务合作关系。依靠稳固的客户基础，公司在客户提出新需求时具备了先发优势，</w:t>
      </w:r>
      <w:r>
        <w:rPr>
          <w:spacing w:val="-44"/>
        </w:rPr>
        <w:t> </w:t>
      </w:r>
      <w:r>
        <w:rPr>
          <w:spacing w:val="-44"/>
        </w:rPr>
      </w:r>
      <w:r>
        <w:rPr/>
        <w:t>也得以分享客户持续建设需求带来的巨大市场空间。</w:t>
      </w:r>
    </w:p>
    <w:p>
      <w:pPr>
        <w:pStyle w:val="BodyText"/>
        <w:spacing w:line="316" w:lineRule="auto" w:before="19"/>
        <w:ind w:right="1034" w:firstLine="360"/>
        <w:jc w:val="left"/>
      </w:pPr>
      <w:r>
        <w:rPr>
          <w:spacing w:val="-2"/>
        </w:rPr>
        <w:t>作为公司主要客户群的银行业对</w:t>
      </w:r>
      <w:r>
        <w:rPr>
          <w:rFonts w:ascii="宋体" w:hAnsi="宋体" w:cs="宋体" w:eastAsia="宋体" w:hint="default"/>
          <w:spacing w:val="-2"/>
        </w:rPr>
        <w:t>IT</w:t>
      </w:r>
      <w:r>
        <w:rPr>
          <w:spacing w:val="-2"/>
        </w:rPr>
        <w:t>服务商的技术水平和服务能力提出了较高的要求。公司的平台软件产品均是承担银行</w:t>
      </w:r>
      <w:r>
        <w:rPr/>
        <w:t> </w:t>
      </w:r>
      <w:r>
        <w:rPr>
          <w:rFonts w:ascii="宋体" w:hAnsi="宋体" w:cs="宋体" w:eastAsia="宋体" w:hint="default"/>
          <w:spacing w:val="-2"/>
        </w:rPr>
        <w:t>IT</w:t>
      </w:r>
      <w:r>
        <w:rPr>
          <w:spacing w:val="-2"/>
        </w:rPr>
        <w:t>系统关键交易信息与数据交换的基础平台，产品可靠性要求苛刻。公司与大中型银行客户稳固的业务关系在业内形成了良</w:t>
      </w:r>
      <w:r>
        <w:rPr>
          <w:spacing w:val="-63"/>
        </w:rPr>
        <w:t> </w:t>
      </w:r>
      <w:r>
        <w:rPr>
          <w:spacing w:val="-63"/>
        </w:rPr>
      </w:r>
      <w:r>
        <w:rPr/>
        <w:t>好的示范效应。在对国内银行业客户的长期服务过程中，公司的技术水平与服务能力不断增强，而公司高质量的服务水平、 </w:t>
      </w:r>
      <w:r>
        <w:rPr>
          <w:spacing w:val="-2"/>
        </w:rPr>
        <w:t>高可靠性的软件产品及稳健的经营风格也获得了良好口碑，进一步提高了公司的品牌知名度。近年来，公司良好的品牌形象</w:t>
      </w:r>
      <w:r>
        <w:rPr>
          <w:spacing w:val="-66"/>
        </w:rPr>
        <w:t> </w:t>
      </w:r>
      <w:r>
        <w:rPr>
          <w:spacing w:val="-66"/>
        </w:rPr>
      </w:r>
      <w:r>
        <w:rPr>
          <w:spacing w:val="-2"/>
        </w:rPr>
        <w:t>有力地促进了公司拓展和维护银行业及其他行业的优质客户，形成了全面的市场覆盖，使公司的客户资源与品牌优势持续提</w:t>
      </w:r>
      <w:r>
        <w:rPr>
          <w:spacing w:val="-64"/>
        </w:rPr>
        <w:t> </w:t>
      </w:r>
      <w:r>
        <w:rPr>
          <w:spacing w:val="-64"/>
        </w:rPr>
      </w:r>
      <w:r>
        <w:rPr/>
        <w:t>升。</w:t>
      </w:r>
    </w:p>
    <w:p>
      <w:pPr>
        <w:pStyle w:val="BodyText"/>
        <w:spacing w:line="240" w:lineRule="auto" w:before="19"/>
        <w:ind w:left="473" w:right="1133"/>
        <w:jc w:val="left"/>
      </w:pPr>
      <w:r>
        <w:rPr>
          <w:rFonts w:ascii="宋体" w:hAnsi="宋体" w:cs="宋体" w:eastAsia="宋体" w:hint="default"/>
        </w:rPr>
        <w:t>2</w:t>
      </w:r>
      <w:r>
        <w:rPr/>
        <w:t>、产品优势</w:t>
      </w:r>
    </w:p>
    <w:p>
      <w:pPr>
        <w:pStyle w:val="BodyText"/>
        <w:spacing w:line="316" w:lineRule="auto" w:before="76"/>
        <w:ind w:left="473" w:right="1129"/>
        <w:jc w:val="left"/>
      </w:pPr>
      <w:r>
        <w:rPr/>
        <w:t>（</w:t>
      </w:r>
      <w:r>
        <w:rPr>
          <w:rFonts w:ascii="宋体" w:hAnsi="宋体" w:cs="宋体" w:eastAsia="宋体" w:hint="default"/>
        </w:rPr>
        <w:t>1</w:t>
      </w:r>
      <w:r>
        <w:rPr/>
        <w:t>）软件产品具有高粘性优势 </w:t>
      </w:r>
      <w:r>
        <w:rPr>
          <w:spacing w:val="-2"/>
        </w:rPr>
        <w:t>公司绝大多数软件解决方案基于自主研发的开发运行管理平台，是封装于客户各</w:t>
      </w:r>
      <w:r>
        <w:rPr>
          <w:rFonts w:ascii="宋体" w:hAnsi="宋体" w:cs="宋体" w:eastAsia="宋体" w:hint="default"/>
          <w:spacing w:val="-2"/>
        </w:rPr>
        <w:t>IT</w:t>
      </w:r>
      <w:r>
        <w:rPr>
          <w:spacing w:val="-2"/>
        </w:rPr>
        <w:t>系统之上的平台软件产品，客户粘性</w:t>
      </w:r>
    </w:p>
    <w:p>
      <w:pPr>
        <w:pStyle w:val="BodyText"/>
        <w:spacing w:line="319" w:lineRule="auto" w:before="19"/>
        <w:ind w:right="1129"/>
        <w:jc w:val="left"/>
      </w:pPr>
      <w:r>
        <w:rPr>
          <w:spacing w:val="-2"/>
        </w:rPr>
        <w:t>极强。另一方面，由于应用型系统的成功实施需要与平台软件有效结合，公司在承接后续应用型系统开发项目方面具有明显</w:t>
      </w:r>
      <w:r>
        <w:rPr>
          <w:spacing w:val="-66"/>
        </w:rPr>
        <w:t> </w:t>
      </w:r>
      <w:r>
        <w:rPr>
          <w:spacing w:val="-66"/>
        </w:rPr>
      </w:r>
      <w:r>
        <w:rPr/>
        <w:t>的优势。此外，公司在平台软件基础上构建的新应用型软件产品由于已有大量用户基础，也会有较好的推广前景。</w:t>
      </w:r>
    </w:p>
    <w:p>
      <w:pPr>
        <w:pStyle w:val="BodyText"/>
        <w:spacing w:line="316" w:lineRule="auto" w:before="17"/>
        <w:ind w:left="473" w:right="1129"/>
        <w:jc w:val="left"/>
      </w:pPr>
      <w:r>
        <w:rPr/>
        <w:t>（</w:t>
      </w:r>
      <w:r>
        <w:rPr>
          <w:rFonts w:ascii="宋体" w:hAnsi="宋体" w:cs="宋体" w:eastAsia="宋体" w:hint="default"/>
        </w:rPr>
        <w:t>2</w:t>
      </w:r>
      <w:r>
        <w:rPr/>
        <w:t>）公司细分业务之间形成了协同效应 </w:t>
      </w:r>
      <w:r>
        <w:rPr>
          <w:spacing w:val="-2"/>
        </w:rPr>
        <w:t>公司的软件解决方案、</w:t>
      </w:r>
      <w:r>
        <w:rPr>
          <w:rFonts w:ascii="宋体" w:hAnsi="宋体" w:cs="宋体" w:eastAsia="宋体" w:hint="default"/>
          <w:spacing w:val="-2"/>
        </w:rPr>
        <w:t>IT</w:t>
      </w:r>
      <w:r>
        <w:rPr>
          <w:spacing w:val="-2"/>
        </w:rPr>
        <w:t>基础设施建设、</w:t>
      </w:r>
      <w:r>
        <w:rPr>
          <w:rFonts w:ascii="宋体" w:hAnsi="宋体" w:cs="宋体" w:eastAsia="宋体" w:hint="default"/>
          <w:spacing w:val="-2"/>
        </w:rPr>
        <w:t>IT</w:t>
      </w:r>
      <w:r>
        <w:rPr>
          <w:spacing w:val="-2"/>
        </w:rPr>
        <w:t>运维服务三类细分业务相辅相成，面向同类客户，每条业务线都能够在销售</w:t>
      </w:r>
    </w:p>
    <w:p>
      <w:pPr>
        <w:pStyle w:val="BodyText"/>
        <w:spacing w:line="316" w:lineRule="auto" w:before="19"/>
        <w:ind w:left="473" w:right="1129" w:hanging="361"/>
        <w:jc w:val="left"/>
      </w:pPr>
      <w:r>
        <w:rPr/>
        <w:t>和实施中为其他业务线创造机会，实现交叉销售，也积累了较多的成功经验。 </w:t>
      </w:r>
      <w:r>
        <w:rPr>
          <w:spacing w:val="-2"/>
        </w:rPr>
        <w:t>公司业务范围全面涵盖了</w:t>
      </w:r>
      <w:r>
        <w:rPr>
          <w:rFonts w:ascii="宋体" w:hAnsi="宋体" w:cs="宋体" w:eastAsia="宋体" w:hint="default"/>
          <w:spacing w:val="-2"/>
        </w:rPr>
        <w:t>IT</w:t>
      </w:r>
      <w:r>
        <w:rPr>
          <w:spacing w:val="-2"/>
        </w:rPr>
        <w:t>服务三大领域，这使得公司具备对客户全方位的综合服务能力，同时在三项业务开展过程中</w:t>
      </w:r>
    </w:p>
    <w:p>
      <w:pPr>
        <w:pStyle w:val="BodyText"/>
        <w:spacing w:line="316" w:lineRule="auto" w:before="19"/>
        <w:ind w:right="1129"/>
        <w:jc w:val="left"/>
      </w:pPr>
      <w:r>
        <w:rPr>
          <w:spacing w:val="-2"/>
        </w:rPr>
        <w:t>也使得公司对银行类客户的需求具备更加全面、深入的理解，进而令公司在产品研发、市场开拓、后续服务方面拥有明显的</w:t>
      </w:r>
      <w:r>
        <w:rPr>
          <w:spacing w:val="-64"/>
        </w:rPr>
        <w:t> </w:t>
      </w:r>
      <w:r>
        <w:rPr>
          <w:spacing w:val="-64"/>
        </w:rPr>
      </w:r>
      <w:r>
        <w:rPr/>
        <w:t>竞争优势。</w:t>
      </w:r>
    </w:p>
    <w:p>
      <w:pPr>
        <w:pStyle w:val="BodyText"/>
        <w:spacing w:line="316" w:lineRule="auto" w:before="18"/>
        <w:ind w:left="473" w:right="0"/>
        <w:jc w:val="left"/>
      </w:pPr>
      <w:r>
        <w:rPr>
          <w:rFonts w:ascii="宋体" w:hAnsi="宋体" w:cs="宋体" w:eastAsia="宋体" w:hint="default"/>
        </w:rPr>
        <w:t>3</w:t>
      </w:r>
      <w:r>
        <w:rPr/>
        <w:t>、人才与团队优势 </w:t>
      </w:r>
      <w:r>
        <w:rPr>
          <w:spacing w:val="-2"/>
        </w:rPr>
        <w:t>公司在十多年的项目实施过程中，培养了一批银行业</w:t>
      </w:r>
      <w:r>
        <w:rPr>
          <w:rFonts w:ascii="宋体" w:hAnsi="宋体" w:cs="宋体" w:eastAsia="宋体" w:hint="default"/>
          <w:spacing w:val="-2"/>
        </w:rPr>
        <w:t>IT</w:t>
      </w:r>
      <w:r>
        <w:rPr>
          <w:spacing w:val="-2"/>
        </w:rPr>
        <w:t>领域的专家级人才，形成了一支基于公司多年积累的、熟悉国内</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1"/>
        <w:jc w:val="both"/>
      </w:pPr>
      <w:r>
        <w:rPr/>
        <w:t>银行管理模式和业务特点的技术队伍。截至报告期末，公司技术人员及研发人员总数达</w:t>
      </w:r>
      <w:r>
        <w:rPr>
          <w:rFonts w:ascii="宋体" w:hAnsi="宋体" w:cs="宋体" w:eastAsia="宋体" w:hint="default"/>
        </w:rPr>
        <w:t>1,626</w:t>
      </w:r>
      <w:r>
        <w:rPr/>
        <w:t>人，占公司员工总数的比例达</w:t>
      </w:r>
      <w:r>
        <w:rPr>
          <w:spacing w:val="-84"/>
        </w:rPr>
        <w:t> </w:t>
      </w:r>
      <w:r>
        <w:rPr>
          <w:rFonts w:ascii="宋体" w:hAnsi="宋体" w:cs="宋体" w:eastAsia="宋体" w:hint="default"/>
        </w:rPr>
        <w:t>87%</w:t>
      </w:r>
      <w:r>
        <w:rPr/>
        <w:t>。公司的服务团队成员均经过严格的培训，拥有符合行业</w:t>
      </w:r>
      <w:r>
        <w:rPr>
          <w:rFonts w:ascii="宋体" w:hAnsi="宋体" w:cs="宋体" w:eastAsia="宋体" w:hint="default"/>
        </w:rPr>
        <w:t>IT</w:t>
      </w:r>
      <w:r>
        <w:rPr/>
        <w:t>服务需求的专业技能储备。</w:t>
      </w:r>
    </w:p>
    <w:p>
      <w:pPr>
        <w:pStyle w:val="BodyText"/>
        <w:spacing w:line="316" w:lineRule="auto" w:before="17"/>
        <w:ind w:right="1128" w:firstLine="360"/>
        <w:jc w:val="both"/>
      </w:pPr>
      <w:r>
        <w:rPr>
          <w:spacing w:val="-2"/>
        </w:rPr>
        <w:t>公司管理层与核心团队长期专注于银行业</w:t>
      </w:r>
      <w:r>
        <w:rPr>
          <w:rFonts w:ascii="宋体" w:hAnsi="宋体" w:cs="宋体" w:eastAsia="宋体" w:hint="default"/>
          <w:spacing w:val="-2"/>
        </w:rPr>
        <w:t>IT</w:t>
      </w:r>
      <w:r>
        <w:rPr>
          <w:spacing w:val="-2"/>
        </w:rPr>
        <w:t>服务行业，管理层与核心技术人员的平均从业年限超过</w:t>
      </w:r>
      <w:r>
        <w:rPr>
          <w:rFonts w:ascii="宋体" w:hAnsi="宋体" w:cs="宋体" w:eastAsia="宋体" w:hint="default"/>
          <w:spacing w:val="-2"/>
        </w:rPr>
        <w:t>20</w:t>
      </w:r>
      <w:r>
        <w:rPr>
          <w:spacing w:val="-2"/>
        </w:rPr>
        <w:t>年，均是公司的创</w:t>
      </w:r>
      <w:r>
        <w:rPr/>
        <w:t> </w:t>
      </w:r>
      <w:r>
        <w:rPr>
          <w:spacing w:val="-2"/>
        </w:rPr>
        <w:t>业团队成员。公司建立了人性化的管理办法和具有市场竞争力的考核激励机制，形成了务实稳健的公司文化。公司的管理层</w:t>
      </w:r>
      <w:r>
        <w:rPr>
          <w:spacing w:val="-63"/>
        </w:rPr>
        <w:t> </w:t>
      </w:r>
      <w:r>
        <w:rPr>
          <w:spacing w:val="-63"/>
        </w:rPr>
      </w:r>
      <w:r>
        <w:rPr/>
        <w:t>与核心团队深刻认同公司的经营理念，使公司核心团队保持长期稳定。</w:t>
      </w:r>
    </w:p>
    <w:p>
      <w:pPr>
        <w:pStyle w:val="BodyText"/>
        <w:spacing w:line="316" w:lineRule="auto" w:before="19"/>
        <w:ind w:left="473" w:right="4813"/>
        <w:jc w:val="left"/>
      </w:pPr>
      <w:r>
        <w:rPr>
          <w:rFonts w:ascii="宋体" w:hAnsi="宋体" w:cs="宋体" w:eastAsia="宋体" w:hint="default"/>
        </w:rPr>
        <w:t>4</w:t>
      </w:r>
      <w:r>
        <w:rPr/>
        <w:t>、技术创新与项目经验优势 公司拥有雄厚的技术创新实力，以及领先的技术研发和项目实施经验。</w:t>
      </w:r>
    </w:p>
    <w:p>
      <w:pPr>
        <w:pStyle w:val="BodyText"/>
        <w:spacing w:line="316" w:lineRule="auto" w:before="19"/>
        <w:ind w:right="1041" w:firstLine="360"/>
        <w:jc w:val="left"/>
      </w:pPr>
      <w:r>
        <w:rPr>
          <w:rFonts w:ascii="宋体" w:hAnsi="宋体" w:cs="宋体" w:eastAsia="宋体" w:hint="default"/>
        </w:rPr>
        <w:t>IT</w:t>
      </w:r>
      <w:r>
        <w:rPr/>
        <w:t>基础设施建设及</w:t>
      </w:r>
      <w:r>
        <w:rPr>
          <w:rFonts w:ascii="宋体" w:hAnsi="宋体" w:cs="宋体" w:eastAsia="宋体" w:hint="default"/>
        </w:rPr>
        <w:t>IT</w:t>
      </w:r>
      <w:r>
        <w:rPr/>
        <w:t>运维服务方面，公司拥有信息系统集成及服务一级资质，并通过了</w:t>
      </w:r>
      <w:r>
        <w:rPr>
          <w:rFonts w:ascii="宋体" w:hAnsi="宋体" w:cs="宋体" w:eastAsia="宋体" w:hint="default"/>
        </w:rPr>
        <w:t>CMMI</w:t>
      </w:r>
      <w:r>
        <w:rPr>
          <w:rFonts w:ascii="宋体" w:hAnsi="宋体" w:cs="宋体" w:eastAsia="宋体" w:hint="default"/>
          <w:spacing w:val="-7"/>
        </w:rPr>
        <w:t> </w:t>
      </w:r>
      <w:r>
        <w:rPr>
          <w:rFonts w:ascii="宋体" w:hAnsi="宋体" w:cs="宋体" w:eastAsia="宋体" w:hint="default"/>
        </w:rPr>
        <w:t>L3</w:t>
      </w:r>
      <w:r>
        <w:rPr/>
        <w:t>、</w:t>
      </w:r>
      <w:r>
        <w:rPr>
          <w:rFonts w:ascii="宋体" w:hAnsi="宋体" w:cs="宋体" w:eastAsia="宋体" w:hint="default"/>
        </w:rPr>
        <w:t>ISO9001</w:t>
      </w:r>
      <w:r>
        <w:rPr/>
        <w:t>、</w:t>
      </w:r>
      <w:r>
        <w:rPr>
          <w:rFonts w:ascii="宋体" w:hAnsi="宋体" w:cs="宋体" w:eastAsia="宋体" w:hint="default"/>
        </w:rPr>
        <w:t>ISO20000</w:t>
      </w:r>
      <w:r>
        <w:rPr/>
        <w:t>、 </w:t>
      </w:r>
      <w:r>
        <w:rPr>
          <w:rFonts w:ascii="宋体" w:hAnsi="宋体" w:cs="宋体" w:eastAsia="宋体" w:hint="default"/>
        </w:rPr>
        <w:t>ISO27001</w:t>
      </w:r>
      <w:r>
        <w:rPr/>
        <w:t>、</w:t>
      </w:r>
      <w:r>
        <w:rPr>
          <w:rFonts w:ascii="宋体" w:hAnsi="宋体" w:cs="宋体" w:eastAsia="宋体" w:hint="default"/>
        </w:rPr>
        <w:t>ITSS</w:t>
      </w:r>
      <w:r>
        <w:rPr/>
        <w:t>等核心资质认证，具备了行业领先的</w:t>
      </w:r>
      <w:r>
        <w:rPr>
          <w:rFonts w:ascii="宋体" w:hAnsi="宋体" w:cs="宋体" w:eastAsia="宋体" w:hint="default"/>
        </w:rPr>
        <w:t>IT</w:t>
      </w:r>
      <w:r>
        <w:rPr/>
        <w:t>基础设施服务认证保障。</w:t>
      </w:r>
    </w:p>
    <w:p>
      <w:pPr>
        <w:pStyle w:val="BodyText"/>
        <w:spacing w:line="319" w:lineRule="auto" w:before="19"/>
        <w:ind w:right="1129" w:firstLine="360"/>
        <w:jc w:val="both"/>
      </w:pPr>
      <w:r>
        <w:rPr>
          <w:spacing w:val="-2"/>
        </w:rPr>
        <w:t>公司基于长期的专业服务经验，建立了服务运营管理平台，结合公司广泛的服务网点分布，实现了对服务产品运营、交</w:t>
      </w:r>
      <w:r>
        <w:rPr/>
        <w:t> </w:t>
      </w:r>
      <w:r>
        <w:rPr>
          <w:spacing w:val="-2"/>
        </w:rPr>
        <w:t>付及审计的全流程信息化管理，有效降低了单纯依靠人工手段维护可能引发的系统性风险，保证了对客户的服务品质，形成</w:t>
      </w:r>
      <w:r>
        <w:rPr>
          <w:spacing w:val="-65"/>
        </w:rPr>
        <w:t> </w:t>
      </w:r>
      <w:r>
        <w:rPr>
          <w:spacing w:val="-65"/>
        </w:rPr>
      </w:r>
      <w:r>
        <w:rPr>
          <w:spacing w:val="-2"/>
        </w:rPr>
        <w:t>了从架构设计、选型、安装调试到日常运营维护的全流程</w:t>
      </w:r>
      <w:r>
        <w:rPr>
          <w:rFonts w:ascii="宋体" w:hAnsi="宋体" w:cs="宋体" w:eastAsia="宋体" w:hint="default"/>
          <w:spacing w:val="-2"/>
        </w:rPr>
        <w:t>IT</w:t>
      </w:r>
      <w:r>
        <w:rPr>
          <w:spacing w:val="-2"/>
        </w:rPr>
        <w:t>基础设施服务模式。经过大量、广泛的项目经验积累，公司对主</w:t>
      </w:r>
      <w:r>
        <w:rPr>
          <w:spacing w:val="-66"/>
        </w:rPr>
        <w:t> </w:t>
      </w:r>
      <w:r>
        <w:rPr>
          <w:spacing w:val="-66"/>
        </w:rPr>
      </w:r>
      <w:r>
        <w:rPr>
          <w:spacing w:val="-2"/>
        </w:rPr>
        <w:t>要客户的</w:t>
      </w:r>
      <w:r>
        <w:rPr>
          <w:rFonts w:ascii="宋体" w:hAnsi="宋体" w:cs="宋体" w:eastAsia="宋体" w:hint="default"/>
          <w:spacing w:val="-2"/>
        </w:rPr>
        <w:t>IT</w:t>
      </w:r>
      <w:r>
        <w:rPr>
          <w:spacing w:val="-2"/>
        </w:rPr>
        <w:t>环境已经非常熟悉，能够快速完成现有客户的系统服务工作，同时也可以通过已积累的经验知识对新客户的系统</w:t>
      </w:r>
      <w:r>
        <w:rPr>
          <w:spacing w:val="-63"/>
        </w:rPr>
        <w:t> </w:t>
      </w:r>
      <w:r>
        <w:rPr>
          <w:spacing w:val="-63"/>
        </w:rPr>
      </w:r>
      <w:r>
        <w:rPr>
          <w:spacing w:val="-2"/>
        </w:rPr>
        <w:t>问题作出有效预判。公司借助运维服务管理平台，在传统</w:t>
      </w:r>
      <w:r>
        <w:rPr>
          <w:rFonts w:ascii="宋体" w:hAnsi="宋体" w:cs="宋体" w:eastAsia="宋体" w:hint="default"/>
          <w:spacing w:val="-2"/>
        </w:rPr>
        <w:t>IT</w:t>
      </w:r>
      <w:r>
        <w:rPr>
          <w:spacing w:val="-2"/>
        </w:rPr>
        <w:t>运维服务的基础上推出系统运维服务等创新服务模式，通过电子</w:t>
      </w:r>
      <w:r>
        <w:rPr>
          <w:spacing w:val="-61"/>
        </w:rPr>
        <w:t> </w:t>
      </w:r>
      <w:r>
        <w:rPr>
          <w:spacing w:val="-61"/>
        </w:rPr>
      </w:r>
      <w:r>
        <w:rPr>
          <w:spacing w:val="-2"/>
        </w:rPr>
        <w:t>化、自动化的流程管理打包负责客户</w:t>
      </w:r>
      <w:r>
        <w:rPr>
          <w:rFonts w:ascii="宋体" w:hAnsi="宋体" w:cs="宋体" w:eastAsia="宋体" w:hint="default"/>
          <w:spacing w:val="-2"/>
        </w:rPr>
        <w:t>IT</w:t>
      </w:r>
      <w:r>
        <w:rPr>
          <w:spacing w:val="-2"/>
        </w:rPr>
        <w:t>系统的全流程运营维护，提升</w:t>
      </w:r>
      <w:r>
        <w:rPr>
          <w:rFonts w:ascii="宋体" w:hAnsi="宋体" w:cs="宋体" w:eastAsia="宋体" w:hint="default"/>
          <w:spacing w:val="-2"/>
        </w:rPr>
        <w:t>IT</w:t>
      </w:r>
      <w:r>
        <w:rPr>
          <w:spacing w:val="-2"/>
        </w:rPr>
        <w:t>运维服务对客户的价值，该类高附加值业务亦有望成</w:t>
      </w:r>
      <w:r>
        <w:rPr>
          <w:spacing w:val="-60"/>
        </w:rPr>
        <w:t> </w:t>
      </w:r>
      <w:r>
        <w:rPr>
          <w:spacing w:val="-60"/>
        </w:rPr>
      </w:r>
      <w:r>
        <w:rPr/>
        <w:t>为公司未来新的利润增长点。</w:t>
      </w:r>
    </w:p>
    <w:p>
      <w:pPr>
        <w:pStyle w:val="BodyText"/>
        <w:spacing w:line="316" w:lineRule="auto" w:before="17"/>
        <w:ind w:right="0" w:firstLine="360"/>
        <w:jc w:val="left"/>
      </w:pPr>
      <w:r>
        <w:rPr>
          <w:spacing w:val="-2"/>
        </w:rPr>
        <w:t>软件解决方案方面，由于银行业</w:t>
      </w:r>
      <w:r>
        <w:rPr>
          <w:rFonts w:ascii="宋体" w:hAnsi="宋体" w:cs="宋体" w:eastAsia="宋体" w:hint="default"/>
          <w:spacing w:val="-2"/>
        </w:rPr>
        <w:t>IT</w:t>
      </w:r>
      <w:r>
        <w:rPr>
          <w:spacing w:val="-2"/>
        </w:rPr>
        <w:t>系统的复杂性，套装软件产品难以满足客户个性化的业务需求。公司专注银行业软件</w:t>
      </w:r>
      <w:r>
        <w:rPr/>
        <w:t> </w:t>
      </w:r>
      <w:r>
        <w:rPr>
          <w:spacing w:val="-2"/>
        </w:rPr>
        <w:t>解决方案的开发，将在定制化软件开发项目中具有普适性需求的功能汇总形成基础平台软件，并在持续开发过程中不断补充</w:t>
      </w:r>
      <w:r>
        <w:rPr>
          <w:spacing w:val="-64"/>
        </w:rPr>
        <w:t> </w:t>
      </w:r>
      <w:r>
        <w:rPr>
          <w:spacing w:val="-64"/>
        </w:rPr>
      </w:r>
      <w:r>
        <w:rPr>
          <w:spacing w:val="-4"/>
        </w:rPr>
        <w:t>完善，在银行业务处理、数据管理与商业智能应用领域形成了一系列成熟的平台软件产品，大大提高了项目开发效率。目前，</w:t>
      </w:r>
      <w:r>
        <w:rPr>
          <w:spacing w:val="-46"/>
        </w:rPr>
        <w:t> </w:t>
      </w:r>
      <w:r>
        <w:rPr>
          <w:spacing w:val="-46"/>
        </w:rPr>
      </w:r>
      <w:r>
        <w:rPr/>
        <w:t>公司最具代表性的核心平台软件产品</w:t>
      </w:r>
      <w:r>
        <w:rPr>
          <w:rFonts w:ascii="宋体" w:hAnsi="宋体" w:cs="宋体" w:eastAsia="宋体" w:hint="default"/>
        </w:rPr>
        <w:t>Starring</w:t>
      </w:r>
      <w:r>
        <w:rPr/>
        <w:t>、</w:t>
      </w:r>
      <w:r>
        <w:rPr>
          <w:rFonts w:ascii="宋体" w:hAnsi="宋体" w:cs="宋体" w:eastAsia="宋体" w:hint="default"/>
        </w:rPr>
        <w:t>iMOIA</w:t>
      </w:r>
      <w:r>
        <w:rPr/>
        <w:t>、大数据平台已成为业内知名产品。</w:t>
      </w:r>
    </w:p>
    <w:p>
      <w:pPr>
        <w:pStyle w:val="BodyText"/>
        <w:spacing w:line="316" w:lineRule="auto" w:before="19"/>
        <w:ind w:right="1034" w:firstLine="360"/>
        <w:jc w:val="left"/>
      </w:pPr>
      <w:r>
        <w:rPr>
          <w:spacing w:val="-2"/>
        </w:rPr>
        <w:t>公司软件核心技术团队在技术支持、客户化开发方面积累了丰富的经验，核心技术人员均拥有较高的技术能力和创新能</w:t>
      </w:r>
      <w:r>
        <w:rPr/>
        <w:t> </w:t>
      </w:r>
      <w:r>
        <w:rPr>
          <w:spacing w:val="-2"/>
        </w:rPr>
        <w:t>力。基于银行业</w:t>
      </w:r>
      <w:r>
        <w:rPr>
          <w:rFonts w:ascii="宋体" w:hAnsi="宋体" w:cs="宋体" w:eastAsia="宋体" w:hint="default"/>
          <w:spacing w:val="-2"/>
        </w:rPr>
        <w:t>IT</w:t>
      </w:r>
      <w:r>
        <w:rPr>
          <w:spacing w:val="-2"/>
        </w:rPr>
        <w:t>系统的异构性及定制化需求等特点，公司的平台软件产品秉承“产品包”式的模块化开发与销售模式，采</w:t>
      </w:r>
      <w:r>
        <w:rPr>
          <w:spacing w:val="-65"/>
        </w:rPr>
        <w:t> </w:t>
      </w:r>
      <w:r>
        <w:rPr>
          <w:spacing w:val="-65"/>
        </w:rPr>
      </w:r>
      <w:r>
        <w:rPr/>
        <w:t>取开放性的技术原则，使平台软件可以很容易地集成第三方软件产品，产品包中各模块既可以拼装销售，也可以独立部署， 在避免资源浪费的同时提高了产品销售的灵活性。</w:t>
      </w:r>
    </w:p>
    <w:p>
      <w:pPr>
        <w:pStyle w:val="BodyText"/>
        <w:spacing w:line="316" w:lineRule="auto" w:before="19"/>
        <w:ind w:left="473" w:right="1129"/>
        <w:jc w:val="left"/>
      </w:pPr>
      <w:r>
        <w:rPr>
          <w:rFonts w:ascii="宋体" w:hAnsi="宋体" w:cs="宋体" w:eastAsia="宋体" w:hint="default"/>
        </w:rPr>
        <w:t>5</w:t>
      </w:r>
      <w:r>
        <w:rPr/>
        <w:t>、供应商合作优势 </w:t>
      </w:r>
      <w:r>
        <w:rPr>
          <w:spacing w:val="-2"/>
        </w:rPr>
        <w:t>公司与</w:t>
      </w:r>
      <w:r>
        <w:rPr>
          <w:rFonts w:ascii="宋体" w:hAnsi="宋体" w:cs="宋体" w:eastAsia="宋体" w:hint="default"/>
          <w:spacing w:val="-2"/>
        </w:rPr>
        <w:t>IT</w:t>
      </w:r>
      <w:r>
        <w:rPr>
          <w:spacing w:val="-2"/>
        </w:rPr>
        <w:t>服务行业上下游厂商建立了良好的合作关系，能够获得较多的优惠支持，包括快速订货渠道、优先配送权、更</w:t>
      </w:r>
    </w:p>
    <w:p>
      <w:pPr>
        <w:pStyle w:val="BodyText"/>
        <w:spacing w:line="316" w:lineRule="auto" w:before="19"/>
        <w:ind w:right="1133"/>
        <w:jc w:val="both"/>
      </w:pPr>
      <w:r>
        <w:rPr>
          <w:spacing w:val="-2"/>
        </w:rPr>
        <w:t>长账期等，可有效缩短项目工期，提高服务响应速度，减少资金占用，进而形成公司的市场竞争优势。同时，公司与厂商共</w:t>
      </w:r>
      <w:r>
        <w:rPr>
          <w:spacing w:val="-68"/>
        </w:rPr>
        <w:t> </w:t>
      </w:r>
      <w:r>
        <w:rPr>
          <w:spacing w:val="-68"/>
        </w:rPr>
      </w:r>
      <w:r>
        <w:rPr/>
        <w:t>享双方的销售渠道，将双方的销售优势形成合力，大大提高了获取订单的能力。</w:t>
      </w:r>
    </w:p>
    <w:p>
      <w:pPr>
        <w:pStyle w:val="BodyText"/>
        <w:spacing w:line="316" w:lineRule="auto" w:before="19"/>
        <w:ind w:left="473" w:right="0"/>
        <w:jc w:val="left"/>
      </w:pPr>
      <w:r>
        <w:rPr>
          <w:rFonts w:ascii="宋体" w:hAnsi="宋体" w:cs="宋体" w:eastAsia="宋体" w:hint="default"/>
        </w:rPr>
        <w:t>6</w:t>
      </w:r>
      <w:r>
        <w:rPr/>
        <w:t>、营销服务网络优势 </w:t>
      </w:r>
      <w:r>
        <w:rPr>
          <w:spacing w:val="-2"/>
        </w:rPr>
        <w:t>银行普遍拥有大量的、地理分布广泛的分支机构和业务网点，</w:t>
      </w:r>
      <w:r>
        <w:rPr>
          <w:rFonts w:ascii="宋体" w:hAnsi="宋体" w:cs="宋体" w:eastAsia="宋体" w:hint="default"/>
          <w:spacing w:val="-2"/>
        </w:rPr>
        <w:t>IT</w:t>
      </w:r>
      <w:r>
        <w:rPr>
          <w:spacing w:val="-2"/>
        </w:rPr>
        <w:t>服务商必须拥有相应规模的网点分布和技术资源，才能</w:t>
      </w:r>
    </w:p>
    <w:p>
      <w:pPr>
        <w:pStyle w:val="BodyText"/>
        <w:spacing w:line="316" w:lineRule="auto" w:before="19"/>
        <w:ind w:right="1132"/>
        <w:jc w:val="both"/>
      </w:pPr>
      <w:r>
        <w:rPr/>
        <w:t>满足银行跨区域的服务需求。公司目前已形成以公司总部、</w:t>
      </w:r>
      <w:r>
        <w:rPr>
          <w:rFonts w:ascii="宋体" w:hAnsi="宋体" w:cs="宋体" w:eastAsia="宋体" w:hint="default"/>
        </w:rPr>
        <w:t>10</w:t>
      </w:r>
      <w:r>
        <w:rPr/>
        <w:t>个分公司、</w:t>
      </w:r>
      <w:r>
        <w:rPr>
          <w:rFonts w:ascii="宋体" w:hAnsi="宋体" w:cs="宋体" w:eastAsia="宋体" w:hint="default"/>
        </w:rPr>
        <w:t>3</w:t>
      </w:r>
      <w:r>
        <w:rPr/>
        <w:t>个全资子公司为依托，覆盖全国的服务网络。广</w:t>
      </w:r>
      <w:r>
        <w:rPr>
          <w:spacing w:val="-83"/>
        </w:rPr>
        <w:t> </w:t>
      </w:r>
      <w:r>
        <w:rPr>
          <w:spacing w:val="-83"/>
        </w:rPr>
      </w:r>
      <w:r>
        <w:rPr>
          <w:spacing w:val="-2"/>
        </w:rPr>
        <w:t>泛分布的营销服务网络使公司有能力向全国性的大中型商业银行及各地区的本地金融机构提供及时、优质的服务，同时也积</w:t>
      </w:r>
      <w:r>
        <w:rPr>
          <w:spacing w:val="-64"/>
        </w:rPr>
        <w:t> </w:t>
      </w:r>
      <w:r>
        <w:rPr>
          <w:spacing w:val="-64"/>
        </w:rPr>
      </w:r>
      <w:r>
        <w:rPr/>
        <w:t>累了对大范围、多网点、多层次服务网络的管理经验。</w:t>
      </w:r>
    </w:p>
    <w:p>
      <w:pPr>
        <w:spacing w:after="0" w:line="316"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4" w:right="1133"/>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报告期内，公司实现主营业务收入人民币</w:t>
      </w:r>
      <w:r>
        <w:rPr>
          <w:rFonts w:ascii="宋体" w:hAnsi="宋体" w:cs="宋体" w:eastAsia="宋体" w:hint="default"/>
          <w:spacing w:val="2"/>
        </w:rPr>
        <w:t>179,251</w:t>
      </w:r>
      <w:r>
        <w:rPr>
          <w:spacing w:val="2"/>
        </w:rPr>
        <w:t>万元，较上年同期增长</w:t>
      </w:r>
      <w:r>
        <w:rPr>
          <w:rFonts w:ascii="宋体" w:hAnsi="宋体" w:cs="宋体" w:eastAsia="宋体" w:hint="default"/>
          <w:spacing w:val="2"/>
        </w:rPr>
        <w:t>28.93%</w:t>
      </w:r>
      <w:r>
        <w:rPr>
          <w:spacing w:val="2"/>
        </w:rPr>
        <w:t>。其中</w:t>
      </w:r>
      <w:r>
        <w:rPr>
          <w:rFonts w:ascii="宋体" w:hAnsi="宋体" w:cs="宋体" w:eastAsia="宋体" w:hint="default"/>
          <w:spacing w:val="2"/>
        </w:rPr>
        <w:t>IT</w:t>
      </w:r>
      <w:r>
        <w:rPr>
          <w:spacing w:val="2"/>
        </w:rPr>
        <w:t>基础设施建设业务收入增长</w:t>
      </w:r>
      <w:r>
        <w:rPr/>
        <w:t> </w:t>
      </w:r>
      <w:r>
        <w:rPr>
          <w:rFonts w:ascii="宋体" w:hAnsi="宋体" w:cs="宋体" w:eastAsia="宋体" w:hint="default"/>
        </w:rPr>
        <w:t>31.83%</w:t>
      </w:r>
      <w:r>
        <w:rPr/>
        <w:t>；软件解决方案业务收入增长</w:t>
      </w:r>
      <w:r>
        <w:rPr>
          <w:rFonts w:ascii="宋体" w:hAnsi="宋体" w:cs="宋体" w:eastAsia="宋体" w:hint="default"/>
        </w:rPr>
        <w:t>21.32%</w:t>
      </w:r>
      <w:r>
        <w:rPr/>
        <w:t>；</w:t>
      </w:r>
      <w:r>
        <w:rPr>
          <w:rFonts w:ascii="宋体" w:hAnsi="宋体" w:cs="宋体" w:eastAsia="宋体" w:hint="default"/>
        </w:rPr>
        <w:t>IT</w:t>
      </w:r>
      <w:r>
        <w:rPr/>
        <w:t>运维服务业务收入增长</w:t>
      </w:r>
      <w:r>
        <w:rPr>
          <w:rFonts w:ascii="宋体" w:hAnsi="宋体" w:cs="宋体" w:eastAsia="宋体" w:hint="default"/>
        </w:rPr>
        <w:t>19.58%</w:t>
      </w:r>
      <w:r>
        <w:rPr/>
        <w:t>。</w:t>
      </w:r>
    </w:p>
    <w:p>
      <w:pPr>
        <w:pStyle w:val="BodyText"/>
        <w:spacing w:line="316" w:lineRule="auto" w:before="19"/>
        <w:ind w:right="1131" w:firstLine="360"/>
        <w:jc w:val="both"/>
      </w:pPr>
      <w:r>
        <w:rPr>
          <w:spacing w:val="-2"/>
        </w:rPr>
        <w:t>得益于公司近年来积极拓展互联网行业客户，公司来自互联网行业客户的收入继续保持快速增长态势，公司向互联网行</w:t>
      </w:r>
      <w:r>
        <w:rPr/>
        <w:t> </w:t>
      </w:r>
      <w:r>
        <w:rPr>
          <w:spacing w:val="-2"/>
        </w:rPr>
        <w:t>业客户提供的主要产品及服务为</w:t>
      </w:r>
      <w:r>
        <w:rPr>
          <w:rFonts w:ascii="宋体" w:hAnsi="宋体" w:cs="宋体" w:eastAsia="宋体" w:hint="default"/>
          <w:spacing w:val="-2"/>
        </w:rPr>
        <w:t>IT</w:t>
      </w:r>
      <w:r>
        <w:rPr>
          <w:spacing w:val="-2"/>
        </w:rPr>
        <w:t>基础设施建设业务相关产品及服务，互联网行业客户销售收入增长是公司</w:t>
      </w:r>
      <w:r>
        <w:rPr>
          <w:rFonts w:ascii="宋体" w:hAnsi="宋体" w:cs="宋体" w:eastAsia="宋体" w:hint="default"/>
          <w:spacing w:val="-2"/>
        </w:rPr>
        <w:t>IT</w:t>
      </w:r>
      <w:r>
        <w:rPr>
          <w:spacing w:val="-2"/>
        </w:rPr>
        <w:t>基础设施业务</w:t>
      </w:r>
      <w:r>
        <w:rPr>
          <w:spacing w:val="-62"/>
        </w:rPr>
        <w:t> </w:t>
      </w:r>
      <w:r>
        <w:rPr>
          <w:spacing w:val="-62"/>
        </w:rPr>
      </w:r>
      <w:r>
        <w:rPr/>
        <w:t>增长的主要来源。</w:t>
      </w:r>
    </w:p>
    <w:p>
      <w:pPr>
        <w:pStyle w:val="BodyText"/>
        <w:spacing w:line="319" w:lineRule="auto" w:before="19"/>
        <w:ind w:right="1132" w:firstLine="360"/>
        <w:jc w:val="both"/>
      </w:pPr>
      <w:r>
        <w:rPr>
          <w:spacing w:val="-2"/>
        </w:rPr>
        <w:t>报告期内，公司来自区域性银行的业务收入亦获得快速增长，公司在区域性银行销售的主要产品及服务为软件解决方案</w:t>
      </w:r>
      <w:r>
        <w:rPr/>
        <w:t> 相关产品及服务，区域银行客户销售收入增长是公司软件解决方案业务增长的主要来源。</w:t>
      </w:r>
    </w:p>
    <w:p>
      <w:pPr>
        <w:pStyle w:val="BodyText"/>
        <w:spacing w:line="316" w:lineRule="auto" w:before="17"/>
        <w:ind w:right="1133" w:firstLine="360"/>
        <w:jc w:val="both"/>
      </w:pPr>
      <w:r>
        <w:rPr>
          <w:spacing w:val="-2"/>
        </w:rPr>
        <w:t>报告期内，公司在非银行金融机构市场取得明显进展，非银行金融机构成为公司重要的收入来源。区域银行、非银行金</w:t>
      </w:r>
      <w:r>
        <w:rPr/>
        <w:t> 融机构销售收入提高，对改善公司金融行业的客户结构与收入结构有着积极的意义。</w:t>
      </w:r>
    </w:p>
    <w:p>
      <w:pPr>
        <w:pStyle w:val="BodyText"/>
        <w:spacing w:line="316" w:lineRule="auto" w:before="19"/>
        <w:ind w:right="1133" w:firstLine="360"/>
        <w:jc w:val="both"/>
      </w:pPr>
      <w:r>
        <w:rPr>
          <w:spacing w:val="-2"/>
        </w:rPr>
        <w:t>报告期内，公司各项业务毛利率保持基本稳定，毛利较低的非金融行业收入增幅更大，其在公司营收中占比提高，使得</w:t>
      </w:r>
      <w:r>
        <w:rPr/>
        <w:t> 公司综合毛利率有轻微下降。</w:t>
      </w:r>
    </w:p>
    <w:p>
      <w:pPr>
        <w:pStyle w:val="BodyText"/>
        <w:spacing w:line="316" w:lineRule="auto" w:before="19"/>
        <w:ind w:right="1131" w:firstLine="360"/>
        <w:jc w:val="both"/>
      </w:pPr>
      <w:r>
        <w:rPr>
          <w:spacing w:val="-2"/>
        </w:rPr>
        <w:t>报告期内，公司继续加大自有产品及解决方案研发投入力度，使得公司研发费用明显增长；随着业务规模的扩大，公司</w:t>
      </w:r>
      <w:r>
        <w:rPr/>
        <w:t> </w:t>
      </w:r>
      <w:r>
        <w:rPr>
          <w:spacing w:val="-2"/>
        </w:rPr>
        <w:t>银行贷款规模也呈逐步扩大趋势，使得公司财务费用亦有所提高；得益于公司加强费用管理，公司管理费用、销售费用增长</w:t>
      </w:r>
      <w:r>
        <w:rPr>
          <w:spacing w:val="-64"/>
        </w:rPr>
        <w:t> </w:t>
      </w:r>
      <w:r>
        <w:rPr>
          <w:spacing w:val="-64"/>
        </w:rPr>
      </w:r>
      <w:r>
        <w:rPr/>
        <w:t>明显低于公司收入及利润增长。</w:t>
      </w:r>
    </w:p>
    <w:p>
      <w:pPr>
        <w:pStyle w:val="BodyText"/>
        <w:spacing w:line="316" w:lineRule="auto" w:before="19"/>
        <w:ind w:right="1128" w:firstLine="360"/>
        <w:jc w:val="both"/>
      </w:pPr>
      <w:r>
        <w:rPr/>
        <w:t>报告期内，公司归属上市公司股东的净利润</w:t>
      </w:r>
      <w:r>
        <w:rPr>
          <w:rFonts w:ascii="宋体" w:hAnsi="宋体" w:cs="宋体" w:eastAsia="宋体" w:hint="default"/>
        </w:rPr>
        <w:t>7087</w:t>
      </w:r>
      <w:r>
        <w:rPr/>
        <w:t>万元，较上年同期增长</w:t>
      </w:r>
      <w:r>
        <w:rPr>
          <w:rFonts w:ascii="宋体" w:hAnsi="宋体" w:cs="宋体" w:eastAsia="宋体" w:hint="default"/>
        </w:rPr>
        <w:t>38.45%</w:t>
      </w:r>
      <w:r>
        <w:rPr/>
        <w:t>，公司报告期对外投资收益</w:t>
      </w:r>
      <w:r>
        <w:rPr>
          <w:rFonts w:ascii="宋体" w:hAnsi="宋体" w:cs="宋体" w:eastAsia="宋体" w:hint="default"/>
        </w:rPr>
        <w:t>580</w:t>
      </w:r>
      <w:r>
        <w:rPr/>
        <w:t>万元，使 得公司利润增长明显高于收入增长。</w:t>
      </w:r>
    </w:p>
    <w:p>
      <w:pPr>
        <w:pStyle w:val="BodyText"/>
        <w:spacing w:line="319" w:lineRule="auto" w:before="19"/>
        <w:ind w:right="1129" w:firstLine="360"/>
        <w:jc w:val="both"/>
      </w:pPr>
      <w:r>
        <w:rPr>
          <w:rFonts w:ascii="宋体" w:hAnsi="宋体" w:cs="宋体" w:eastAsia="宋体" w:hint="default"/>
          <w:spacing w:val="-2"/>
        </w:rPr>
        <w:t>2019</w:t>
      </w:r>
      <w:r>
        <w:rPr>
          <w:spacing w:val="-2"/>
        </w:rPr>
        <w:t>年末，部分公司客户大规模采购</w:t>
      </w:r>
      <w:r>
        <w:rPr>
          <w:rFonts w:ascii="宋体" w:hAnsi="宋体" w:cs="宋体" w:eastAsia="宋体" w:hint="default"/>
          <w:spacing w:val="-2"/>
        </w:rPr>
        <w:t>IT</w:t>
      </w:r>
      <w:r>
        <w:rPr>
          <w:spacing w:val="-2"/>
        </w:rPr>
        <w:t>基础设施相关产品，公司采购供应商产品形成大额现金流出，导致公司年度经营</w:t>
      </w:r>
      <w:r>
        <w:rPr/>
        <w:t> </w:t>
      </w:r>
      <w:r>
        <w:rPr>
          <w:spacing w:val="-2"/>
        </w:rPr>
        <w:t>活动产生的现金流量净额大幅下降，同时存货较上年同期大幅增加。相关产品大部分已于</w:t>
      </w:r>
      <w:r>
        <w:rPr>
          <w:rFonts w:ascii="宋体" w:hAnsi="宋体" w:cs="宋体" w:eastAsia="宋体" w:hint="default"/>
          <w:spacing w:val="-2"/>
        </w:rPr>
        <w:t>2020</w:t>
      </w:r>
      <w:r>
        <w:rPr>
          <w:spacing w:val="-2"/>
        </w:rPr>
        <w:t>年第一季度完成交付并收回合</w:t>
      </w:r>
      <w:r>
        <w:rPr>
          <w:spacing w:val="-61"/>
        </w:rPr>
        <w:t> </w:t>
      </w:r>
      <w:r>
        <w:rPr>
          <w:spacing w:val="-61"/>
        </w:rPr>
      </w:r>
      <w:r>
        <w:rPr/>
        <w:t>同款项。</w:t>
      </w:r>
    </w:p>
    <w:p>
      <w:pPr>
        <w:spacing w:line="240" w:lineRule="auto" w:before="9"/>
        <w:rPr>
          <w:rFonts w:ascii="宋体" w:hAnsi="宋体" w:cs="宋体" w:eastAsia="宋体" w:hint="default"/>
          <w:sz w:val="20"/>
          <w:szCs w:val="20"/>
        </w:rPr>
      </w:pPr>
    </w:p>
    <w:p>
      <w:pPr>
        <w:pStyle w:val="Heading3"/>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240" w:lineRule="auto" w:before="44"/>
        <w:ind w:left="332" w:right="0"/>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327" w:type="dxa"/>
        <w:tblLayout w:type="fixed"/>
        <w:tblCellMar>
          <w:top w:w="0" w:type="dxa"/>
          <w:left w:w="0" w:type="dxa"/>
          <w:bottom w:w="0" w:type="dxa"/>
          <w:right w:w="0" w:type="dxa"/>
        </w:tblCellMar>
        <w:tblLook w:val="01E0"/>
      </w:tblPr>
      <w:tblGrid>
        <w:gridCol w:w="1928"/>
        <w:gridCol w:w="1594"/>
        <w:gridCol w:w="1594"/>
        <w:gridCol w:w="1594"/>
        <w:gridCol w:w="1595"/>
        <w:gridCol w:w="1236"/>
      </w:tblGrid>
      <w:tr>
        <w:trPr>
          <w:trHeight w:val="403" w:hRule="exact"/>
        </w:trPr>
        <w:tc>
          <w:tcPr>
            <w:tcW w:w="1928"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28"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3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1,792,508,599.81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28.93%</w:t>
            </w:r>
          </w:p>
        </w:tc>
      </w:tr>
      <w:tr>
        <w:trPr>
          <w:trHeight w:val="396"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495,720,476.60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575,359,164.00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41.38%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-13.84%</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区域性银行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253,676,411.98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193,602,684.30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31.03%</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非银行业金融机构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105,375,187.11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58,148,692.50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81.22%</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937,736,524.12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563,237,934.10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40.51%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66.49%</w:t>
            </w:r>
          </w:p>
        </w:tc>
      </w:tr>
      <w:tr>
        <w:trPr>
          <w:trHeight w:val="403"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1,356,122,453.59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1,028,677,282.64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73.99%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31.83%</w:t>
            </w:r>
          </w:p>
        </w:tc>
      </w:tr>
      <w:tr>
        <w:trPr>
          <w:trHeight w:val="715"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软件解决方案及专业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270,942,231.16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223,322,341.44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21.32%</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165,443,915.06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138,348,850.82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19.58%</w:t>
            </w:r>
          </w:p>
        </w:tc>
      </w:tr>
      <w:tr>
        <w:trPr>
          <w:trHeight w:val="403"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84,136,458.85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50,924,118.17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65.22%</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1,176,417,039.40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846,317,667.51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60.87%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39.00%</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36,813,000.96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39,141,879.00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-5.95%</w:t>
            </w:r>
          </w:p>
        </w:tc>
      </w:tr>
      <w:tr>
        <w:trPr>
          <w:trHeight w:val="404"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217,353,012.54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220,023,835.23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15.83%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-1.21%</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41,673,120.77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42,495,071.48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79,106,690.98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70,608,660.36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12.04%</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150,777,284.61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119,831,983.15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25.82%</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港澳台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6,231,991.70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705,260.00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783.64%</w:t>
            </w:r>
          </w:p>
        </w:tc>
      </w:tr>
    </w:tbl>
    <w:p>
      <w:pPr>
        <w:pStyle w:val="BodyText"/>
        <w:spacing w:line="240" w:lineRule="auto" w:before="49"/>
        <w:ind w:left="332"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20"/>
        <w:gridCol w:w="1085"/>
        <w:gridCol w:w="1090"/>
        <w:gridCol w:w="1099"/>
        <w:gridCol w:w="1100"/>
        <w:gridCol w:w="1006"/>
        <w:gridCol w:w="1059"/>
        <w:gridCol w:w="1075"/>
        <w:gridCol w:w="1061"/>
      </w:tblGrid>
      <w:tr>
        <w:trPr>
          <w:trHeight w:val="402"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3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341,877,526.02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63" w:right="0"/>
              <w:jc w:val="left"/>
              <w:rPr>
                <w:rFonts w:ascii="Times New Roman" w:hAnsi="Times New Roman" w:cs="Times New Roman" w:eastAsia="Times New Roman" w:hint="default"/>
                <w:sz w:val="13"/>
                <w:szCs w:val="13"/>
              </w:rPr>
            </w:pPr>
            <w:r>
              <w:rPr>
                <w:rFonts w:ascii="Times New Roman"/>
                <w:sz w:val="13"/>
              </w:rPr>
              <w:t>467,269,708.24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262,440,232.90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720,921,132.65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45" w:right="0"/>
              <w:jc w:val="center"/>
              <w:rPr>
                <w:rFonts w:ascii="Times New Roman" w:hAnsi="Times New Roman" w:cs="Times New Roman" w:eastAsia="Times New Roman" w:hint="default"/>
                <w:sz w:val="13"/>
                <w:szCs w:val="13"/>
              </w:rPr>
            </w:pPr>
            <w:r>
              <w:rPr>
                <w:rFonts w:ascii="Times New Roman"/>
                <w:sz w:val="13"/>
              </w:rPr>
              <w:t>98,136,087.80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448,630,896.62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288,353,823.03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36" w:right="0"/>
              <w:jc w:val="left"/>
              <w:rPr>
                <w:rFonts w:ascii="Times New Roman" w:hAnsi="Times New Roman" w:cs="Times New Roman" w:eastAsia="Times New Roman" w:hint="default"/>
                <w:sz w:val="13"/>
                <w:szCs w:val="13"/>
              </w:rPr>
            </w:pPr>
            <w:r>
              <w:rPr>
                <w:rFonts w:ascii="Times New Roman"/>
                <w:sz w:val="13"/>
              </w:rPr>
              <w:t>555,227,667.45</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44"/>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-68,075.56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30" w:right="0"/>
              <w:jc w:val="left"/>
              <w:rPr>
                <w:rFonts w:ascii="Times New Roman" w:hAnsi="Times New Roman" w:cs="Times New Roman" w:eastAsia="Times New Roman" w:hint="default"/>
                <w:sz w:val="13"/>
                <w:szCs w:val="13"/>
              </w:rPr>
            </w:pPr>
            <w:r>
              <w:rPr>
                <w:rFonts w:ascii="Times New Roman"/>
                <w:sz w:val="13"/>
              </w:rPr>
              <w:t>23,418,075.50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16,391,903.16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31,127,254.86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66" w:right="0"/>
              <w:jc w:val="center"/>
              <w:rPr>
                <w:rFonts w:ascii="Times New Roman" w:hAnsi="Times New Roman" w:cs="Times New Roman" w:eastAsia="Times New Roman" w:hint="default"/>
                <w:sz w:val="13"/>
                <w:szCs w:val="13"/>
              </w:rPr>
            </w:pPr>
            <w:r>
              <w:rPr>
                <w:rFonts w:ascii="Times New Roman"/>
                <w:sz w:val="13"/>
              </w:rPr>
              <w:t>-4,446,245.30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22,589,727.91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4,610,370.22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03" w:right="0"/>
              <w:jc w:val="left"/>
              <w:rPr>
                <w:rFonts w:ascii="Times New Roman" w:hAnsi="Times New Roman" w:cs="Times New Roman" w:eastAsia="Times New Roman" w:hint="default"/>
                <w:sz w:val="13"/>
                <w:szCs w:val="13"/>
              </w:rPr>
            </w:pPr>
            <w:r>
              <w:rPr>
                <w:rFonts w:ascii="Times New Roman"/>
                <w:sz w:val="13"/>
              </w:rPr>
              <w:t>28,434,263.51</w:t>
            </w:r>
          </w:p>
        </w:tc>
      </w:tr>
    </w:tbl>
    <w:p>
      <w:pPr>
        <w:pStyle w:val="BodyText"/>
        <w:spacing w:line="357" w:lineRule="auto" w:before="49"/>
        <w:ind w:left="693" w:right="0" w:hanging="361"/>
        <w:jc w:val="left"/>
      </w:pPr>
      <w:r>
        <w:rPr/>
        <w:t>说明经营季节性（或周期性）发生的原因及波动风险 </w:t>
      </w:r>
      <w:r>
        <w:rPr>
          <w:spacing w:val="-2"/>
        </w:rPr>
        <w:t>公司的主要客户为以银行为主的大中型企业，行业用户的采购计划主要在上年年底到第二年的一季度制定，需经过方案</w:t>
      </w:r>
    </w:p>
    <w:p>
      <w:pPr>
        <w:pStyle w:val="BodyText"/>
        <w:spacing w:line="224" w:lineRule="exact"/>
        <w:ind w:left="332" w:right="0"/>
        <w:jc w:val="left"/>
      </w:pPr>
      <w:r>
        <w:rPr/>
        <w:t>审查、立项批复、采购申请、招投标、合同签订等严格的程序，这导致产品采购主要集中在每年下半年完成。受此影响，服</w:t>
      </w:r>
    </w:p>
    <w:p>
      <w:pPr>
        <w:pStyle w:val="BodyText"/>
        <w:spacing w:line="240" w:lineRule="auto" w:before="76"/>
        <w:ind w:left="332" w:right="0"/>
        <w:jc w:val="left"/>
      </w:pPr>
      <w:r>
        <w:rPr/>
        <w:t>务商的收入多数在每年下半年才能得以确认，经营业绩存在明显的季节性特征。从公司上、下半年营业收入、净利润占全年</w:t>
      </w:r>
    </w:p>
    <w:p>
      <w:pPr>
        <w:spacing w:after="0" w:line="240" w:lineRule="auto"/>
        <w:jc w:val="left"/>
        <w:sectPr>
          <w:pgSz w:w="11910" w:h="16840"/>
          <w:pgMar w:header="906" w:footer="1021" w:top="1100" w:bottom="1220" w:left="800" w:right="0"/>
        </w:sectPr>
      </w:pPr>
    </w:p>
    <w:p>
      <w:pPr>
        <w:spacing w:line="240" w:lineRule="auto" w:before="10"/>
        <w:rPr>
          <w:rFonts w:ascii="宋体" w:hAnsi="宋体" w:cs="宋体" w:eastAsia="宋体" w:hint="default"/>
          <w:sz w:val="22"/>
          <w:szCs w:val="22"/>
        </w:rPr>
      </w:pPr>
    </w:p>
    <w:p>
      <w:pPr>
        <w:pStyle w:val="BodyText"/>
        <w:spacing w:line="319" w:lineRule="auto" w:before="44"/>
        <w:ind w:right="1129"/>
        <w:jc w:val="left"/>
      </w:pPr>
      <w:r>
        <w:rPr>
          <w:spacing w:val="-2"/>
        </w:rPr>
        <w:t>比重来看，公司下半年营业收入及净利润占全年收入比重较高，呈现较强的季节性特征，投资者不宜以季度或半年度数据推</w:t>
      </w:r>
      <w:r>
        <w:rPr>
          <w:spacing w:val="-64"/>
        </w:rPr>
        <w:t> </w:t>
      </w:r>
      <w:r>
        <w:rPr>
          <w:spacing w:val="-64"/>
        </w:rPr>
      </w:r>
      <w:r>
        <w:rPr/>
        <w:t>测公司全年业绩情况。</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17"/>
        <w:jc w:val="left"/>
      </w:pPr>
      <w:r>
        <w:rPr/>
        <w:t>√ 适用 □</w:t>
      </w:r>
      <w:r>
        <w:rPr>
          <w:spacing w:val="3"/>
        </w:rPr>
        <w:t> </w:t>
      </w:r>
      <w:r>
        <w:rPr/>
        <w:t>不适用</w:t>
      </w:r>
    </w:p>
    <w:p>
      <w:pPr>
        <w:pStyle w:val="BodyText"/>
        <w:spacing w:line="2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100" w:bottom="1220" w:left="1020" w:right="0"/>
          <w:cols w:num="2" w:equalWidth="0">
            <w:col w:w="9026" w:space="40"/>
            <w:col w:w="1824"/>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76"/>
        <w:gridCol w:w="1501"/>
        <w:gridCol w:w="1500"/>
        <w:gridCol w:w="939"/>
        <w:gridCol w:w="1366"/>
        <w:gridCol w:w="1369"/>
        <w:gridCol w:w="1370"/>
      </w:tblGrid>
      <w:tr>
        <w:trPr>
          <w:trHeight w:val="713" w:hRule="exact"/>
        </w:trPr>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8"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7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495,720,476.60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397,948,308.71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-14.92%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区域性银行</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253,676,411.98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163,776,142.36</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33.77%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937,736,524.12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882,354,003.32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64.50%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1.14%</w:t>
            </w:r>
          </w:p>
        </w:tc>
      </w:tr>
      <w:tr>
        <w:trPr>
          <w:trHeight w:val="403" w:hRule="exact"/>
        </w:trPr>
        <w:tc>
          <w:tcPr>
            <w:tcW w:w="97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1,356,122,453.59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1,257,900,702.48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-0.59%</w:t>
            </w:r>
          </w:p>
        </w:tc>
      </w:tr>
      <w:tr>
        <w:trPr>
          <w:trHeight w:val="715"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0"/>
              <w:jc w:val="left"/>
              <w:rPr>
                <w:rFonts w:ascii="宋体" w:hAnsi="宋体" w:cs="宋体" w:eastAsia="宋体" w:hint="default"/>
                <w:sz w:val="18"/>
                <w:szCs w:val="18"/>
              </w:rPr>
            </w:pPr>
            <w:r>
              <w:rPr>
                <w:rFonts w:ascii="宋体" w:hAnsi="宋体" w:cs="宋体" w:eastAsia="宋体" w:hint="default"/>
                <w:sz w:val="18"/>
                <w:szCs w:val="18"/>
              </w:rPr>
              <w:t>软件解决方案及专 业服务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270,942,231.16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152,006,735.89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24.69%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97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1,176,417,039.40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1,084,905,224.03</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37.47%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217,353,012.54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157,842,190.16</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0.67%</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行业和产品分类</w:t>
      </w:r>
    </w:p>
    <w:p>
      <w:pPr>
        <w:spacing w:after="0" w:line="240" w:lineRule="auto"/>
        <w:jc w:val="left"/>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43"/>
        <w:gridCol w:w="977"/>
        <w:gridCol w:w="1366"/>
        <w:gridCol w:w="1522"/>
        <w:gridCol w:w="1366"/>
        <w:gridCol w:w="1534"/>
        <w:gridCol w:w="1051"/>
      </w:tblGrid>
      <w:tr>
        <w:trPr>
          <w:trHeight w:val="401" w:hRule="exact"/>
        </w:trPr>
        <w:tc>
          <w:tcPr>
            <w:tcW w:w="1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43"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5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235,206,737.64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336,174,855.73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28.74%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-30.03%</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839,868,896.23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517,693,884.33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44.26%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62.23%</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68"/>
        <w:gridCol w:w="962"/>
        <w:gridCol w:w="1558"/>
        <w:gridCol w:w="1493"/>
        <w:gridCol w:w="1366"/>
        <w:gridCol w:w="1534"/>
        <w:gridCol w:w="986"/>
      </w:tblGrid>
      <w:tr>
        <w:trPr>
          <w:trHeight w:val="403" w:hRule="exact"/>
        </w:trPr>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68"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1,226,483,534.07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925,321,553.65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79.11%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32.55%</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软件解决方案服务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直接工资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119,064,263.27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103,797,772.57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14.71%</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89,884,905.14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75,424,713.83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6.45%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19.17%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100" w:bottom="1220" w:left="1020" w:right="0"/>
          <w:cols w:num="2" w:equalWidth="0">
            <w:col w:w="9026" w:space="40"/>
            <w:col w:w="1824"/>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1,229,416,870.94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928,146,377.69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32.46%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153,151,577.43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137,446,087.10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11.43%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13,688,340.23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12,185,234.69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130,592,101.26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91,938,301.79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50"/>
        <w:gridCol w:w="5039"/>
      </w:tblGrid>
      <w:tr>
        <w:trPr>
          <w:trHeight w:val="401" w:hRule="exact"/>
        </w:trPr>
        <w:tc>
          <w:tcPr>
            <w:tcW w:w="4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1,093,853,326.52</w:t>
            </w:r>
          </w:p>
        </w:tc>
      </w:tr>
      <w:tr>
        <w:trPr>
          <w:trHeight w:val="403" w:hRule="exact"/>
        </w:trPr>
        <w:tc>
          <w:tcPr>
            <w:tcW w:w="4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61.02%</w:t>
            </w:r>
          </w:p>
        </w:tc>
      </w:tr>
      <w:tr>
        <w:trPr>
          <w:trHeight w:val="401" w:hRule="exact"/>
        </w:trPr>
        <w:tc>
          <w:tcPr>
            <w:tcW w:w="4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350,025,589.69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19.53%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342,461,253.36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19.11%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191,076,469.29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10.66%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114,043,616.37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6.36%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96,246,397.81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1,093,853,326.52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61.02%</w:t>
            </w:r>
          </w:p>
        </w:tc>
      </w:tr>
    </w:tbl>
    <w:p>
      <w:pPr>
        <w:pStyle w:val="BodyText"/>
        <w:spacing w:line="240" w:lineRule="auto" w:before="49"/>
        <w:ind w:right="1133"/>
        <w:jc w:val="left"/>
      </w:pPr>
      <w:r>
        <w:rPr/>
        <w:t>主要客户其他情况说明</w:t>
      </w:r>
    </w:p>
    <w:p>
      <w:pPr>
        <w:pStyle w:val="BodyText"/>
        <w:spacing w:line="357" w:lineRule="auto" w:before="117"/>
        <w:ind w:right="9134"/>
        <w:jc w:val="left"/>
      </w:pPr>
      <w:r>
        <w:rPr/>
        <w:t>□ 适用 √</w:t>
      </w:r>
      <w:r>
        <w:rPr>
          <w:spacing w:val="3"/>
        </w:rPr>
        <w:t> </w:t>
      </w:r>
      <w:r>
        <w:rPr/>
        <w:t>不适用</w:t>
      </w:r>
      <w:r>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725"/>
        <w:gridCol w:w="4839"/>
      </w:tblGrid>
      <w:tr>
        <w:trPr>
          <w:trHeight w:val="402" w:hRule="exact"/>
        </w:trPr>
        <w:tc>
          <w:tcPr>
            <w:tcW w:w="4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1,362,948,717.83</w:t>
            </w:r>
          </w:p>
        </w:tc>
      </w:tr>
      <w:tr>
        <w:trPr>
          <w:trHeight w:val="402" w:hRule="exact"/>
        </w:trPr>
        <w:tc>
          <w:tcPr>
            <w:tcW w:w="4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67.70%</w:t>
            </w:r>
          </w:p>
        </w:tc>
      </w:tr>
      <w:tr>
        <w:trPr>
          <w:trHeight w:val="403" w:hRule="exact"/>
        </w:trPr>
        <w:tc>
          <w:tcPr>
            <w:tcW w:w="4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0"/>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1,144,155,491.70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56.83%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105,116,996.86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5.22%</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40,057,638.28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38,618,590.99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1,362,948,717.83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67.70%</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39"/>
        <w:gridCol w:w="1501"/>
        <w:gridCol w:w="1512"/>
        <w:gridCol w:w="1150"/>
        <w:gridCol w:w="4177"/>
      </w:tblGrid>
      <w:tr>
        <w:trPr>
          <w:trHeight w:val="40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51,237,190.33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43,678,054.36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17.31%</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主要系本报告期员工工资及奖金增加所致。</w:t>
            </w:r>
          </w:p>
        </w:tc>
      </w:tr>
      <w:tr>
        <w:trPr>
          <w:trHeight w:val="403"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58,439,547.02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52,446,578.62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11.43%</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主要系本报告期员工工资及日常办公费增加所致。</w:t>
            </w:r>
          </w:p>
        </w:tc>
      </w:tr>
      <w:tr>
        <w:trPr>
          <w:trHeight w:val="401"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18,150,374.39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14,651,343.98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23.88%</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主要系本报告期支付的银行贷款利息增加所致。</w:t>
            </w:r>
          </w:p>
        </w:tc>
      </w:tr>
      <w:tr>
        <w:trPr>
          <w:trHeight w:val="403"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56,501,878.84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42,983,089.49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31.45%</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主要系本报告期研发项目投入增加所致。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left="473" w:right="1129"/>
        <w:jc w:val="left"/>
      </w:pPr>
      <w:r>
        <w:rPr/>
        <w:t>报告期内，公司研发投入主要包括三类： </w:t>
      </w:r>
      <w:r>
        <w:rPr>
          <w:spacing w:val="-2"/>
        </w:rPr>
        <w:t>首先是完成公司首次公开发行股票并在创业板上市募集资金投资项目。截止报告期末，公司募投项目已全部结项，报告</w:t>
      </w:r>
    </w:p>
    <w:p>
      <w:pPr>
        <w:pStyle w:val="BodyText"/>
        <w:spacing w:line="316" w:lineRule="auto" w:before="17"/>
        <w:ind w:left="473" w:right="1129" w:hanging="361"/>
        <w:jc w:val="left"/>
      </w:pPr>
      <w:r>
        <w:rPr/>
        <w:t>期内募投项目投入计入公司研发费用。 </w:t>
      </w:r>
      <w:r>
        <w:rPr>
          <w:spacing w:val="-2"/>
        </w:rPr>
        <w:t>其次是公司新立项的研发项目，主要集中于金融交易云平台、数据管理与大数据应用、智能网络运维平台三个领域。相</w:t>
      </w:r>
    </w:p>
    <w:p>
      <w:pPr>
        <w:pStyle w:val="BodyText"/>
        <w:spacing w:line="316" w:lineRule="auto" w:before="19"/>
        <w:ind w:right="1129"/>
        <w:jc w:val="left"/>
      </w:pPr>
      <w:r>
        <w:rPr>
          <w:spacing w:val="-2"/>
        </w:rPr>
        <w:t>关研发项目是公司在募投项目研发成果的基础上，根据行业技术发展趋势而进行持续性研发，包括对原产品、解决方案的技</w:t>
      </w:r>
      <w:r>
        <w:rPr>
          <w:spacing w:val="-66"/>
        </w:rPr>
        <w:t> </w:t>
      </w:r>
      <w:r>
        <w:rPr>
          <w:spacing w:val="-66"/>
        </w:rPr>
      </w:r>
      <w:r>
        <w:rPr/>
        <w:t>术升级及新的产品、业务组件研发。</w:t>
      </w:r>
    </w:p>
    <w:p>
      <w:pPr>
        <w:pStyle w:val="BodyText"/>
        <w:spacing w:line="316" w:lineRule="auto" w:before="19"/>
        <w:ind w:right="1033" w:firstLine="360"/>
        <w:jc w:val="left"/>
      </w:pPr>
      <w:r>
        <w:rPr>
          <w:spacing w:val="-4"/>
        </w:rPr>
        <w:t>报告期内，公司投入的另一类研发项目，是根据特定客户需求而立项研发的项目。此类项目具有在其他客户的推广价值，</w:t>
      </w:r>
      <w:r>
        <w:rPr/>
        <w:t> </w:t>
      </w:r>
      <w:r>
        <w:rPr>
          <w:spacing w:val="-2"/>
        </w:rPr>
        <w:t>或为维护公司大客户的长期合作关系而设立，项目研发目标及方案一般经过公司与客户方论证，完成后经客户验收后在客户</w:t>
      </w:r>
      <w:r>
        <w:rPr>
          <w:spacing w:val="-64"/>
        </w:rPr>
        <w:t> </w:t>
      </w:r>
      <w:r>
        <w:rPr>
          <w:spacing w:val="-64"/>
        </w:rPr>
      </w:r>
      <w:r>
        <w:rPr/>
        <w:t>方投入使用。</w:t>
      </w:r>
    </w:p>
    <w:p>
      <w:pPr>
        <w:spacing w:line="240" w:lineRule="auto" w:before="0"/>
        <w:rPr>
          <w:rFonts w:ascii="宋体" w:hAnsi="宋体" w:cs="宋体" w:eastAsia="宋体" w:hint="default"/>
          <w:sz w:val="18"/>
          <w:szCs w:val="18"/>
        </w:rPr>
      </w:pPr>
    </w:p>
    <w:p>
      <w:pPr>
        <w:pStyle w:val="BodyText"/>
        <w:spacing w:line="240" w:lineRule="auto" w:before="136"/>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40"/>
        <w:gridCol w:w="2199"/>
        <w:gridCol w:w="2088"/>
        <w:gridCol w:w="2141"/>
      </w:tblGrid>
      <w:tr>
        <w:trPr>
          <w:trHeight w:val="404"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143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7.20%</w:t>
            </w:r>
          </w:p>
        </w:tc>
      </w:tr>
      <w:tr>
        <w:trPr>
          <w:trHeight w:val="401"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69,119,271.96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53,837,360.96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40,376,905.77</w:t>
            </w:r>
          </w:p>
        </w:tc>
      </w:tr>
      <w:tr>
        <w:trPr>
          <w:trHeight w:val="403"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3.99%</w:t>
            </w:r>
          </w:p>
        </w:tc>
      </w:tr>
      <w:tr>
        <w:trPr>
          <w:trHeight w:val="401"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12,617,393.12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10,854,271.47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9,359,114.35</w:t>
            </w:r>
          </w:p>
        </w:tc>
      </w:tr>
      <w:tr>
        <w:trPr>
          <w:trHeight w:val="403"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18.25%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20.16%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23.18%</w:t>
            </w:r>
          </w:p>
        </w:tc>
      </w:tr>
      <w:tr>
        <w:trPr>
          <w:trHeight w:val="401" w:hRule="exact"/>
        </w:trPr>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17.80%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21.20%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21.80%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17"/>
        <w:jc w:val="left"/>
      </w:pPr>
      <w:r>
        <w:rPr/>
        <w:t>研发投入总额占营业收入的比重较上年发生显著变化的原因</w:t>
      </w:r>
    </w:p>
    <w:p>
      <w:pPr>
        <w:pStyle w:val="BodyText"/>
        <w:spacing w:line="357" w:lineRule="auto" w:before="117"/>
        <w:ind w:right="4933"/>
        <w:jc w:val="left"/>
      </w:pPr>
      <w:r>
        <w:rPr/>
        <w:t>□ 适用 √</w:t>
      </w:r>
      <w:r>
        <w:rPr>
          <w:spacing w:val="3"/>
        </w:rPr>
        <w:t> </w:t>
      </w:r>
      <w:r>
        <w:rPr/>
        <w:t>不适用</w:t>
      </w:r>
      <w:r>
        <w:rPr/>
        <w:t> 研发投入资本化率大幅变动的原因及其合理性说明</w:t>
      </w:r>
    </w:p>
    <w:p>
      <w:pPr>
        <w:pStyle w:val="BodyText"/>
        <w:spacing w:line="240" w:lineRule="auto" w:before="29"/>
        <w:ind w:right="-17"/>
        <w:jc w:val="left"/>
      </w:pPr>
      <w:r>
        <w:rPr/>
        <w:t>□ 适用 √</w:t>
      </w:r>
      <w:r>
        <w:rPr>
          <w:spacing w:val="3"/>
        </w:rPr>
        <w:t> </w:t>
      </w:r>
      <w:r>
        <w:rPr/>
        <w:t>不适用</w:t>
      </w:r>
    </w:p>
    <w:p>
      <w:pPr>
        <w:pStyle w:val="BodyText"/>
        <w:spacing w:line="240" w:lineRule="auto" w:before="117"/>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32" w:right="0"/>
        <w:jc w:val="left"/>
      </w:pPr>
      <w:r>
        <w:rPr/>
        <w:t>单位：元</w:t>
      </w:r>
    </w:p>
    <w:p>
      <w:pPr>
        <w:spacing w:after="0" w:line="240" w:lineRule="auto"/>
        <w:jc w:val="left"/>
        <w:sectPr>
          <w:type w:val="continuous"/>
          <w:pgSz w:w="11910" w:h="16840"/>
          <w:pgMar w:top="1100" w:bottom="1220" w:left="1020" w:right="0"/>
          <w:cols w:num="2" w:equalWidth="0">
            <w:col w:w="9026" w:space="40"/>
            <w:col w:w="1824"/>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1534"/>
        <w:gridCol w:w="4112"/>
        <w:gridCol w:w="1476"/>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20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架构的金融渠道 和业务平台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Starring6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1,378,384.31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2"/>
              <w:jc w:val="left"/>
              <w:rPr>
                <w:rFonts w:ascii="宋体" w:hAnsi="宋体" w:cs="宋体" w:eastAsia="宋体" w:hint="default"/>
                <w:sz w:val="18"/>
                <w:szCs w:val="18"/>
              </w:rPr>
            </w:pPr>
            <w:r>
              <w:rPr>
                <w:rFonts w:ascii="宋体" w:hAnsi="宋体" w:cs="宋体" w:eastAsia="宋体" w:hint="default"/>
                <w:spacing w:val="-3"/>
                <w:sz w:val="18"/>
                <w:szCs w:val="18"/>
              </w:rPr>
              <w:t>募投项目。公司前置与渠道业务处理领域的核心平</w:t>
            </w:r>
            <w:r>
              <w:rPr>
                <w:rFonts w:ascii="宋体" w:hAnsi="宋体" w:cs="宋体" w:eastAsia="宋体" w:hint="default"/>
                <w:sz w:val="18"/>
                <w:szCs w:val="18"/>
              </w:rPr>
              <w:t> 台软件，用于金融行业关键业务处理。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已完成，并已取 得软件著作权</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企业数据管理及应用软件包</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498,825.09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both"/>
              <w:rPr>
                <w:rFonts w:ascii="宋体" w:hAnsi="宋体" w:cs="宋体" w:eastAsia="宋体" w:hint="default"/>
                <w:sz w:val="18"/>
                <w:szCs w:val="18"/>
              </w:rPr>
            </w:pPr>
            <w:r>
              <w:rPr>
                <w:rFonts w:ascii="宋体" w:hAnsi="宋体" w:cs="宋体" w:eastAsia="宋体" w:hint="default"/>
                <w:spacing w:val="-3"/>
                <w:sz w:val="18"/>
                <w:szCs w:val="18"/>
              </w:rPr>
              <w:t>募投项目。公司数据管理及商业智能领域的核心平</w:t>
            </w:r>
            <w:r>
              <w:rPr>
                <w:rFonts w:ascii="宋体" w:hAnsi="宋体" w:cs="宋体" w:eastAsia="宋体" w:hint="default"/>
                <w:sz w:val="18"/>
                <w:szCs w:val="18"/>
              </w:rPr>
              <w:t> </w:t>
            </w:r>
            <w:r>
              <w:rPr>
                <w:rFonts w:ascii="宋体" w:hAnsi="宋体" w:cs="宋体" w:eastAsia="宋体" w:hint="default"/>
                <w:spacing w:val="-3"/>
                <w:sz w:val="18"/>
                <w:szCs w:val="18"/>
              </w:rPr>
              <w:t>台软件，用于支撑企业级数据采集、数据集成与管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理、数据统计与分析、数据应用与展现的平台软件。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已完成，并已取 得软件著作权</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大数据平台及应用</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BDPAS</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1,373,245.60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37"/>
              <w:jc w:val="left"/>
              <w:rPr>
                <w:rFonts w:ascii="宋体" w:hAnsi="宋体" w:cs="宋体" w:eastAsia="宋体" w:hint="default"/>
                <w:sz w:val="18"/>
                <w:szCs w:val="18"/>
              </w:rPr>
            </w:pPr>
            <w:r>
              <w:rPr>
                <w:rFonts w:ascii="宋体" w:hAnsi="宋体" w:cs="宋体" w:eastAsia="宋体" w:hint="default"/>
                <w:sz w:val="18"/>
                <w:szCs w:val="18"/>
              </w:rPr>
              <w:t>募投项目。公司大数据领域的核心应用软件平台， </w:t>
            </w:r>
            <w:r>
              <w:rPr>
                <w:rFonts w:ascii="宋体" w:hAnsi="宋体" w:cs="宋体" w:eastAsia="宋体" w:hint="default"/>
                <w:spacing w:val="-3"/>
                <w:sz w:val="18"/>
                <w:szCs w:val="18"/>
              </w:rPr>
              <w:t>提供大数据领域一体化管理平台、企业级客户互联</w:t>
            </w:r>
            <w:r>
              <w:rPr>
                <w:rFonts w:ascii="宋体" w:hAnsi="宋体" w:cs="宋体" w:eastAsia="宋体" w:hint="default"/>
                <w:sz w:val="18"/>
                <w:szCs w:val="18"/>
              </w:rPr>
              <w:t> 网数据分析、风险管控、业务模型搭建以及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 维管理等应用功能。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5" w:right="98"/>
              <w:jc w:val="left"/>
              <w:rPr>
                <w:rFonts w:ascii="宋体" w:hAnsi="宋体" w:cs="宋体" w:eastAsia="宋体" w:hint="default"/>
                <w:sz w:val="18"/>
                <w:szCs w:val="18"/>
              </w:rPr>
            </w:pPr>
            <w:r>
              <w:rPr>
                <w:rFonts w:ascii="宋体" w:hAnsi="宋体" w:cs="宋体" w:eastAsia="宋体" w:hint="default"/>
                <w:sz w:val="18"/>
                <w:szCs w:val="18"/>
              </w:rPr>
              <w:t>已完成，并已取 得软件著作权</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运维服务体系建设项目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1,812,721.30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3"/>
                <w:sz w:val="18"/>
                <w:szCs w:val="18"/>
              </w:rPr>
              <w:t>募投项目。主要为该项目中智能网络管理及运维平</w:t>
            </w:r>
            <w:r>
              <w:rPr>
                <w:rFonts w:ascii="宋体" w:hAnsi="宋体" w:cs="宋体" w:eastAsia="宋体" w:hint="default"/>
                <w:sz w:val="18"/>
                <w:szCs w:val="18"/>
              </w:rPr>
              <w:t> 台研发投入。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已完成，并已取 得软件著作权</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金融交易云平台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3,830,724.09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Starring</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产品的持续研发，包括新增的技术及应用</w:t>
            </w:r>
            <w:r>
              <w:rPr>
                <w:rFonts w:ascii="宋体" w:hAnsi="宋体" w:cs="宋体" w:eastAsia="宋体" w:hint="default"/>
                <w:w w:val="99"/>
                <w:sz w:val="18"/>
                <w:szCs w:val="18"/>
              </w:rPr>
              <w:t> </w:t>
            </w:r>
            <w:r>
              <w:rPr>
                <w:rFonts w:ascii="宋体" w:hAnsi="宋体" w:cs="宋体" w:eastAsia="宋体" w:hint="default"/>
                <w:sz w:val="18"/>
                <w:szCs w:val="18"/>
              </w:rPr>
              <w:t>组件。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进行中，部分取 得软件著作权</w:t>
            </w:r>
          </w:p>
        </w:tc>
      </w:tr>
    </w:tbl>
    <w:p>
      <w:pPr>
        <w:spacing w:after="0" w:line="314"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67" w:type="dxa"/>
        <w:tblLayout w:type="fixed"/>
        <w:tblCellMar>
          <w:top w:w="0" w:type="dxa"/>
          <w:left w:w="0" w:type="dxa"/>
          <w:bottom w:w="0" w:type="dxa"/>
          <w:right w:w="0" w:type="dxa"/>
        </w:tblCellMar>
        <w:tblLook w:val="01E0"/>
      </w:tblPr>
      <w:tblGrid>
        <w:gridCol w:w="2393"/>
        <w:gridCol w:w="1534"/>
        <w:gridCol w:w="4112"/>
        <w:gridCol w:w="1476"/>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新组件研发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594,440.76</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7"/>
              <w:jc w:val="left"/>
              <w:rPr>
                <w:rFonts w:ascii="宋体" w:hAnsi="宋体" w:cs="宋体" w:eastAsia="宋体" w:hint="default"/>
                <w:sz w:val="18"/>
                <w:szCs w:val="18"/>
              </w:rPr>
            </w:pPr>
            <w:r>
              <w:rPr>
                <w:rFonts w:ascii="宋体" w:hAnsi="宋体" w:cs="宋体" w:eastAsia="宋体" w:hint="default"/>
                <w:sz w:val="18"/>
                <w:szCs w:val="18"/>
              </w:rPr>
              <w:t>根据近期数据管理需求新增产品组件及对原产品 组件进行的功能、性能优化。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金融大数据管理及服务平台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1,470,229.77</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Shark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系列产品研发，支持数据业务的敏捷开发及 运行。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智能网络管理及运维平台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1,658,822.20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3"/>
                <w:sz w:val="18"/>
                <w:szCs w:val="18"/>
              </w:rPr>
              <w:t>智能网络管理及运维平台持续开发，适应近期网络</w:t>
            </w:r>
            <w:r>
              <w:rPr>
                <w:rFonts w:ascii="宋体" w:hAnsi="宋体" w:cs="宋体" w:eastAsia="宋体" w:hint="default"/>
                <w:sz w:val="18"/>
                <w:szCs w:val="18"/>
              </w:rPr>
              <w:t> 环境新需求，并提供新的功能组件。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进行中</w:t>
            </w:r>
          </w:p>
        </w:tc>
      </w:tr>
    </w:tbl>
    <w:p>
      <w:pPr>
        <w:pStyle w:val="BodyText"/>
        <w:spacing w:line="316" w:lineRule="auto" w:before="8"/>
        <w:ind w:left="533" w:right="1123"/>
        <w:jc w:val="left"/>
      </w:pPr>
      <w:r>
        <w:rPr/>
        <w:t>上述项目均经过市场调研，项目可行性研究报告、项目立项报告、项目预算、项目决策分析等环节严格的项目评审。 </w:t>
      </w:r>
      <w:r>
        <w:rPr>
          <w:spacing w:val="-2"/>
        </w:rPr>
        <w:t>上述开发支出中的资本化研发项目的相关技术已经开始应用于现有项目，关联项目已经获得规模化销售，基于无形资产</w:t>
      </w:r>
    </w:p>
    <w:p>
      <w:pPr>
        <w:pStyle w:val="BodyText"/>
        <w:spacing w:line="319" w:lineRule="auto" w:before="19"/>
        <w:ind w:left="172" w:right="1129"/>
        <w:jc w:val="both"/>
      </w:pPr>
      <w:r>
        <w:rPr>
          <w:spacing w:val="-2"/>
        </w:rPr>
        <w:t>的使用或出售在技术上具有可行性，且公司有依赖上述无形资产进行销售的意图，基于无形资产完成的软件解决方案存在市</w:t>
      </w:r>
      <w:r>
        <w:rPr>
          <w:spacing w:val="-64"/>
        </w:rPr>
        <w:t> </w:t>
      </w:r>
      <w:r>
        <w:rPr>
          <w:spacing w:val="-64"/>
        </w:rPr>
      </w:r>
      <w:r>
        <w:rPr>
          <w:spacing w:val="-2"/>
        </w:rPr>
        <w:t>场。公司营业收入及经营活动现金流入足以支撑研发工作，公司研发经验丰富，已获取多项软件著作权，因此公司有足够的</w:t>
      </w:r>
      <w:r>
        <w:rPr>
          <w:spacing w:val="-64"/>
        </w:rPr>
        <w:t> </w:t>
      </w:r>
      <w:r>
        <w:rPr>
          <w:spacing w:val="-64"/>
        </w:rPr>
      </w:r>
      <w:r>
        <w:rPr>
          <w:spacing w:val="-2"/>
        </w:rPr>
        <w:t>技术、财务资源和其他资源支持完成项目开发，并有能力使用或出售该无形资产。公司研发支出的内控制度较为健全，归属</w:t>
      </w:r>
      <w:r>
        <w:rPr>
          <w:spacing w:val="-65"/>
        </w:rPr>
        <w:t> </w:t>
      </w:r>
      <w:r>
        <w:rPr>
          <w:spacing w:val="-65"/>
        </w:rPr>
      </w:r>
      <w:r>
        <w:rPr/>
        <w:t>于该无形资产开发阶段的支出能够可靠地计量。</w:t>
      </w:r>
    </w:p>
    <w:p>
      <w:pPr>
        <w:pStyle w:val="BodyText"/>
        <w:spacing w:line="240" w:lineRule="auto" w:before="17"/>
        <w:ind w:left="533" w:right="1123"/>
        <w:jc w:val="left"/>
      </w:pPr>
      <w:r>
        <w:rPr/>
        <w:t>公司上述资本化研发项目已达资本化条件。</w:t>
      </w:r>
    </w:p>
    <w:p>
      <w:pPr>
        <w:spacing w:line="240" w:lineRule="auto" w:before="0"/>
        <w:rPr>
          <w:rFonts w:ascii="宋体" w:hAnsi="宋体" w:cs="宋体" w:eastAsia="宋体" w:hint="default"/>
          <w:sz w:val="18"/>
          <w:szCs w:val="18"/>
        </w:rPr>
      </w:pPr>
    </w:p>
    <w:p>
      <w:pPr>
        <w:pStyle w:val="Heading4"/>
        <w:spacing w:line="240" w:lineRule="auto" w:before="120"/>
        <w:ind w:left="172" w:right="0"/>
        <w:jc w:val="both"/>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778"/>
        <w:gridCol w:w="2393"/>
        <w:gridCol w:w="2391"/>
        <w:gridCol w:w="2041"/>
      </w:tblGrid>
      <w:tr>
        <w:trPr>
          <w:trHeight w:val="401"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2,016,614,817.89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1,693,965,876.37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19.05%</w:t>
            </w:r>
          </w:p>
        </w:tc>
      </w:tr>
      <w:tr>
        <w:trPr>
          <w:trHeight w:val="401"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2,367,460,566.04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1,606,489,412.11</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47.37%</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-350,845,748.15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87,476,464.26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-501.07%</w:t>
            </w:r>
          </w:p>
        </w:tc>
      </w:tr>
      <w:tr>
        <w:trPr>
          <w:trHeight w:val="401"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21,000.00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17,458,927.91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37,312,738.23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-53.21%</w:t>
            </w:r>
          </w:p>
        </w:tc>
      </w:tr>
      <w:tr>
        <w:trPr>
          <w:trHeight w:val="401"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-17,458,927.91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-37,291,738.23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-53.18%</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757,130,263.96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396,873,354.33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90.77%</w:t>
            </w:r>
          </w:p>
        </w:tc>
      </w:tr>
      <w:tr>
        <w:trPr>
          <w:trHeight w:val="401"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462,454,711.09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532,652,939.81</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-13.18%</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294,675,552.87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-135,779,585.48</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-317.02%</w:t>
            </w:r>
          </w:p>
        </w:tc>
      </w:tr>
      <w:tr>
        <w:trPr>
          <w:trHeight w:val="403"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-73,628,978.52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-85,486,476.26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-13.87%</w:t>
            </w:r>
          </w:p>
        </w:tc>
      </w:tr>
    </w:tbl>
    <w:p>
      <w:pPr>
        <w:pStyle w:val="BodyText"/>
        <w:spacing w:line="240" w:lineRule="auto" w:before="49"/>
        <w:ind w:left="172" w:right="1123"/>
        <w:jc w:val="left"/>
      </w:pPr>
      <w:r>
        <w:rPr/>
        <w:t>相关数据同比发生重大变动的主要影响因素说明</w:t>
      </w:r>
    </w:p>
    <w:p>
      <w:pPr>
        <w:pStyle w:val="BodyText"/>
        <w:spacing w:line="360" w:lineRule="auto" w:before="115"/>
        <w:ind w:left="533" w:right="1123" w:hanging="361"/>
        <w:jc w:val="left"/>
      </w:pPr>
      <w:r>
        <w:rPr/>
        <w:t>√ 适用 □</w:t>
      </w:r>
      <w:r>
        <w:rPr>
          <w:spacing w:val="3"/>
        </w:rPr>
        <w:t> </w:t>
      </w:r>
      <w:r>
        <w:rPr/>
        <w:t>不适用</w:t>
      </w:r>
      <w:r>
        <w:rPr/>
        <w:t> 经营活动产生的现金流量净额较上年减少</w:t>
      </w:r>
      <w:r>
        <w:rPr>
          <w:rFonts w:ascii="宋体" w:hAnsi="宋体" w:cs="宋体" w:eastAsia="宋体" w:hint="default"/>
        </w:rPr>
        <w:t>438,322,212.41</w:t>
      </w:r>
      <w:r>
        <w:rPr/>
        <w:t>元，降幅</w:t>
      </w:r>
      <w:r>
        <w:rPr>
          <w:rFonts w:ascii="宋体" w:hAnsi="宋体" w:cs="宋体" w:eastAsia="宋体" w:hint="default"/>
        </w:rPr>
        <w:t>501.07%</w:t>
      </w:r>
      <w:r>
        <w:rPr/>
        <w:t>，主要系购买商品、接受劳务支付的现金增</w:t>
      </w:r>
    </w:p>
    <w:p>
      <w:pPr>
        <w:pStyle w:val="BodyText"/>
        <w:spacing w:line="223" w:lineRule="exact"/>
        <w:ind w:left="172" w:right="1123"/>
        <w:jc w:val="left"/>
      </w:pPr>
      <w:r>
        <w:rPr/>
        <w:t>加所致；</w:t>
      </w:r>
    </w:p>
    <w:p>
      <w:pPr>
        <w:pStyle w:val="BodyText"/>
        <w:spacing w:line="316" w:lineRule="auto" w:before="76"/>
        <w:ind w:left="172" w:right="1124" w:firstLine="360"/>
        <w:jc w:val="left"/>
      </w:pPr>
      <w:r>
        <w:rPr/>
        <w:t>投资活动现金流出小计较上年减少</w:t>
      </w:r>
      <w:r>
        <w:rPr>
          <w:rFonts w:ascii="宋体" w:hAnsi="宋体" w:cs="宋体" w:eastAsia="宋体" w:hint="default"/>
        </w:rPr>
        <w:t>19,853,810.32</w:t>
      </w:r>
      <w:r>
        <w:rPr/>
        <w:t>元，降幅</w:t>
      </w:r>
      <w:r>
        <w:rPr>
          <w:rFonts w:ascii="宋体" w:hAnsi="宋体" w:cs="宋体" w:eastAsia="宋体" w:hint="default"/>
        </w:rPr>
        <w:t>53.21%</w:t>
      </w:r>
      <w:r>
        <w:rPr/>
        <w:t>，主要系本期投入购建固定资产支付的现金、对外投 资支付的现金减少所致；</w:t>
      </w:r>
    </w:p>
    <w:p>
      <w:pPr>
        <w:pStyle w:val="BodyText"/>
        <w:spacing w:line="360" w:lineRule="auto" w:before="19"/>
        <w:ind w:left="172" w:right="1304" w:firstLine="360"/>
        <w:jc w:val="left"/>
      </w:pPr>
      <w:r>
        <w:rPr/>
        <w:t>筹资活动产生的现金流量净额较上年增加</w:t>
      </w:r>
      <w:r>
        <w:rPr>
          <w:rFonts w:ascii="宋体" w:hAnsi="宋体" w:cs="宋体" w:eastAsia="宋体" w:hint="default"/>
        </w:rPr>
        <w:t>430,455,138.35</w:t>
      </w:r>
      <w:r>
        <w:rPr/>
        <w:t>元，增幅</w:t>
      </w:r>
      <w:r>
        <w:rPr>
          <w:rFonts w:ascii="宋体" w:hAnsi="宋体" w:cs="宋体" w:eastAsia="宋体" w:hint="default"/>
        </w:rPr>
        <w:t>317.02%</w:t>
      </w:r>
      <w:r>
        <w:rPr/>
        <w:t>，主要系报告期银行短期借款增加所致。 报告期内公司经营活动产生的现金净流量与本年度净利润存在重大差异的原因说明</w:t>
      </w:r>
    </w:p>
    <w:p>
      <w:pPr>
        <w:pStyle w:val="BodyText"/>
        <w:spacing w:line="357" w:lineRule="auto" w:before="25"/>
        <w:ind w:left="533" w:right="1123" w:hanging="361"/>
        <w:jc w:val="left"/>
      </w:pPr>
      <w:r>
        <w:rPr/>
        <w:t>√ 适用 □</w:t>
      </w:r>
      <w:r>
        <w:rPr>
          <w:spacing w:val="3"/>
        </w:rPr>
        <w:t> </w:t>
      </w:r>
      <w:r>
        <w:rPr/>
        <w:t>不适用</w:t>
      </w:r>
      <w:r>
        <w:rPr/>
        <w:t> </w:t>
      </w:r>
      <w:r>
        <w:rPr>
          <w:rFonts w:ascii="宋体" w:hAnsi="宋体" w:cs="宋体" w:eastAsia="宋体" w:hint="default"/>
          <w:spacing w:val="-2"/>
        </w:rPr>
        <w:t>2019</w:t>
      </w:r>
      <w:r>
        <w:rPr>
          <w:spacing w:val="-2"/>
        </w:rPr>
        <w:t>年末，部分公司客户大规模采购</w:t>
      </w:r>
      <w:r>
        <w:rPr>
          <w:rFonts w:ascii="宋体" w:hAnsi="宋体" w:cs="宋体" w:eastAsia="宋体" w:hint="default"/>
          <w:spacing w:val="-2"/>
        </w:rPr>
        <w:t>IT</w:t>
      </w:r>
      <w:r>
        <w:rPr>
          <w:spacing w:val="-2"/>
        </w:rPr>
        <w:t>基础设施相关产品，公司采购供应商产品形成大额现金流出，导致公司年度经营</w:t>
      </w:r>
    </w:p>
    <w:p>
      <w:pPr>
        <w:pStyle w:val="BodyText"/>
        <w:spacing w:line="224" w:lineRule="exact"/>
        <w:ind w:left="172" w:right="1123"/>
        <w:jc w:val="left"/>
      </w:pPr>
      <w:r>
        <w:rPr/>
        <w:t>活动产生的现金流量净额大幅下降，同时存货较上年同期大幅增加。</w:t>
      </w:r>
    </w:p>
    <w:p>
      <w:pPr>
        <w:spacing w:after="0" w:line="224" w:lineRule="exact"/>
        <w:jc w:val="left"/>
        <w:sectPr>
          <w:pgSz w:w="11910" w:h="16840"/>
          <w:pgMar w:header="906" w:footer="1021" w:top="1100" w:bottom="1220" w:left="960" w:right="0"/>
        </w:sectPr>
      </w:pPr>
    </w:p>
    <w:p>
      <w:pPr>
        <w:spacing w:line="240" w:lineRule="auto" w:before="9"/>
        <w:rPr>
          <w:rFonts w:ascii="宋体" w:hAnsi="宋体" w:cs="宋体" w:eastAsia="宋体" w:hint="default"/>
          <w:sz w:val="20"/>
          <w:szCs w:val="20"/>
        </w:rPr>
      </w:pPr>
    </w:p>
    <w:p>
      <w:pPr>
        <w:pStyle w:val="Heading3"/>
        <w:spacing w:line="240" w:lineRule="auto" w:before="26"/>
        <w:ind w:left="172" w:right="112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72" w:right="1123"/>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524"/>
        <w:gridCol w:w="1666"/>
        <w:gridCol w:w="1622"/>
        <w:gridCol w:w="3051"/>
        <w:gridCol w:w="1788"/>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7.02%</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股权投资确认的投资收益</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93,118.77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0.11%</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无需支付的款项及其他营业外收入</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23,482.91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0.03%</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处置固定资产损失等</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-941,714.19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-1.14%</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应收款项计提的坏账准备</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left="172" w:right="112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72" w:right="112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960" w:right="0"/>
        </w:sectPr>
      </w:pPr>
    </w:p>
    <w:p>
      <w:pPr>
        <w:pStyle w:val="BodyText"/>
        <w:spacing w:line="240" w:lineRule="auto" w:before="44"/>
        <w:ind w:left="172" w:right="-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left="172" w:right="-16"/>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72" w:right="0"/>
        <w:jc w:val="left"/>
      </w:pPr>
      <w:r>
        <w:rPr/>
        <w:t>单位：元</w:t>
      </w:r>
    </w:p>
    <w:p>
      <w:pPr>
        <w:spacing w:after="0" w:line="240" w:lineRule="auto"/>
        <w:jc w:val="left"/>
        <w:sectPr>
          <w:type w:val="continuous"/>
          <w:pgSz w:w="11910" w:h="16840"/>
          <w:pgMar w:top="1100" w:bottom="1220" w:left="960" w:right="0"/>
          <w:cols w:num="2" w:equalWidth="0">
            <w:col w:w="8546" w:space="375"/>
            <w:col w:w="2029"/>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368"/>
        <w:gridCol w:w="1359"/>
        <w:gridCol w:w="893"/>
        <w:gridCol w:w="1368"/>
        <w:gridCol w:w="826"/>
        <w:gridCol w:w="799"/>
        <w:gridCol w:w="298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60" w:lineRule="auto"/>
              <w:ind w:left="215" w:right="211"/>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70"/>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298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185,551,060.47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258,257,805.43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19.58%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-9.64%</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主要系本报告期采购存货等日常经 营活动支付的现金增加所致。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576,585,149.59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466,295,722.55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35.36%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主要系本报告期确认收入增加未到 收款期所致。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770,804,974.38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335,165,856.00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25.42%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15.86%</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主要系本报告期末签订合同较多， 相应采购的原材料增多，未完成交 付验收，形成存货。</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115,906,847.02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100,656,313.20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主要系本报告期西藏子公司投资收 益增加所致。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72,093,470.72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61,667,379.57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主要系上期购买的办公场所在本期 取得产权，转入固定资产所致。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556,346,771.11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230,000,000.00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17.44%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12.36%</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主要系报告期内日常经营活动资金 需求增加，新增银行贷款所致。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74,670,870.26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35,487,315.69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主要系报告期存货采购预付款尚未 交货所致。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21,046,895.54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12,983,318.84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主要系报告期支付的合同保证金增 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3,267,679.95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747,019.88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主要系本报告期留抵增值税进项税 额增加所致。</w:t>
            </w:r>
          </w:p>
        </w:tc>
      </w:tr>
    </w:tbl>
    <w:p>
      <w:pPr>
        <w:spacing w:after="0" w:line="314" w:lineRule="auto"/>
        <w:jc w:val="left"/>
        <w:rPr>
          <w:rFonts w:ascii="宋体" w:hAnsi="宋体" w:cs="宋体" w:eastAsia="宋体" w:hint="default"/>
          <w:sz w:val="18"/>
          <w:szCs w:val="18"/>
        </w:rPr>
        <w:sectPr>
          <w:type w:val="continuous"/>
          <w:pgSz w:w="11910" w:h="16840"/>
          <w:pgMar w:top="1100" w:bottom="1220" w:left="96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59"/>
        <w:gridCol w:w="893"/>
        <w:gridCol w:w="1368"/>
        <w:gridCol w:w="826"/>
        <w:gridCol w:w="799"/>
        <w:gridCol w:w="298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21,109,187.36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9,385,732.53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主要系报告期自研资本化项目完成 并取得软件著作权确认为无形资产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35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11,550,000.00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主要系报告期取得上期购买办公场 </w:t>
            </w:r>
            <w:r>
              <w:rPr>
                <w:rFonts w:ascii="宋体" w:hAnsi="宋体" w:cs="宋体" w:eastAsia="宋体" w:hint="default"/>
                <w:spacing w:val="-2"/>
                <w:sz w:val="18"/>
                <w:szCs w:val="18"/>
              </w:rPr>
              <w:t>所所有权权证，转入固定资产所致。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229,180,209.70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138,372,998.81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主要系报告期业务规模扩大，原材 料采购量增加所致。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81,138,378.52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48,691,758.96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0.66%</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主要系本报告期预收款合同暂未完 工，未确认收入所致。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59,882,882.84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43,496,141.30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-0.09%</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主要系本报告期人数增加，相应工 资及奖金增加所致。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7,262,014.46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10,929,210.68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-0.44%</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主要系本报告期末应交增值税减少 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10,287,463.26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15,300,058.19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主要系报告期部分限制性股票符合 解锁条件，相应减少股票回购义务 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9,205,025.52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13,597,396.78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-0.54%</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主要系报告期部分限制性股票符合 解锁条件，相应减少股票回购义务 所致。</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截至报告期末，公司除</w:t>
      </w:r>
      <w:r>
        <w:rPr>
          <w:rFonts w:ascii="宋体" w:hAnsi="宋体" w:cs="宋体" w:eastAsia="宋体" w:hint="default"/>
        </w:rPr>
        <w:t>3,256,635.05</w:t>
      </w:r>
      <w:r>
        <w:rPr/>
        <w:t>元保函保证金受限外，不存在资产被查封、扣押、冻结或者被抵押、质押的情况。</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left="232"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32"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left="232"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2"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left="232"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2"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left="232"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32" w:right="0"/>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72"/>
        <w:gridCol w:w="1042"/>
        <w:gridCol w:w="869"/>
        <w:gridCol w:w="871"/>
        <w:gridCol w:w="991"/>
        <w:gridCol w:w="869"/>
        <w:gridCol w:w="871"/>
        <w:gridCol w:w="869"/>
        <w:gridCol w:w="872"/>
        <w:gridCol w:w="869"/>
        <w:gridCol w:w="876"/>
      </w:tblGrid>
      <w:tr>
        <w:trPr>
          <w:trHeight w:val="1338"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112" w:right="0"/>
              <w:jc w:val="left"/>
              <w:rPr>
                <w:rFonts w:ascii="宋体" w:hAnsi="宋体" w:cs="宋体" w:eastAsia="宋体" w:hint="default"/>
                <w:sz w:val="16"/>
                <w:szCs w:val="16"/>
              </w:rPr>
            </w:pPr>
            <w:r>
              <w:rPr>
                <w:rFonts w:ascii="宋体" w:hAnsi="宋体" w:cs="宋体" w:eastAsia="宋体" w:hint="default"/>
                <w:sz w:val="16"/>
                <w:szCs w:val="16"/>
              </w:rPr>
              <w:t>募集年份</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right="192"/>
              <w:jc w:val="right"/>
              <w:rPr>
                <w:rFonts w:ascii="宋体" w:hAnsi="宋体" w:cs="宋体" w:eastAsia="宋体" w:hint="default"/>
                <w:sz w:val="16"/>
                <w:szCs w:val="16"/>
              </w:rPr>
            </w:pPr>
            <w:r>
              <w:rPr>
                <w:rFonts w:ascii="宋体" w:hAnsi="宋体" w:cs="宋体" w:eastAsia="宋体" w:hint="default"/>
                <w:sz w:val="16"/>
                <w:szCs w:val="16"/>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55" w:lineRule="auto"/>
              <w:ind w:left="268" w:right="106" w:hanging="161"/>
              <w:jc w:val="left"/>
              <w:rPr>
                <w:rFonts w:ascii="宋体" w:hAnsi="宋体" w:cs="宋体" w:eastAsia="宋体" w:hint="default"/>
                <w:sz w:val="16"/>
                <w:szCs w:val="16"/>
              </w:rPr>
            </w:pPr>
            <w:r>
              <w:rPr>
                <w:rFonts w:ascii="宋体" w:hAnsi="宋体" w:cs="宋体" w:eastAsia="宋体" w:hint="default"/>
                <w:sz w:val="16"/>
                <w:szCs w:val="16"/>
              </w:rPr>
              <w:t>募集资金</w:t>
            </w:r>
            <w:r>
              <w:rPr>
                <w:rFonts w:ascii="宋体" w:hAnsi="宋体" w:cs="宋体" w:eastAsia="宋体" w:hint="default"/>
                <w:spacing w:val="-77"/>
                <w:sz w:val="16"/>
                <w:szCs w:val="16"/>
              </w:rPr>
              <w:t> </w:t>
            </w:r>
            <w:r>
              <w:rPr>
                <w:rFonts w:ascii="宋体" w:hAnsi="宋体" w:cs="宋体" w:eastAsia="宋体" w:hint="default"/>
                <w:sz w:val="16"/>
                <w:szCs w:val="16"/>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55" w:lineRule="auto"/>
              <w:ind w:left="110" w:right="107"/>
              <w:jc w:val="both"/>
              <w:rPr>
                <w:rFonts w:ascii="宋体" w:hAnsi="宋体" w:cs="宋体" w:eastAsia="宋体" w:hint="default"/>
                <w:sz w:val="16"/>
                <w:szCs w:val="16"/>
              </w:rPr>
            </w:pPr>
            <w:r>
              <w:rPr>
                <w:rFonts w:ascii="宋体" w:hAnsi="宋体" w:cs="宋体" w:eastAsia="宋体" w:hint="default"/>
                <w:sz w:val="16"/>
                <w:szCs w:val="16"/>
              </w:rPr>
              <w:t>本期已使</w:t>
            </w:r>
            <w:r>
              <w:rPr>
                <w:rFonts w:ascii="宋体" w:hAnsi="宋体" w:cs="宋体" w:eastAsia="宋体" w:hint="default"/>
                <w:spacing w:val="-77"/>
                <w:sz w:val="16"/>
                <w:szCs w:val="16"/>
              </w:rPr>
              <w:t> </w:t>
            </w:r>
            <w:r>
              <w:rPr>
                <w:rFonts w:ascii="宋体" w:hAnsi="宋体" w:cs="宋体" w:eastAsia="宋体" w:hint="default"/>
                <w:sz w:val="16"/>
                <w:szCs w:val="16"/>
              </w:rPr>
              <w:t>用募集资</w:t>
            </w:r>
            <w:r>
              <w:rPr>
                <w:rFonts w:ascii="宋体" w:hAnsi="宋体" w:cs="宋体" w:eastAsia="宋体" w:hint="default"/>
                <w:spacing w:val="-77"/>
                <w:sz w:val="16"/>
                <w:szCs w:val="16"/>
              </w:rPr>
              <w:t> </w:t>
            </w:r>
            <w:r>
              <w:rPr>
                <w:rFonts w:ascii="宋体" w:hAnsi="宋体" w:cs="宋体" w:eastAsia="宋体" w:hint="default"/>
                <w:sz w:val="16"/>
                <w:szCs w:val="16"/>
              </w:rPr>
              <w:t>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55" w:lineRule="auto"/>
              <w:ind w:left="170" w:right="167"/>
              <w:jc w:val="both"/>
              <w:rPr>
                <w:rFonts w:ascii="宋体" w:hAnsi="宋体" w:cs="宋体" w:eastAsia="宋体" w:hint="default"/>
                <w:sz w:val="16"/>
                <w:szCs w:val="16"/>
              </w:rPr>
            </w:pPr>
            <w:r>
              <w:rPr>
                <w:rFonts w:ascii="宋体" w:hAnsi="宋体" w:cs="宋体" w:eastAsia="宋体" w:hint="default"/>
                <w:sz w:val="16"/>
                <w:szCs w:val="16"/>
              </w:rPr>
              <w:t>已累计使</w:t>
            </w:r>
            <w:r>
              <w:rPr>
                <w:rFonts w:ascii="宋体" w:hAnsi="宋体" w:cs="宋体" w:eastAsia="宋体" w:hint="default"/>
                <w:spacing w:val="-77"/>
                <w:sz w:val="16"/>
                <w:szCs w:val="16"/>
              </w:rPr>
              <w:t> </w:t>
            </w:r>
            <w:r>
              <w:rPr>
                <w:rFonts w:ascii="宋体" w:hAnsi="宋体" w:cs="宋体" w:eastAsia="宋体" w:hint="default"/>
                <w:sz w:val="16"/>
                <w:szCs w:val="16"/>
              </w:rPr>
              <w:t>用募集资</w:t>
            </w:r>
            <w:r>
              <w:rPr>
                <w:rFonts w:ascii="宋体" w:hAnsi="宋体" w:cs="宋体" w:eastAsia="宋体" w:hint="default"/>
                <w:spacing w:val="-77"/>
                <w:sz w:val="16"/>
                <w:szCs w:val="16"/>
              </w:rPr>
              <w:t> </w:t>
            </w:r>
            <w:r>
              <w:rPr>
                <w:rFonts w:ascii="宋体" w:hAnsi="宋体" w:cs="宋体" w:eastAsia="宋体" w:hint="default"/>
                <w:sz w:val="16"/>
                <w:szCs w:val="16"/>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8"/>
              <w:ind w:left="110" w:right="105"/>
              <w:jc w:val="both"/>
              <w:rPr>
                <w:rFonts w:ascii="宋体" w:hAnsi="宋体" w:cs="宋体" w:eastAsia="宋体" w:hint="default"/>
                <w:sz w:val="16"/>
                <w:szCs w:val="16"/>
              </w:rPr>
            </w:pPr>
            <w:r>
              <w:rPr>
                <w:rFonts w:ascii="宋体" w:hAnsi="宋体" w:cs="宋体" w:eastAsia="宋体" w:hint="default"/>
                <w:sz w:val="16"/>
                <w:szCs w:val="16"/>
              </w:rPr>
              <w:t>报告期内</w:t>
            </w:r>
            <w:r>
              <w:rPr>
                <w:rFonts w:ascii="宋体" w:hAnsi="宋体" w:cs="宋体" w:eastAsia="宋体" w:hint="default"/>
                <w:spacing w:val="-77"/>
                <w:sz w:val="16"/>
                <w:szCs w:val="16"/>
              </w:rPr>
              <w:t> </w:t>
            </w:r>
            <w:r>
              <w:rPr>
                <w:rFonts w:ascii="宋体" w:hAnsi="宋体" w:cs="宋体" w:eastAsia="宋体" w:hint="default"/>
                <w:sz w:val="16"/>
                <w:szCs w:val="16"/>
              </w:rPr>
              <w:t>变更用途</w:t>
            </w:r>
            <w:r>
              <w:rPr>
                <w:rFonts w:ascii="宋体" w:hAnsi="宋体" w:cs="宋体" w:eastAsia="宋体" w:hint="default"/>
                <w:spacing w:val="-77"/>
                <w:sz w:val="16"/>
                <w:szCs w:val="16"/>
              </w:rPr>
              <w:t> </w:t>
            </w:r>
            <w:r>
              <w:rPr>
                <w:rFonts w:ascii="宋体" w:hAnsi="宋体" w:cs="宋体" w:eastAsia="宋体" w:hint="default"/>
                <w:sz w:val="16"/>
                <w:szCs w:val="16"/>
              </w:rPr>
              <w:t>的募集资</w:t>
            </w:r>
            <w:r>
              <w:rPr>
                <w:rFonts w:ascii="宋体" w:hAnsi="宋体" w:cs="宋体" w:eastAsia="宋体" w:hint="default"/>
                <w:spacing w:val="-77"/>
                <w:sz w:val="16"/>
                <w:szCs w:val="16"/>
              </w:rPr>
              <w:t> </w:t>
            </w:r>
            <w:r>
              <w:rPr>
                <w:rFonts w:ascii="宋体" w:hAnsi="宋体" w:cs="宋体" w:eastAsia="宋体" w:hint="default"/>
                <w:sz w:val="16"/>
                <w:szCs w:val="16"/>
              </w:rPr>
              <w:t>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8"/>
              <w:ind w:left="110" w:right="107"/>
              <w:jc w:val="center"/>
              <w:rPr>
                <w:rFonts w:ascii="宋体" w:hAnsi="宋体" w:cs="宋体" w:eastAsia="宋体" w:hint="default"/>
                <w:sz w:val="16"/>
                <w:szCs w:val="16"/>
              </w:rPr>
            </w:pPr>
            <w:r>
              <w:rPr>
                <w:rFonts w:ascii="宋体" w:hAnsi="宋体" w:cs="宋体" w:eastAsia="宋体" w:hint="default"/>
                <w:sz w:val="16"/>
                <w:szCs w:val="16"/>
              </w:rPr>
              <w:t>累计变更</w:t>
            </w:r>
            <w:r>
              <w:rPr>
                <w:rFonts w:ascii="宋体" w:hAnsi="宋体" w:cs="宋体" w:eastAsia="宋体" w:hint="default"/>
                <w:w w:val="100"/>
                <w:sz w:val="16"/>
                <w:szCs w:val="16"/>
              </w:rPr>
              <w:t> </w:t>
            </w:r>
            <w:r>
              <w:rPr>
                <w:rFonts w:ascii="宋体" w:hAnsi="宋体" w:cs="宋体" w:eastAsia="宋体" w:hint="default"/>
                <w:sz w:val="16"/>
                <w:szCs w:val="16"/>
              </w:rPr>
              <w:t>用途的募</w:t>
            </w:r>
            <w:r>
              <w:rPr>
                <w:rFonts w:ascii="宋体" w:hAnsi="宋体" w:cs="宋体" w:eastAsia="宋体" w:hint="default"/>
                <w:w w:val="100"/>
                <w:sz w:val="16"/>
                <w:szCs w:val="16"/>
              </w:rPr>
              <w:t> </w:t>
            </w:r>
            <w:r>
              <w:rPr>
                <w:rFonts w:ascii="宋体" w:hAnsi="宋体" w:cs="宋体" w:eastAsia="宋体" w:hint="default"/>
                <w:sz w:val="16"/>
                <w:szCs w:val="16"/>
              </w:rPr>
              <w:t>集资金总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8"/>
              <w:ind w:left="108" w:right="107"/>
              <w:jc w:val="both"/>
              <w:rPr>
                <w:rFonts w:ascii="宋体" w:hAnsi="宋体" w:cs="宋体" w:eastAsia="宋体" w:hint="default"/>
                <w:sz w:val="16"/>
                <w:szCs w:val="16"/>
              </w:rPr>
            </w:pPr>
            <w:r>
              <w:rPr>
                <w:rFonts w:ascii="宋体" w:hAnsi="宋体" w:cs="宋体" w:eastAsia="宋体" w:hint="default"/>
                <w:sz w:val="16"/>
                <w:szCs w:val="16"/>
              </w:rPr>
              <w:t>累计变更</w:t>
            </w:r>
            <w:r>
              <w:rPr>
                <w:rFonts w:ascii="宋体" w:hAnsi="宋体" w:cs="宋体" w:eastAsia="宋体" w:hint="default"/>
                <w:spacing w:val="-77"/>
                <w:sz w:val="16"/>
                <w:szCs w:val="16"/>
              </w:rPr>
              <w:t> </w:t>
            </w:r>
            <w:r>
              <w:rPr>
                <w:rFonts w:ascii="宋体" w:hAnsi="宋体" w:cs="宋体" w:eastAsia="宋体" w:hint="default"/>
                <w:sz w:val="16"/>
                <w:szCs w:val="16"/>
              </w:rPr>
              <w:t>用途的募</w:t>
            </w:r>
            <w:r>
              <w:rPr>
                <w:rFonts w:ascii="宋体" w:hAnsi="宋体" w:cs="宋体" w:eastAsia="宋体" w:hint="default"/>
                <w:spacing w:val="-77"/>
                <w:sz w:val="16"/>
                <w:szCs w:val="16"/>
              </w:rPr>
              <w:t> </w:t>
            </w:r>
            <w:r>
              <w:rPr>
                <w:rFonts w:ascii="宋体" w:hAnsi="宋体" w:cs="宋体" w:eastAsia="宋体" w:hint="default"/>
                <w:sz w:val="16"/>
                <w:szCs w:val="16"/>
              </w:rPr>
              <w:t>集资金总</w:t>
            </w:r>
            <w:r>
              <w:rPr>
                <w:rFonts w:ascii="宋体" w:hAnsi="宋体" w:cs="宋体" w:eastAsia="宋体" w:hint="default"/>
                <w:spacing w:val="-77"/>
                <w:sz w:val="16"/>
                <w:szCs w:val="16"/>
              </w:rPr>
              <w:t> </w:t>
            </w:r>
            <w:r>
              <w:rPr>
                <w:rFonts w:ascii="宋体" w:hAnsi="宋体" w:cs="宋体" w:eastAsia="宋体" w:hint="default"/>
                <w:sz w:val="16"/>
                <w:szCs w:val="16"/>
              </w:rPr>
              <w:t>额比例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55" w:lineRule="auto"/>
              <w:ind w:left="110" w:right="106"/>
              <w:jc w:val="center"/>
              <w:rPr>
                <w:rFonts w:ascii="宋体" w:hAnsi="宋体" w:cs="宋体" w:eastAsia="宋体" w:hint="default"/>
                <w:sz w:val="16"/>
                <w:szCs w:val="16"/>
              </w:rPr>
            </w:pPr>
            <w:r>
              <w:rPr>
                <w:rFonts w:ascii="宋体" w:hAnsi="宋体" w:cs="宋体" w:eastAsia="宋体" w:hint="default"/>
                <w:sz w:val="16"/>
                <w:szCs w:val="16"/>
              </w:rPr>
              <w:t>尚未使用</w:t>
            </w:r>
            <w:r>
              <w:rPr>
                <w:rFonts w:ascii="宋体" w:hAnsi="宋体" w:cs="宋体" w:eastAsia="宋体" w:hint="default"/>
                <w:w w:val="100"/>
                <w:sz w:val="16"/>
                <w:szCs w:val="16"/>
              </w:rPr>
              <w:t> </w:t>
            </w:r>
            <w:r>
              <w:rPr>
                <w:rFonts w:ascii="宋体" w:hAnsi="宋体" w:cs="宋体" w:eastAsia="宋体" w:hint="default"/>
                <w:sz w:val="16"/>
                <w:szCs w:val="16"/>
              </w:rPr>
              <w:t>募集资金</w:t>
            </w:r>
            <w:r>
              <w:rPr>
                <w:rFonts w:ascii="宋体" w:hAnsi="宋体" w:cs="宋体" w:eastAsia="宋体" w:hint="default"/>
                <w:w w:val="100"/>
                <w:sz w:val="16"/>
                <w:szCs w:val="16"/>
              </w:rPr>
              <w:t> </w:t>
            </w:r>
            <w:r>
              <w:rPr>
                <w:rFonts w:ascii="宋体" w:hAnsi="宋体" w:cs="宋体" w:eastAsia="宋体" w:hint="default"/>
                <w:sz w:val="16"/>
                <w:szCs w:val="16"/>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8"/>
              <w:ind w:left="107" w:right="107"/>
              <w:jc w:val="center"/>
              <w:rPr>
                <w:rFonts w:ascii="宋体" w:hAnsi="宋体" w:cs="宋体" w:eastAsia="宋体" w:hint="default"/>
                <w:sz w:val="16"/>
                <w:szCs w:val="16"/>
              </w:rPr>
            </w:pPr>
            <w:r>
              <w:rPr>
                <w:rFonts w:ascii="宋体" w:hAnsi="宋体" w:cs="宋体" w:eastAsia="宋体" w:hint="default"/>
                <w:sz w:val="16"/>
                <w:szCs w:val="16"/>
              </w:rPr>
              <w:t>尚未使用</w:t>
            </w:r>
            <w:r>
              <w:rPr>
                <w:rFonts w:ascii="宋体" w:hAnsi="宋体" w:cs="宋体" w:eastAsia="宋体" w:hint="default"/>
                <w:w w:val="100"/>
                <w:sz w:val="16"/>
                <w:szCs w:val="16"/>
              </w:rPr>
              <w:t> </w:t>
            </w:r>
            <w:r>
              <w:rPr>
                <w:rFonts w:ascii="宋体" w:hAnsi="宋体" w:cs="宋体" w:eastAsia="宋体" w:hint="default"/>
                <w:sz w:val="16"/>
                <w:szCs w:val="16"/>
              </w:rPr>
              <w:t>募集资金</w:t>
            </w:r>
            <w:r>
              <w:rPr>
                <w:rFonts w:ascii="宋体" w:hAnsi="宋体" w:cs="宋体" w:eastAsia="宋体" w:hint="default"/>
                <w:w w:val="100"/>
                <w:sz w:val="16"/>
                <w:szCs w:val="16"/>
              </w:rPr>
              <w:t> </w:t>
            </w:r>
            <w:r>
              <w:rPr>
                <w:rFonts w:ascii="宋体" w:hAnsi="宋体" w:cs="宋体" w:eastAsia="宋体" w:hint="default"/>
                <w:sz w:val="16"/>
                <w:szCs w:val="16"/>
              </w:rPr>
              <w:t>用途及去</w:t>
            </w:r>
            <w:r>
              <w:rPr>
                <w:rFonts w:ascii="宋体" w:hAnsi="宋体" w:cs="宋体" w:eastAsia="宋体" w:hint="default"/>
                <w:w w:val="100"/>
                <w:sz w:val="16"/>
                <w:szCs w:val="16"/>
              </w:rPr>
              <w:t> </w:t>
            </w:r>
            <w:r>
              <w:rPr>
                <w:rFonts w:ascii="宋体" w:hAnsi="宋体" w:cs="宋体" w:eastAsia="宋体" w:hint="default"/>
                <w:sz w:val="16"/>
                <w:szCs w:val="16"/>
              </w:rPr>
              <w:t>向</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55" w:lineRule="auto"/>
              <w:ind w:left="110" w:right="110"/>
              <w:jc w:val="both"/>
              <w:rPr>
                <w:rFonts w:ascii="宋体" w:hAnsi="宋体" w:cs="宋体" w:eastAsia="宋体" w:hint="default"/>
                <w:sz w:val="16"/>
                <w:szCs w:val="16"/>
              </w:rPr>
            </w:pPr>
            <w:r>
              <w:rPr>
                <w:rFonts w:ascii="宋体" w:hAnsi="宋体" w:cs="宋体" w:eastAsia="宋体" w:hint="default"/>
                <w:sz w:val="16"/>
                <w:szCs w:val="16"/>
              </w:rPr>
              <w:t>闲置两年</w:t>
            </w:r>
            <w:r>
              <w:rPr>
                <w:rFonts w:ascii="宋体" w:hAnsi="宋体" w:cs="宋体" w:eastAsia="宋体" w:hint="default"/>
                <w:spacing w:val="-77"/>
                <w:sz w:val="16"/>
                <w:szCs w:val="16"/>
              </w:rPr>
              <w:t> </w:t>
            </w:r>
            <w:r>
              <w:rPr>
                <w:rFonts w:ascii="宋体" w:hAnsi="宋体" w:cs="宋体" w:eastAsia="宋体" w:hint="default"/>
                <w:sz w:val="16"/>
                <w:szCs w:val="16"/>
              </w:rPr>
              <w:t>以上募集</w:t>
            </w:r>
            <w:r>
              <w:rPr>
                <w:rFonts w:ascii="宋体" w:hAnsi="宋体" w:cs="宋体" w:eastAsia="宋体" w:hint="default"/>
                <w:spacing w:val="-77"/>
                <w:sz w:val="16"/>
                <w:szCs w:val="16"/>
              </w:rPr>
              <w:t> </w:t>
            </w:r>
            <w:r>
              <w:rPr>
                <w:rFonts w:ascii="宋体" w:hAnsi="宋体" w:cs="宋体" w:eastAsia="宋体" w:hint="default"/>
                <w:sz w:val="16"/>
                <w:szCs w:val="16"/>
              </w:rPr>
              <w:t>资金金额</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pacing w:val="-1"/>
                <w:sz w:val="18"/>
                <w:szCs w:val="18"/>
              </w:rPr>
              <w:t>公开发行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30,143.64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296.61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30,143.64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8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219" w:hRule="exact"/>
        </w:trPr>
        <w:tc>
          <w:tcPr>
            <w:tcW w:w="987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（一）扣除发行费用后的实际募集资金金额、资金到账时间</w:t>
            </w:r>
          </w:p>
          <w:p>
            <w:pPr>
              <w:pStyle w:val="TableParagraph"/>
              <w:spacing w:line="309" w:lineRule="auto" w:before="115"/>
              <w:ind w:left="103" w:right="134" w:firstLine="454"/>
              <w:jc w:val="left"/>
              <w:rPr>
                <w:rFonts w:ascii="宋体" w:hAnsi="宋体" w:cs="宋体" w:eastAsia="宋体" w:hint="default"/>
                <w:sz w:val="18"/>
                <w:szCs w:val="18"/>
              </w:rPr>
            </w:pPr>
            <w:r>
              <w:rPr>
                <w:rFonts w:ascii="宋体" w:hAnsi="宋体" w:cs="宋体" w:eastAsia="宋体" w:hint="default"/>
                <w:spacing w:val="-1"/>
                <w:sz w:val="18"/>
                <w:szCs w:val="18"/>
              </w:rPr>
              <w:t>经中国证券监督管理委员会</w:t>
            </w:r>
            <w:r>
              <w:rPr>
                <w:rFonts w:ascii="宋体" w:hAnsi="宋体" w:cs="宋体" w:eastAsia="宋体" w:hint="default"/>
                <w:spacing w:val="4"/>
                <w:sz w:val="18"/>
                <w:szCs w:val="18"/>
              </w:rPr>
              <w:t> </w:t>
            </w:r>
            <w:r>
              <w:rPr>
                <w:rFonts w:ascii="宋体" w:hAnsi="宋体" w:cs="宋体" w:eastAsia="宋体" w:hint="default"/>
                <w:spacing w:val="-3"/>
                <w:sz w:val="18"/>
                <w:szCs w:val="18"/>
              </w:rPr>
              <w:t>《关于核准北京先进数通信息技术股份公司首次公开发行股票的批复》（证监许可</w:t>
            </w:r>
            <w:r>
              <w:rPr>
                <w:rFonts w:ascii="宋体" w:hAnsi="宋体" w:cs="宋体" w:eastAsia="宋体" w:hint="default"/>
                <w:sz w:val="18"/>
                <w:szCs w:val="18"/>
              </w:rPr>
              <w:t> </w:t>
            </w:r>
            <w:r>
              <w:rPr>
                <w:rFonts w:ascii="Times New Roman" w:hAnsi="Times New Roman" w:cs="Times New Roman" w:eastAsia="Times New Roman" w:hint="default"/>
                <w:sz w:val="18"/>
                <w:szCs w:val="18"/>
              </w:rPr>
              <w:t>[2016]1885 </w:t>
            </w:r>
            <w:r>
              <w:rPr>
                <w:rFonts w:ascii="宋体" w:hAnsi="宋体" w:cs="宋体" w:eastAsia="宋体" w:hint="default"/>
                <w:sz w:val="18"/>
                <w:szCs w:val="18"/>
              </w:rPr>
              <w:t>号）核准，北京先进数通信息技术股份公司采用公开发行股票的方式发行人民币普通股（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万股，发 行价格为每股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日，本公司实际已向社会公开发行人民币普通股（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万股，募集资金</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332,100,000.00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元，扣除承销费、保荐费、审计费、律师费、信息披露等发行费用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元后，实际募集资金净</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305,100,000.00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元。上述资金到位情况已经大信会计师事务所（特殊普通合伙）验证，并出具了大信验字</w:t>
            </w:r>
            <w:r>
              <w:rPr>
                <w:rFonts w:ascii="Times New Roman" w:hAnsi="Times New Roman" w:cs="Times New Roman" w:eastAsia="Times New Roman" w:hint="default"/>
                <w:sz w:val="18"/>
                <w:szCs w:val="18"/>
              </w:rPr>
              <w:t>[2016]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文号的验资报告。</w:t>
            </w:r>
          </w:p>
          <w:p>
            <w:pPr>
              <w:pStyle w:val="TableParagraph"/>
              <w:spacing w:line="240" w:lineRule="auto" w:before="103"/>
              <w:ind w:left="377" w:right="0"/>
              <w:jc w:val="left"/>
              <w:rPr>
                <w:rFonts w:ascii="宋体" w:hAnsi="宋体" w:cs="宋体" w:eastAsia="宋体" w:hint="default"/>
                <w:sz w:val="18"/>
                <w:szCs w:val="18"/>
              </w:rPr>
            </w:pPr>
            <w:r>
              <w:rPr>
                <w:rFonts w:ascii="宋体" w:hAnsi="宋体" w:cs="宋体" w:eastAsia="宋体" w:hint="default"/>
                <w:sz w:val="18"/>
                <w:szCs w:val="18"/>
              </w:rPr>
              <w:t>（二）以前年度已使用金额、本年度使用金额及当前余额</w:t>
            </w:r>
          </w:p>
          <w:p>
            <w:pPr>
              <w:pStyle w:val="TableParagraph"/>
              <w:spacing w:line="300" w:lineRule="auto" w:before="115"/>
              <w:ind w:left="103" w:right="98"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年度，募集资金项目投入金额合计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9,446.81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万元，置换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年度项目投入金额合计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2,731.12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万元，均系直接</w:t>
            </w:r>
            <w:r>
              <w:rPr>
                <w:rFonts w:ascii="宋体" w:hAnsi="宋体" w:cs="宋体" w:eastAsia="宋体" w:hint="default"/>
                <w:sz w:val="18"/>
                <w:szCs w:val="18"/>
              </w:rPr>
              <w:t> 投入承诺投资项目。另外，</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年度，本公司未使用闲置募集资金进行现金管理。募集资金专户利息收入</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50.65</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万元，募集</w:t>
            </w:r>
            <w:r>
              <w:rPr>
                <w:rFonts w:ascii="宋体" w:hAnsi="宋体" w:cs="宋体" w:eastAsia="宋体" w:hint="default"/>
                <w:sz w:val="18"/>
                <w:szCs w:val="18"/>
              </w:rPr>
              <w:t> 资金专户手续费支出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0.09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18,384.51 </w:t>
            </w:r>
            <w:r>
              <w:rPr>
                <w:rFonts w:ascii="宋体" w:hAnsi="宋体" w:cs="宋体" w:eastAsia="宋体" w:hint="default"/>
                <w:sz w:val="18"/>
                <w:szCs w:val="18"/>
              </w:rPr>
              <w:t>万元，其中活期存款账户</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18,384.51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9,469.64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万元，均系直接投入承诺投资项目。另外，截至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本公司使用闲置募集资金进行现金管理余额共计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万元，募集资金专户手续费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414.11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万元，其中活期存款账户余额为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414.11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3"/>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8,199.46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万元，均系直接投入承诺投资项目。截至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日，募集资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金专户利息收入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164.29 </w:t>
            </w:r>
            <w:r>
              <w:rPr>
                <w:rFonts w:ascii="宋体" w:hAnsi="宋体" w:cs="宋体" w:eastAsia="宋体" w:hint="default"/>
                <w:sz w:val="18"/>
                <w:szCs w:val="18"/>
              </w:rPr>
              <w:t>万元，募集资金专户手续费支出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日，本公司募集资金账户余额为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万元，其中活期存款账户余额为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296.61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均系直接投入承诺投资项目。截至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w:t>
            </w:r>
          </w:p>
        </w:tc>
      </w:tr>
    </w:tbl>
    <w:p>
      <w:pPr>
        <w:spacing w:after="0" w:line="240" w:lineRule="auto"/>
        <w:jc w:val="left"/>
        <w:rPr>
          <w:rFonts w:ascii="宋体" w:hAnsi="宋体" w:cs="宋体" w:eastAsia="宋体" w:hint="default"/>
          <w:sz w:val="18"/>
          <w:szCs w:val="18"/>
        </w:rPr>
        <w:sectPr>
          <w:pgSz w:w="11910" w:h="16840"/>
          <w:pgMar w:header="906" w:footer="1021" w:top="1100" w:bottom="1220" w:left="900" w:right="0"/>
        </w:sectPr>
      </w:pPr>
    </w:p>
    <w:p>
      <w:pPr>
        <w:spacing w:line="240" w:lineRule="auto" w:before="12"/>
        <w:rPr>
          <w:rFonts w:ascii="宋体" w:hAnsi="宋体" w:cs="宋体" w:eastAsia="宋体" w:hint="default"/>
          <w:sz w:val="25"/>
          <w:szCs w:val="25"/>
        </w:rPr>
      </w:pPr>
    </w:p>
    <w:p>
      <w:pPr>
        <w:spacing w:line="1339" w:lineRule="exact"/>
        <w:ind w:left="137"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93.55pt;height:67pt;mso-position-horizontal-relative:char;mso-position-vertical-relative:line" type="#_x0000_t202" filled="false" stroked="true" strokeweight=".47998pt" strokecolor="#000000">
            <w10:anchorlock/>
            <v:textbox inset="0,0,0,0">
              <w:txbxContent>
                <w:p>
                  <w:pPr>
                    <w:pStyle w:val="BodyText"/>
                    <w:spacing w:line="240" w:lineRule="auto" w:before="8"/>
                    <w:ind w:left="103" w:right="0"/>
                    <w:jc w:val="left"/>
                  </w:pPr>
                  <w:r>
                    <w:rPr/>
                    <w:t>专户利息收入</w:t>
                  </w:r>
                  <w:r>
                    <w:rPr>
                      <w:spacing w:val="-46"/>
                    </w:rPr>
                    <w:t> </w:t>
                  </w:r>
                  <w:r>
                    <w:rPr>
                      <w:rFonts w:ascii="Times New Roman" w:hAnsi="Times New Roman" w:cs="Times New Roman" w:eastAsia="Times New Roman" w:hint="default"/>
                    </w:rPr>
                    <w:t>9.89</w:t>
                  </w:r>
                  <w:r>
                    <w:rPr>
                      <w:rFonts w:ascii="Times New Roman" w:hAnsi="Times New Roman" w:cs="Times New Roman" w:eastAsia="Times New Roman" w:hint="default"/>
                      <w:spacing w:val="-1"/>
                    </w:rPr>
                    <w:t> </w:t>
                  </w:r>
                  <w:r>
                    <w:rPr/>
                    <w:t>万元，募集资金专户手续费支出</w:t>
                  </w:r>
                  <w:r>
                    <w:rPr>
                      <w:spacing w:val="-46"/>
                    </w:rPr>
                    <w:t> </w:t>
                  </w:r>
                  <w:r>
                    <w:rPr>
                      <w:rFonts w:ascii="Times New Roman" w:hAnsi="Times New Roman" w:cs="Times New Roman" w:eastAsia="Times New Roman" w:hint="default"/>
                    </w:rPr>
                    <w:t>0.05</w:t>
                  </w:r>
                  <w:r>
                    <w:rPr>
                      <w:rFonts w:ascii="Times New Roman" w:hAnsi="Times New Roman" w:cs="Times New Roman" w:eastAsia="Times New Roman" w:hint="default"/>
                      <w:spacing w:val="-1"/>
                    </w:rPr>
                    <w:t> </w:t>
                  </w:r>
                  <w:r>
                    <w:rPr/>
                    <w:t>万元。</w:t>
                  </w:r>
                </w:p>
                <w:p>
                  <w:pPr>
                    <w:pStyle w:val="BodyText"/>
                    <w:spacing w:line="240" w:lineRule="auto" w:before="104"/>
                    <w:ind w:left="466" w:right="0"/>
                    <w:jc w:val="left"/>
                  </w:pPr>
                  <w:r>
                    <w:rPr/>
                    <w:t>截止</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日，募投项目已全部实施完毕，满足结项条件。募集资金结余</w:t>
                  </w:r>
                  <w:r>
                    <w:rPr>
                      <w:spacing w:val="-45"/>
                    </w:rPr>
                    <w:t> </w:t>
                  </w:r>
                  <w:r>
                    <w:rPr>
                      <w:rFonts w:ascii="Times New Roman" w:hAnsi="Times New Roman" w:cs="Times New Roman" w:eastAsia="Times New Roman" w:hint="default"/>
                    </w:rPr>
                    <w:t>545</w:t>
                  </w:r>
                  <w:r>
                    <w:rPr>
                      <w:rFonts w:ascii="Times New Roman" w:hAnsi="Times New Roman" w:cs="Times New Roman" w:eastAsia="Times New Roman" w:hint="default"/>
                      <w:spacing w:val="-1"/>
                    </w:rPr>
                    <w:t> </w:t>
                  </w:r>
                  <w:r>
                    <w:rPr/>
                    <w:t>万元，募集资金专户存储及现</w:t>
                  </w:r>
                </w:p>
                <w:p>
                  <w:pPr>
                    <w:pStyle w:val="BodyText"/>
                    <w:spacing w:line="300" w:lineRule="auto" w:before="63"/>
                    <w:ind w:left="103" w:right="123"/>
                    <w:jc w:val="left"/>
                  </w:pPr>
                  <w:r>
                    <w:rPr/>
                    <w:t>金管理产生的净收益</w:t>
                  </w:r>
                  <w:r>
                    <w:rPr>
                      <w:spacing w:val="-46"/>
                    </w:rPr>
                    <w:t> </w:t>
                  </w:r>
                  <w:r>
                    <w:rPr>
                      <w:rFonts w:ascii="Times New Roman" w:hAnsi="Times New Roman" w:cs="Times New Roman" w:eastAsia="Times New Roman" w:hint="default"/>
                    </w:rPr>
                    <w:t>347.05 </w:t>
                  </w:r>
                  <w:r>
                    <w:rPr/>
                    <w:t>万元，合计募集资金结余</w:t>
                  </w:r>
                  <w:r>
                    <w:rPr>
                      <w:spacing w:val="-46"/>
                    </w:rPr>
                    <w:t> </w:t>
                  </w:r>
                  <w:r>
                    <w:rPr>
                      <w:rFonts w:ascii="Times New Roman" w:hAnsi="Times New Roman" w:cs="Times New Roman" w:eastAsia="Times New Roman" w:hint="default"/>
                    </w:rPr>
                    <w:t>892.05</w:t>
                  </w:r>
                  <w:r>
                    <w:rPr>
                      <w:rFonts w:ascii="Times New Roman" w:hAnsi="Times New Roman" w:cs="Times New Roman" w:eastAsia="Times New Roman" w:hint="default"/>
                      <w:spacing w:val="-2"/>
                    </w:rPr>
                    <w:t> </w:t>
                  </w:r>
                  <w:r>
                    <w:rPr/>
                    <w:t>万元。公司开立的募集资金专用账户的节余资金已全部划转至 公司的基本账户，公司首次公开发行股票募集资金专用账户销户手续已办理完成。</w:t>
                  </w:r>
                </w:p>
              </w:txbxContent>
            </v:textbox>
          </v:shape>
        </w:pict>
      </w:r>
      <w:r>
        <w:rPr>
          <w:rFonts w:ascii="宋体" w:hAnsi="宋体" w:cs="宋体" w:eastAsia="宋体" w:hint="default"/>
          <w:position w:val="-26"/>
          <w:sz w:val="20"/>
          <w:szCs w:val="20"/>
        </w:rPr>
      </w:r>
    </w:p>
    <w:p>
      <w:pPr>
        <w:spacing w:line="240" w:lineRule="auto" w:before="8"/>
        <w:rPr>
          <w:rFonts w:ascii="宋体" w:hAnsi="宋体" w:cs="宋体" w:eastAsia="宋体" w:hint="default"/>
          <w:sz w:val="19"/>
          <w:szCs w:val="19"/>
        </w:rPr>
      </w:pPr>
    </w:p>
    <w:p>
      <w:pPr>
        <w:pStyle w:val="Heading4"/>
        <w:spacing w:line="240" w:lineRule="auto" w:before="36"/>
        <w:ind w:left="252"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252" w:right="0"/>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52"/>
        <w:gridCol w:w="725"/>
        <w:gridCol w:w="754"/>
        <w:gridCol w:w="980"/>
        <w:gridCol w:w="727"/>
        <w:gridCol w:w="967"/>
        <w:gridCol w:w="831"/>
        <w:gridCol w:w="725"/>
        <w:gridCol w:w="876"/>
        <w:gridCol w:w="898"/>
        <w:gridCol w:w="578"/>
        <w:gridCol w:w="703"/>
      </w:tblGrid>
      <w:tr>
        <w:trPr>
          <w:trHeight w:val="1649" w:hRule="exact"/>
        </w:trPr>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357" w:lineRule="auto"/>
              <w:ind w:left="172" w:right="166"/>
              <w:jc w:val="center"/>
              <w:rPr>
                <w:rFonts w:ascii="宋体" w:hAnsi="宋体" w:cs="宋体" w:eastAsia="宋体" w:hint="default"/>
                <w:sz w:val="16"/>
                <w:szCs w:val="16"/>
              </w:rPr>
            </w:pPr>
            <w:r>
              <w:rPr>
                <w:rFonts w:ascii="宋体" w:hAnsi="宋体" w:cs="宋体" w:eastAsia="宋体" w:hint="default"/>
                <w:sz w:val="16"/>
                <w:szCs w:val="16"/>
              </w:rPr>
              <w:t>承诺投资项</w:t>
            </w:r>
            <w:r>
              <w:rPr>
                <w:rFonts w:ascii="宋体" w:hAnsi="宋体" w:cs="宋体" w:eastAsia="宋体" w:hint="default"/>
                <w:w w:val="100"/>
                <w:sz w:val="16"/>
                <w:szCs w:val="16"/>
              </w:rPr>
              <w:t> </w:t>
            </w:r>
            <w:r>
              <w:rPr>
                <w:rFonts w:ascii="宋体" w:hAnsi="宋体" w:cs="宋体" w:eastAsia="宋体" w:hint="default"/>
                <w:sz w:val="16"/>
                <w:szCs w:val="16"/>
              </w:rPr>
              <w:t>目和超募资</w:t>
            </w:r>
            <w:r>
              <w:rPr>
                <w:rFonts w:ascii="宋体" w:hAnsi="宋体" w:cs="宋体" w:eastAsia="宋体" w:hint="default"/>
                <w:w w:val="100"/>
                <w:sz w:val="16"/>
                <w:szCs w:val="16"/>
              </w:rPr>
              <w:t> </w:t>
            </w:r>
            <w:r>
              <w:rPr>
                <w:rFonts w:ascii="宋体" w:hAnsi="宋体" w:cs="宋体" w:eastAsia="宋体" w:hint="default"/>
                <w:sz w:val="16"/>
                <w:szCs w:val="16"/>
              </w:rPr>
              <w:t>金投向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2" w:lineRule="auto" w:before="67"/>
              <w:ind w:left="117" w:right="113"/>
              <w:jc w:val="center"/>
              <w:rPr>
                <w:rFonts w:ascii="Times New Roman" w:hAnsi="Times New Roman" w:cs="Times New Roman" w:eastAsia="Times New Roman" w:hint="default"/>
                <w:sz w:val="16"/>
                <w:szCs w:val="16"/>
              </w:rPr>
            </w:pPr>
            <w:r>
              <w:rPr>
                <w:rFonts w:ascii="宋体" w:hAnsi="宋体" w:cs="宋体" w:eastAsia="宋体" w:hint="default"/>
                <w:sz w:val="16"/>
                <w:szCs w:val="16"/>
              </w:rPr>
              <w:t>是否已</w:t>
            </w:r>
            <w:r>
              <w:rPr>
                <w:rFonts w:ascii="宋体" w:hAnsi="宋体" w:cs="宋体" w:eastAsia="宋体" w:hint="default"/>
                <w:w w:val="100"/>
                <w:sz w:val="16"/>
                <w:szCs w:val="16"/>
              </w:rPr>
              <w:t> </w:t>
            </w:r>
            <w:r>
              <w:rPr>
                <w:rFonts w:ascii="宋体" w:hAnsi="宋体" w:cs="宋体" w:eastAsia="宋体" w:hint="default"/>
                <w:sz w:val="16"/>
                <w:szCs w:val="16"/>
              </w:rPr>
              <w:t>变更项</w:t>
            </w:r>
            <w:r>
              <w:rPr>
                <w:rFonts w:ascii="宋体" w:hAnsi="宋体" w:cs="宋体" w:eastAsia="宋体" w:hint="default"/>
                <w:w w:val="100"/>
                <w:sz w:val="16"/>
                <w:szCs w:val="16"/>
              </w:rPr>
              <w:t> </w:t>
            </w:r>
            <w:r>
              <w:rPr>
                <w:rFonts w:ascii="宋体" w:hAnsi="宋体" w:cs="宋体" w:eastAsia="宋体" w:hint="default"/>
                <w:sz w:val="16"/>
                <w:szCs w:val="16"/>
              </w:rPr>
              <w:t>目</w:t>
            </w:r>
            <w:r>
              <w:rPr>
                <w:rFonts w:ascii="Times New Roman" w:hAnsi="Times New Roman" w:cs="Times New Roman" w:eastAsia="Times New Roman" w:hint="default"/>
                <w:sz w:val="16"/>
                <w:szCs w:val="16"/>
              </w:rPr>
              <w:t>(</w:t>
            </w:r>
            <w:r>
              <w:rPr>
                <w:rFonts w:ascii="宋体" w:hAnsi="宋体" w:cs="宋体" w:eastAsia="宋体" w:hint="default"/>
                <w:sz w:val="16"/>
                <w:szCs w:val="16"/>
              </w:rPr>
              <w:t>含</w:t>
            </w:r>
            <w:r>
              <w:rPr>
                <w:rFonts w:ascii="宋体" w:hAnsi="宋体" w:cs="宋体" w:eastAsia="宋体" w:hint="default"/>
                <w:w w:val="100"/>
                <w:sz w:val="16"/>
                <w:szCs w:val="16"/>
              </w:rPr>
              <w:t> </w:t>
            </w:r>
            <w:r>
              <w:rPr>
                <w:rFonts w:ascii="宋体" w:hAnsi="宋体" w:cs="宋体" w:eastAsia="宋体" w:hint="default"/>
                <w:sz w:val="16"/>
                <w:szCs w:val="16"/>
              </w:rPr>
              <w:t>部分变</w:t>
            </w:r>
            <w:r>
              <w:rPr>
                <w:rFonts w:ascii="宋体" w:hAnsi="宋体" w:cs="宋体" w:eastAsia="宋体" w:hint="default"/>
                <w:w w:val="100"/>
                <w:sz w:val="16"/>
                <w:szCs w:val="16"/>
              </w:rPr>
              <w:t> </w:t>
            </w:r>
            <w:r>
              <w:rPr>
                <w:rFonts w:ascii="宋体" w:hAnsi="宋体" w:cs="宋体" w:eastAsia="宋体" w:hint="default"/>
                <w:sz w:val="16"/>
                <w:szCs w:val="16"/>
              </w:rPr>
              <w:t>更</w:t>
            </w:r>
            <w:r>
              <w:rPr>
                <w:rFonts w:ascii="Times New Roman" w:hAnsi="Times New Roman" w:cs="Times New Roman" w:eastAsia="Times New Roman" w:hint="default"/>
                <w:sz w:val="16"/>
                <w:szCs w:val="16"/>
              </w:rPr>
              <w:t>)</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57" w:lineRule="auto"/>
              <w:ind w:left="134" w:right="125"/>
              <w:jc w:val="center"/>
              <w:rPr>
                <w:rFonts w:ascii="宋体" w:hAnsi="宋体" w:cs="宋体" w:eastAsia="宋体" w:hint="default"/>
                <w:sz w:val="16"/>
                <w:szCs w:val="16"/>
              </w:rPr>
            </w:pPr>
            <w:r>
              <w:rPr>
                <w:rFonts w:ascii="宋体" w:hAnsi="宋体" w:cs="宋体" w:eastAsia="宋体" w:hint="default"/>
                <w:sz w:val="16"/>
                <w:szCs w:val="16"/>
              </w:rPr>
              <w:t>募集资</w:t>
            </w:r>
            <w:r>
              <w:rPr>
                <w:rFonts w:ascii="宋体" w:hAnsi="宋体" w:cs="宋体" w:eastAsia="宋体" w:hint="default"/>
                <w:w w:val="100"/>
                <w:sz w:val="16"/>
                <w:szCs w:val="16"/>
              </w:rPr>
              <w:t> </w:t>
            </w:r>
            <w:r>
              <w:rPr>
                <w:rFonts w:ascii="宋体" w:hAnsi="宋体" w:cs="宋体" w:eastAsia="宋体" w:hint="default"/>
                <w:sz w:val="16"/>
                <w:szCs w:val="16"/>
              </w:rPr>
              <w:t>金承诺</w:t>
            </w:r>
            <w:r>
              <w:rPr>
                <w:rFonts w:ascii="宋体" w:hAnsi="宋体" w:cs="宋体" w:eastAsia="宋体" w:hint="default"/>
                <w:w w:val="100"/>
                <w:sz w:val="16"/>
                <w:szCs w:val="16"/>
              </w:rPr>
              <w:t> </w:t>
            </w:r>
            <w:r>
              <w:rPr>
                <w:rFonts w:ascii="宋体" w:hAnsi="宋体" w:cs="宋体" w:eastAsia="宋体" w:hint="default"/>
                <w:sz w:val="16"/>
                <w:szCs w:val="16"/>
              </w:rPr>
              <w:t>投资总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55" w:lineRule="auto" w:before="116"/>
              <w:ind w:left="154" w:right="143" w:firstLine="12"/>
              <w:jc w:val="left"/>
              <w:rPr>
                <w:rFonts w:ascii="Times New Roman" w:hAnsi="Times New Roman" w:cs="Times New Roman" w:eastAsia="Times New Roman" w:hint="default"/>
                <w:sz w:val="16"/>
                <w:szCs w:val="16"/>
              </w:rPr>
            </w:pPr>
            <w:r>
              <w:rPr>
                <w:rFonts w:ascii="宋体" w:hAnsi="宋体" w:cs="宋体" w:eastAsia="宋体" w:hint="default"/>
                <w:sz w:val="16"/>
                <w:szCs w:val="16"/>
              </w:rPr>
              <w:t>调整后投</w:t>
            </w:r>
            <w:r>
              <w:rPr>
                <w:rFonts w:ascii="宋体" w:hAnsi="宋体" w:cs="宋体" w:eastAsia="宋体" w:hint="default"/>
                <w:w w:val="100"/>
                <w:sz w:val="16"/>
                <w:szCs w:val="16"/>
              </w:rPr>
              <w:t> </w:t>
            </w:r>
            <w:r>
              <w:rPr>
                <w:rFonts w:ascii="宋体" w:hAnsi="宋体" w:cs="宋体" w:eastAsia="宋体" w:hint="default"/>
                <w:sz w:val="16"/>
                <w:szCs w:val="16"/>
              </w:rPr>
              <w:t>资总额</w:t>
            </w:r>
            <w:r>
              <w:rPr>
                <w:rFonts w:ascii="Times New Roman" w:hAnsi="Times New Roman" w:cs="Times New Roman" w:eastAsia="Times New Roman" w:hint="default"/>
                <w:sz w:val="16"/>
                <w:szCs w:val="16"/>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357" w:lineRule="auto"/>
              <w:ind w:left="120" w:right="113"/>
              <w:jc w:val="both"/>
              <w:rPr>
                <w:rFonts w:ascii="宋体" w:hAnsi="宋体" w:cs="宋体" w:eastAsia="宋体" w:hint="default"/>
                <w:sz w:val="16"/>
                <w:szCs w:val="16"/>
              </w:rPr>
            </w:pPr>
            <w:r>
              <w:rPr>
                <w:rFonts w:ascii="宋体" w:hAnsi="宋体" w:cs="宋体" w:eastAsia="宋体" w:hint="default"/>
                <w:sz w:val="16"/>
                <w:szCs w:val="16"/>
              </w:rPr>
              <w:t>本报告</w:t>
            </w:r>
            <w:r>
              <w:rPr>
                <w:rFonts w:ascii="宋体" w:hAnsi="宋体" w:cs="宋体" w:eastAsia="宋体" w:hint="default"/>
                <w:spacing w:val="-78"/>
                <w:sz w:val="16"/>
                <w:szCs w:val="16"/>
              </w:rPr>
              <w:t> </w:t>
            </w:r>
            <w:r>
              <w:rPr>
                <w:rFonts w:ascii="宋体" w:hAnsi="宋体" w:cs="宋体" w:eastAsia="宋体" w:hint="default"/>
                <w:sz w:val="16"/>
                <w:szCs w:val="16"/>
              </w:rPr>
              <w:t>期投入</w:t>
            </w:r>
            <w:r>
              <w:rPr>
                <w:rFonts w:ascii="宋体" w:hAnsi="宋体" w:cs="宋体" w:eastAsia="宋体" w:hint="default"/>
                <w:spacing w:val="-78"/>
                <w:sz w:val="16"/>
                <w:szCs w:val="16"/>
              </w:rPr>
              <w:t> </w:t>
            </w:r>
            <w:r>
              <w:rPr>
                <w:rFonts w:ascii="宋体" w:hAnsi="宋体" w:cs="宋体" w:eastAsia="宋体" w:hint="default"/>
                <w:sz w:val="16"/>
                <w:szCs w:val="16"/>
              </w:rPr>
              <w:t>金额</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357" w:lineRule="auto"/>
              <w:ind w:left="160" w:right="151"/>
              <w:jc w:val="both"/>
              <w:rPr>
                <w:rFonts w:ascii="Times New Roman" w:hAnsi="Times New Roman" w:cs="Times New Roman" w:eastAsia="Times New Roman" w:hint="default"/>
                <w:sz w:val="16"/>
                <w:szCs w:val="16"/>
              </w:rPr>
            </w:pPr>
            <w:r>
              <w:rPr>
                <w:rFonts w:ascii="宋体" w:hAnsi="宋体" w:cs="宋体" w:eastAsia="宋体" w:hint="default"/>
                <w:sz w:val="16"/>
                <w:szCs w:val="16"/>
              </w:rPr>
              <w:t>截至期末</w:t>
            </w:r>
            <w:r>
              <w:rPr>
                <w:rFonts w:ascii="宋体" w:hAnsi="宋体" w:cs="宋体" w:eastAsia="宋体" w:hint="default"/>
                <w:spacing w:val="-77"/>
                <w:sz w:val="16"/>
                <w:szCs w:val="16"/>
              </w:rPr>
              <w:t> </w:t>
            </w:r>
            <w:r>
              <w:rPr>
                <w:rFonts w:ascii="宋体" w:hAnsi="宋体" w:cs="宋体" w:eastAsia="宋体" w:hint="default"/>
                <w:sz w:val="16"/>
                <w:szCs w:val="16"/>
              </w:rPr>
              <w:t>累计投入</w:t>
            </w:r>
            <w:r>
              <w:rPr>
                <w:rFonts w:ascii="宋体" w:hAnsi="宋体" w:cs="宋体" w:eastAsia="宋体" w:hint="default"/>
                <w:spacing w:val="-77"/>
                <w:sz w:val="16"/>
                <w:szCs w:val="16"/>
              </w:rPr>
              <w:t> </w:t>
            </w:r>
            <w:r>
              <w:rPr>
                <w:rFonts w:ascii="宋体" w:hAnsi="宋体" w:cs="宋体" w:eastAsia="宋体" w:hint="default"/>
                <w:sz w:val="16"/>
                <w:szCs w:val="16"/>
              </w:rPr>
              <w:t>金额</w:t>
            </w:r>
            <w:r>
              <w:rPr>
                <w:rFonts w:ascii="Times New Roman" w:hAnsi="Times New Roman" w:cs="Times New Roman" w:eastAsia="Times New Roman" w:hint="default"/>
                <w:sz w:val="16"/>
                <w:szCs w:val="16"/>
              </w:rPr>
              <w:t>(2)</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57" w:lineRule="auto"/>
              <w:ind w:left="158" w:right="151" w:firstLine="12"/>
              <w:jc w:val="both"/>
              <w:rPr>
                <w:rFonts w:ascii="Times New Roman" w:hAnsi="Times New Roman" w:cs="Times New Roman" w:eastAsia="Times New Roman" w:hint="default"/>
                <w:sz w:val="16"/>
                <w:szCs w:val="16"/>
              </w:rPr>
            </w:pPr>
            <w:r>
              <w:rPr>
                <w:rFonts w:ascii="宋体" w:hAnsi="宋体" w:cs="宋体" w:eastAsia="宋体" w:hint="default"/>
                <w:sz w:val="16"/>
                <w:szCs w:val="16"/>
              </w:rPr>
              <w:t>截至期</w:t>
            </w:r>
            <w:r>
              <w:rPr>
                <w:rFonts w:ascii="宋体" w:hAnsi="宋体" w:cs="宋体" w:eastAsia="宋体" w:hint="default"/>
                <w:w w:val="100"/>
                <w:sz w:val="16"/>
                <w:szCs w:val="16"/>
              </w:rPr>
              <w:t> </w:t>
            </w:r>
            <w:r>
              <w:rPr>
                <w:rFonts w:ascii="宋体" w:hAnsi="宋体" w:cs="宋体" w:eastAsia="宋体" w:hint="default"/>
                <w:sz w:val="16"/>
                <w:szCs w:val="16"/>
              </w:rPr>
              <w:t>末投资</w:t>
            </w:r>
            <w:r>
              <w:rPr>
                <w:rFonts w:ascii="宋体" w:hAnsi="宋体" w:cs="宋体" w:eastAsia="宋体" w:hint="default"/>
                <w:spacing w:val="-78"/>
                <w:sz w:val="16"/>
                <w:szCs w:val="16"/>
              </w:rPr>
              <w:t> </w:t>
            </w:r>
            <w:r>
              <w:rPr>
                <w:rFonts w:ascii="宋体" w:hAnsi="宋体" w:cs="宋体" w:eastAsia="宋体" w:hint="default"/>
                <w:sz w:val="16"/>
                <w:szCs w:val="16"/>
              </w:rPr>
              <w:t>进度</w:t>
            </w:r>
            <w:r>
              <w:rPr>
                <w:rFonts w:ascii="Times New Roman" w:hAnsi="Times New Roman" w:cs="Times New Roman" w:eastAsia="Times New Roman" w:hint="default"/>
                <w:sz w:val="16"/>
                <w:szCs w:val="16"/>
              </w:rPr>
              <w:t>(3)</w:t>
            </w:r>
          </w:p>
          <w:p>
            <w:pPr>
              <w:pStyle w:val="TableParagraph"/>
              <w:spacing w:line="240" w:lineRule="auto" w:before="3"/>
              <w:ind w:left="122" w:right="0"/>
              <w:jc w:val="both"/>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17" w:right="113"/>
              <w:jc w:val="center"/>
              <w:rPr>
                <w:rFonts w:ascii="宋体" w:hAnsi="宋体" w:cs="宋体" w:eastAsia="宋体" w:hint="default"/>
                <w:sz w:val="16"/>
                <w:szCs w:val="16"/>
              </w:rPr>
            </w:pPr>
            <w:r>
              <w:rPr>
                <w:rFonts w:ascii="宋体" w:hAnsi="宋体" w:cs="宋体" w:eastAsia="宋体" w:hint="default"/>
                <w:sz w:val="16"/>
                <w:szCs w:val="16"/>
              </w:rPr>
              <w:t>项目达</w:t>
            </w:r>
            <w:r>
              <w:rPr>
                <w:rFonts w:ascii="宋体" w:hAnsi="宋体" w:cs="宋体" w:eastAsia="宋体" w:hint="default"/>
                <w:w w:val="100"/>
                <w:sz w:val="16"/>
                <w:szCs w:val="16"/>
              </w:rPr>
              <w:t> </w:t>
            </w:r>
            <w:r>
              <w:rPr>
                <w:rFonts w:ascii="宋体" w:hAnsi="宋体" w:cs="宋体" w:eastAsia="宋体" w:hint="default"/>
                <w:sz w:val="16"/>
                <w:szCs w:val="16"/>
              </w:rPr>
              <w:t>到预定</w:t>
            </w:r>
            <w:r>
              <w:rPr>
                <w:rFonts w:ascii="宋体" w:hAnsi="宋体" w:cs="宋体" w:eastAsia="宋体" w:hint="default"/>
                <w:w w:val="100"/>
                <w:sz w:val="16"/>
                <w:szCs w:val="16"/>
              </w:rPr>
              <w:t> </w:t>
            </w:r>
            <w:r>
              <w:rPr>
                <w:rFonts w:ascii="宋体" w:hAnsi="宋体" w:cs="宋体" w:eastAsia="宋体" w:hint="default"/>
                <w:sz w:val="16"/>
                <w:szCs w:val="16"/>
              </w:rPr>
              <w:t>可使用</w:t>
            </w:r>
            <w:r>
              <w:rPr>
                <w:rFonts w:ascii="宋体" w:hAnsi="宋体" w:cs="宋体" w:eastAsia="宋体" w:hint="default"/>
                <w:w w:val="100"/>
                <w:sz w:val="16"/>
                <w:szCs w:val="16"/>
              </w:rPr>
              <w:t> </w:t>
            </w:r>
            <w:r>
              <w:rPr>
                <w:rFonts w:ascii="宋体" w:hAnsi="宋体" w:cs="宋体" w:eastAsia="宋体" w:hint="default"/>
                <w:sz w:val="16"/>
                <w:szCs w:val="16"/>
              </w:rPr>
              <w:t>状态日</w:t>
            </w:r>
            <w:r>
              <w:rPr>
                <w:rFonts w:ascii="宋体" w:hAnsi="宋体" w:cs="宋体" w:eastAsia="宋体" w:hint="default"/>
                <w:w w:val="100"/>
                <w:sz w:val="16"/>
                <w:szCs w:val="16"/>
              </w:rPr>
              <w:t> </w:t>
            </w:r>
            <w:r>
              <w:rPr>
                <w:rFonts w:ascii="宋体" w:hAnsi="宋体" w:cs="宋体" w:eastAsia="宋体" w:hint="default"/>
                <w:sz w:val="16"/>
                <w:szCs w:val="16"/>
              </w:rPr>
              <w:t>期</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357" w:lineRule="auto"/>
              <w:ind w:left="112" w:right="108"/>
              <w:jc w:val="center"/>
              <w:rPr>
                <w:rFonts w:ascii="宋体" w:hAnsi="宋体" w:cs="宋体" w:eastAsia="宋体" w:hint="default"/>
                <w:sz w:val="16"/>
                <w:szCs w:val="16"/>
              </w:rPr>
            </w:pPr>
            <w:r>
              <w:rPr>
                <w:rFonts w:ascii="宋体" w:hAnsi="宋体" w:cs="宋体" w:eastAsia="宋体" w:hint="default"/>
                <w:sz w:val="16"/>
                <w:szCs w:val="16"/>
              </w:rPr>
              <w:t>本报告期</w:t>
            </w:r>
            <w:r>
              <w:rPr>
                <w:rFonts w:ascii="宋体" w:hAnsi="宋体" w:cs="宋体" w:eastAsia="宋体" w:hint="default"/>
                <w:w w:val="100"/>
                <w:sz w:val="16"/>
                <w:szCs w:val="16"/>
              </w:rPr>
              <w:t> </w:t>
            </w:r>
            <w:r>
              <w:rPr>
                <w:rFonts w:ascii="宋体" w:hAnsi="宋体" w:cs="宋体" w:eastAsia="宋体" w:hint="default"/>
                <w:sz w:val="16"/>
                <w:szCs w:val="16"/>
              </w:rPr>
              <w:t>实现的效</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57" w:lineRule="auto"/>
              <w:ind w:left="122" w:right="120"/>
              <w:jc w:val="center"/>
              <w:rPr>
                <w:rFonts w:ascii="宋体" w:hAnsi="宋体" w:cs="宋体" w:eastAsia="宋体" w:hint="default"/>
                <w:sz w:val="16"/>
                <w:szCs w:val="16"/>
              </w:rPr>
            </w:pPr>
            <w:r>
              <w:rPr>
                <w:rFonts w:ascii="宋体" w:hAnsi="宋体" w:cs="宋体" w:eastAsia="宋体" w:hint="default"/>
                <w:sz w:val="16"/>
                <w:szCs w:val="16"/>
              </w:rPr>
              <w:t>截止报告</w:t>
            </w:r>
            <w:r>
              <w:rPr>
                <w:rFonts w:ascii="宋体" w:hAnsi="宋体" w:cs="宋体" w:eastAsia="宋体" w:hint="default"/>
                <w:w w:val="100"/>
                <w:sz w:val="16"/>
                <w:szCs w:val="16"/>
              </w:rPr>
              <w:t> </w:t>
            </w:r>
            <w:r>
              <w:rPr>
                <w:rFonts w:ascii="宋体" w:hAnsi="宋体" w:cs="宋体" w:eastAsia="宋体" w:hint="default"/>
                <w:sz w:val="16"/>
                <w:szCs w:val="16"/>
              </w:rPr>
              <w:t>期末累计</w:t>
            </w:r>
            <w:r>
              <w:rPr>
                <w:rFonts w:ascii="宋体" w:hAnsi="宋体" w:cs="宋体" w:eastAsia="宋体" w:hint="default"/>
                <w:w w:val="100"/>
                <w:sz w:val="16"/>
                <w:szCs w:val="16"/>
              </w:rPr>
              <w:t> </w:t>
            </w:r>
            <w:r>
              <w:rPr>
                <w:rFonts w:ascii="宋体" w:hAnsi="宋体" w:cs="宋体" w:eastAsia="宋体" w:hint="default"/>
                <w:sz w:val="16"/>
                <w:szCs w:val="16"/>
              </w:rPr>
              <w:t>实现的效</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57" w:lineRule="auto"/>
              <w:ind w:left="124" w:right="120"/>
              <w:jc w:val="both"/>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100"/>
                <w:sz w:val="16"/>
                <w:szCs w:val="16"/>
              </w:rPr>
              <w:t> </w:t>
            </w:r>
            <w:r>
              <w:rPr>
                <w:rFonts w:ascii="宋体" w:hAnsi="宋体" w:cs="宋体" w:eastAsia="宋体" w:hint="default"/>
                <w:sz w:val="16"/>
                <w:szCs w:val="16"/>
              </w:rPr>
              <w:t>达到</w:t>
            </w:r>
            <w:r>
              <w:rPr>
                <w:rFonts w:ascii="宋体" w:hAnsi="宋体" w:cs="宋体" w:eastAsia="宋体" w:hint="default"/>
                <w:w w:val="100"/>
                <w:sz w:val="16"/>
                <w:szCs w:val="16"/>
              </w:rPr>
              <w:t> </w:t>
            </w:r>
            <w:r>
              <w:rPr>
                <w:rFonts w:ascii="宋体" w:hAnsi="宋体" w:cs="宋体" w:eastAsia="宋体" w:hint="default"/>
                <w:sz w:val="16"/>
                <w:szCs w:val="16"/>
              </w:rPr>
              <w:t>预计</w:t>
            </w:r>
            <w:r>
              <w:rPr>
                <w:rFonts w:ascii="宋体" w:hAnsi="宋体" w:cs="宋体" w:eastAsia="宋体" w:hint="default"/>
                <w:w w:val="100"/>
                <w:sz w:val="16"/>
                <w:szCs w:val="16"/>
              </w:rPr>
              <w:t> </w:t>
            </w:r>
            <w:r>
              <w:rPr>
                <w:rFonts w:ascii="宋体" w:hAnsi="宋体" w:cs="宋体" w:eastAsia="宋体" w:hint="default"/>
                <w:sz w:val="16"/>
                <w:szCs w:val="16"/>
              </w:rPr>
              <w:t>效益</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07" w:right="101"/>
              <w:jc w:val="center"/>
              <w:rPr>
                <w:rFonts w:ascii="宋体" w:hAnsi="宋体" w:cs="宋体" w:eastAsia="宋体" w:hint="default"/>
                <w:sz w:val="16"/>
                <w:szCs w:val="16"/>
              </w:rPr>
            </w:pPr>
            <w:r>
              <w:rPr>
                <w:rFonts w:ascii="宋体" w:hAnsi="宋体" w:cs="宋体" w:eastAsia="宋体" w:hint="default"/>
                <w:sz w:val="16"/>
                <w:szCs w:val="16"/>
              </w:rPr>
              <w:t>项目可</w:t>
            </w:r>
            <w:r>
              <w:rPr>
                <w:rFonts w:ascii="宋体" w:hAnsi="宋体" w:cs="宋体" w:eastAsia="宋体" w:hint="default"/>
                <w:w w:val="100"/>
                <w:sz w:val="16"/>
                <w:szCs w:val="16"/>
              </w:rPr>
              <w:t> </w:t>
            </w:r>
            <w:r>
              <w:rPr>
                <w:rFonts w:ascii="宋体" w:hAnsi="宋体" w:cs="宋体" w:eastAsia="宋体" w:hint="default"/>
                <w:sz w:val="16"/>
                <w:szCs w:val="16"/>
              </w:rPr>
              <w:t>行性是</w:t>
            </w:r>
            <w:r>
              <w:rPr>
                <w:rFonts w:ascii="宋体" w:hAnsi="宋体" w:cs="宋体" w:eastAsia="宋体" w:hint="default"/>
                <w:w w:val="100"/>
                <w:sz w:val="16"/>
                <w:szCs w:val="16"/>
              </w:rPr>
              <w:t> </w:t>
            </w:r>
            <w:r>
              <w:rPr>
                <w:rFonts w:ascii="宋体" w:hAnsi="宋体" w:cs="宋体" w:eastAsia="宋体" w:hint="default"/>
                <w:sz w:val="16"/>
                <w:szCs w:val="16"/>
              </w:rPr>
              <w:t>否发生</w:t>
            </w:r>
            <w:r>
              <w:rPr>
                <w:rFonts w:ascii="宋体" w:hAnsi="宋体" w:cs="宋体" w:eastAsia="宋体" w:hint="default"/>
                <w:w w:val="100"/>
                <w:sz w:val="16"/>
                <w:szCs w:val="16"/>
              </w:rPr>
              <w:t> </w:t>
            </w:r>
            <w:r>
              <w:rPr>
                <w:rFonts w:ascii="宋体" w:hAnsi="宋体" w:cs="宋体" w:eastAsia="宋体" w:hint="default"/>
                <w:sz w:val="16"/>
                <w:szCs w:val="16"/>
              </w:rPr>
              <w:t>重大变</w:t>
            </w:r>
            <w:r>
              <w:rPr>
                <w:rFonts w:ascii="宋体" w:hAnsi="宋体" w:cs="宋体" w:eastAsia="宋体" w:hint="default"/>
                <w:w w:val="100"/>
                <w:sz w:val="16"/>
                <w:szCs w:val="16"/>
              </w:rPr>
              <w:t> </w:t>
            </w:r>
            <w:r>
              <w:rPr>
                <w:rFonts w:ascii="宋体" w:hAnsi="宋体" w:cs="宋体" w:eastAsia="宋体" w:hint="default"/>
                <w:sz w:val="16"/>
                <w:szCs w:val="16"/>
              </w:rPr>
              <w:t>化</w:t>
            </w:r>
          </w:p>
        </w:tc>
      </w:tr>
      <w:tr>
        <w:trPr>
          <w:trHeight w:val="403" w:hRule="exact"/>
        </w:trPr>
        <w:tc>
          <w:tcPr>
            <w:tcW w:w="991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74"/>
              <w:ind w:left="105" w:right="132"/>
              <w:jc w:val="both"/>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、基于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SOA</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架构的金融渠</w:t>
            </w:r>
            <w:r>
              <w:rPr>
                <w:rFonts w:ascii="宋体" w:hAnsi="宋体" w:cs="宋体" w:eastAsia="宋体" w:hint="default"/>
                <w:w w:val="100"/>
                <w:sz w:val="15"/>
                <w:szCs w:val="15"/>
              </w:rPr>
              <w:t> </w:t>
            </w:r>
            <w:r>
              <w:rPr>
                <w:rFonts w:ascii="宋体" w:hAnsi="宋体" w:cs="宋体" w:eastAsia="宋体" w:hint="default"/>
                <w:sz w:val="15"/>
                <w:szCs w:val="15"/>
              </w:rPr>
              <w:t>道和业务平台</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Starring6</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项目</w:t>
            </w:r>
            <w:r>
              <w:rPr>
                <w:rFonts w:ascii="宋体" w:hAnsi="宋体" w:cs="宋体" w:eastAsia="宋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3,956.87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3,956.87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2019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06</w:t>
            </w: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30</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648.57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1,403.11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105" w:right="98"/>
              <w:jc w:val="both"/>
              <w:rPr>
                <w:rFonts w:ascii="宋体" w:hAnsi="宋体" w:cs="宋体" w:eastAsia="宋体" w:hint="default"/>
                <w:sz w:val="15"/>
                <w:szCs w:val="15"/>
              </w:rPr>
            </w:pPr>
            <w:r>
              <w:rPr>
                <w:rFonts w:ascii="Times New Roman" w:hAnsi="Times New Roman" w:cs="Times New Roman" w:eastAsia="Times New Roman" w:hint="default"/>
                <w:spacing w:val="-7"/>
                <w:sz w:val="15"/>
                <w:szCs w:val="15"/>
              </w:rPr>
              <w:t>2</w:t>
            </w:r>
            <w:r>
              <w:rPr>
                <w:rFonts w:ascii="宋体" w:hAnsi="宋体" w:cs="宋体" w:eastAsia="宋体" w:hint="default"/>
                <w:spacing w:val="-7"/>
                <w:sz w:val="15"/>
                <w:szCs w:val="15"/>
              </w:rPr>
              <w:t>、企业数据管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理及应用软件</w:t>
            </w:r>
            <w:r>
              <w:rPr>
                <w:rFonts w:ascii="宋体" w:hAnsi="宋体" w:cs="宋体" w:eastAsia="宋体" w:hint="default"/>
                <w:w w:val="100"/>
                <w:sz w:val="15"/>
                <w:szCs w:val="15"/>
              </w:rPr>
              <w:t> </w:t>
            </w:r>
            <w:r>
              <w:rPr>
                <w:rFonts w:ascii="宋体" w:hAnsi="宋体" w:cs="宋体" w:eastAsia="宋体" w:hint="default"/>
                <w:sz w:val="15"/>
                <w:szCs w:val="15"/>
              </w:rPr>
              <w:t>包</w:t>
            </w:r>
            <w:r>
              <w:rPr>
                <w:rFonts w:ascii="宋体" w:hAnsi="宋体" w:cs="宋体" w:eastAsia="宋体" w:hint="default"/>
                <w:spacing w:val="-53"/>
                <w:sz w:val="15"/>
                <w:szCs w:val="15"/>
              </w:rPr>
              <w:t> </w:t>
            </w:r>
            <w:r>
              <w:rPr>
                <w:rFonts w:ascii="Times New Roman" w:hAnsi="Times New Roman" w:cs="Times New Roman" w:eastAsia="Times New Roman" w:hint="default"/>
                <w:sz w:val="15"/>
                <w:szCs w:val="15"/>
              </w:rPr>
              <w:t>iMOIA</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2019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06</w:t>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30</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1,284.38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5"/>
              <w:ind w:left="105" w:right="99"/>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3</w:t>
            </w:r>
            <w:r>
              <w:rPr>
                <w:rFonts w:ascii="宋体" w:hAnsi="宋体" w:cs="宋体" w:eastAsia="宋体" w:hint="default"/>
                <w:spacing w:val="-7"/>
                <w:sz w:val="15"/>
                <w:szCs w:val="15"/>
              </w:rPr>
              <w:t>、统一客户服</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务平台</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UCSP</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2019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06</w:t>
            </w: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30</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105" w:right="99"/>
              <w:jc w:val="both"/>
              <w:rPr>
                <w:rFonts w:ascii="宋体" w:hAnsi="宋体" w:cs="宋体" w:eastAsia="宋体" w:hint="default"/>
                <w:sz w:val="15"/>
                <w:szCs w:val="15"/>
              </w:rPr>
            </w:pPr>
            <w:r>
              <w:rPr>
                <w:rFonts w:ascii="Times New Roman" w:hAnsi="Times New Roman" w:cs="Times New Roman" w:eastAsia="Times New Roman" w:hint="default"/>
                <w:spacing w:val="-7"/>
                <w:sz w:val="15"/>
                <w:szCs w:val="15"/>
              </w:rPr>
              <w:t>4</w:t>
            </w:r>
            <w:r>
              <w:rPr>
                <w:rFonts w:ascii="宋体" w:hAnsi="宋体" w:cs="宋体" w:eastAsia="宋体" w:hint="default"/>
                <w:spacing w:val="-7"/>
                <w:sz w:val="15"/>
                <w:szCs w:val="15"/>
              </w:rPr>
              <w:t>、统一通信平</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台及应用软件</w:t>
            </w:r>
            <w:r>
              <w:rPr>
                <w:rFonts w:ascii="宋体" w:hAnsi="宋体" w:cs="宋体" w:eastAsia="宋体" w:hint="default"/>
                <w:w w:val="100"/>
                <w:sz w:val="15"/>
                <w:szCs w:val="15"/>
              </w:rPr>
              <w:t> </w:t>
            </w:r>
            <w:r>
              <w:rPr>
                <w:rFonts w:ascii="宋体" w:hAnsi="宋体" w:cs="宋体" w:eastAsia="宋体" w:hint="default"/>
                <w:sz w:val="15"/>
                <w:szCs w:val="15"/>
              </w:rPr>
              <w:t>包</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AUC2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4"/>
              <w:ind w:left="105" w:right="99"/>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5</w:t>
            </w:r>
            <w:r>
              <w:rPr>
                <w:rFonts w:ascii="宋体" w:hAnsi="宋体" w:cs="宋体" w:eastAsia="宋体" w:hint="default"/>
                <w:spacing w:val="-7"/>
                <w:sz w:val="15"/>
                <w:szCs w:val="15"/>
              </w:rPr>
              <w:t>、大数据平台</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及应用项目</w:t>
            </w:r>
          </w:p>
          <w:p>
            <w:pPr>
              <w:pStyle w:val="TableParagraph"/>
              <w:spacing w:line="240" w:lineRule="auto" w:before="77"/>
              <w:ind w:left="105" w:right="0"/>
              <w:jc w:val="left"/>
              <w:rPr>
                <w:rFonts w:ascii="Times New Roman" w:hAnsi="Times New Roman" w:cs="Times New Roman" w:eastAsia="Times New Roman" w:hint="default"/>
                <w:sz w:val="15"/>
                <w:szCs w:val="15"/>
              </w:rPr>
            </w:pPr>
            <w:r>
              <w:rPr>
                <w:rFonts w:ascii="Times New Roman"/>
                <w:spacing w:val="-4"/>
                <w:sz w:val="15"/>
              </w:rPr>
              <w:t>BDPAS</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4,510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4,510</w:t>
            </w: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4,686.77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103.92%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2018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09</w:t>
            </w: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30</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332.17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-816.47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05" w:right="98"/>
              <w:jc w:val="left"/>
              <w:rPr>
                <w:rFonts w:ascii="宋体" w:hAnsi="宋体" w:cs="宋体" w:eastAsia="宋体" w:hint="default"/>
                <w:sz w:val="15"/>
                <w:szCs w:val="15"/>
              </w:rPr>
            </w:pPr>
            <w:r>
              <w:rPr>
                <w:rFonts w:ascii="Times New Roman" w:hAnsi="Times New Roman" w:cs="Times New Roman" w:eastAsia="Times New Roman" w:hint="default"/>
                <w:spacing w:val="-18"/>
                <w:w w:val="100"/>
                <w:sz w:val="15"/>
                <w:szCs w:val="15"/>
              </w:rPr>
              <w:t>6</w:t>
            </w:r>
            <w:r>
              <w:rPr>
                <w:rFonts w:ascii="宋体" w:hAnsi="宋体" w:cs="宋体" w:eastAsia="宋体" w:hint="default"/>
                <w:spacing w:val="-18"/>
                <w:w w:val="100"/>
                <w:sz w:val="15"/>
                <w:szCs w:val="15"/>
              </w:rPr>
              <w:t>、</w:t>
            </w:r>
            <w:r>
              <w:rPr>
                <w:rFonts w:ascii="Times New Roman" w:hAnsi="Times New Roman" w:cs="Times New Roman" w:eastAsia="Times New Roman" w:hint="default"/>
                <w:spacing w:val="-18"/>
                <w:w w:val="100"/>
                <w:sz w:val="15"/>
                <w:szCs w:val="15"/>
              </w:rPr>
              <w:t>IT</w:t>
            </w:r>
            <w:r>
              <w:rPr>
                <w:rFonts w:ascii="Times New Roman" w:hAnsi="Times New Roman" w:cs="Times New Roman" w:eastAsia="Times New Roman" w:hint="default"/>
                <w:w w:val="100"/>
                <w:sz w:val="15"/>
                <w:szCs w:val="15"/>
              </w:rPr>
              <w:t> </w:t>
            </w:r>
            <w:r>
              <w:rPr>
                <w:rFonts w:ascii="宋体" w:hAnsi="宋体" w:cs="宋体" w:eastAsia="宋体" w:hint="default"/>
                <w:spacing w:val="-2"/>
                <w:w w:val="100"/>
                <w:sz w:val="15"/>
                <w:szCs w:val="15"/>
              </w:rPr>
              <w:t>运维服务</w:t>
            </w:r>
            <w:r>
              <w:rPr>
                <w:rFonts w:ascii="宋体" w:hAnsi="宋体" w:cs="宋体" w:eastAsia="宋体" w:hint="default"/>
                <w:w w:val="100"/>
                <w:sz w:val="15"/>
                <w:szCs w:val="15"/>
              </w:rPr>
              <w:t> </w:t>
            </w:r>
            <w:r>
              <w:rPr>
                <w:rFonts w:ascii="宋体" w:hAnsi="宋体" w:cs="宋体" w:eastAsia="宋体" w:hint="default"/>
                <w:sz w:val="15"/>
                <w:szCs w:val="15"/>
              </w:rPr>
              <w:t>体系建设项目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296.61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2019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06</w:t>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30</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1,183.55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4"/>
              <w:ind w:left="105" w:right="99"/>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7</w:t>
            </w:r>
            <w:r>
              <w:rPr>
                <w:rFonts w:ascii="宋体" w:hAnsi="宋体" w:cs="宋体" w:eastAsia="宋体" w:hint="default"/>
                <w:spacing w:val="-7"/>
                <w:sz w:val="15"/>
                <w:szCs w:val="15"/>
              </w:rPr>
              <w:t>、偿还银行贷</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2016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09</w:t>
            </w: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02</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05" w:right="99"/>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8</w:t>
            </w:r>
            <w:r>
              <w:rPr>
                <w:rFonts w:ascii="宋体" w:hAnsi="宋体" w:cs="宋体" w:eastAsia="宋体" w:hint="default"/>
                <w:spacing w:val="-7"/>
                <w:sz w:val="15"/>
                <w:szCs w:val="15"/>
              </w:rPr>
              <w:t>、补充营运资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6"/>
                <w:szCs w:val="16"/>
              </w:rPr>
            </w:pPr>
            <w:r>
              <w:rPr>
                <w:rFonts w:ascii="Times New Roman"/>
                <w:sz w:val="16"/>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1"/>
                <w:szCs w:val="11"/>
              </w:rPr>
              <w:t>2016 </w:t>
            </w:r>
            <w:r>
              <w:rPr>
                <w:rFonts w:ascii="宋体" w:hAnsi="宋体" w:cs="宋体" w:eastAsia="宋体" w:hint="default"/>
                <w:sz w:val="11"/>
                <w:szCs w:val="11"/>
              </w:rPr>
              <w:t>年</w:t>
            </w:r>
            <w:r>
              <w:rPr>
                <w:rFonts w:ascii="宋体" w:hAnsi="宋体" w:cs="宋体" w:eastAsia="宋体" w:hint="default"/>
                <w:spacing w:val="-30"/>
                <w:sz w:val="11"/>
                <w:szCs w:val="11"/>
              </w:rPr>
              <w:t> </w:t>
            </w:r>
            <w:r>
              <w:rPr>
                <w:rFonts w:ascii="Times New Roman" w:hAnsi="Times New Roman" w:cs="Times New Roman" w:eastAsia="Times New Roman" w:hint="default"/>
                <w:sz w:val="11"/>
                <w:szCs w:val="11"/>
              </w:rPr>
              <w:t>12</w:t>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Times New Roman" w:hAnsi="Times New Roman" w:cs="Times New Roman" w:eastAsia="Times New Roman" w:hint="default"/>
                <w:sz w:val="11"/>
                <w:szCs w:val="11"/>
              </w:rPr>
              <w:t>31</w:t>
            </w:r>
            <w:r>
              <w:rPr>
                <w:rFonts w:ascii="Times New Roman" w:hAnsi="Times New Roman" w:cs="Times New Roman" w:eastAsia="Times New Roman" w:hint="default"/>
                <w:spacing w:val="-2"/>
                <w:sz w:val="11"/>
                <w:szCs w:val="11"/>
              </w:rPr>
              <w:t> </w:t>
            </w:r>
            <w:r>
              <w:rPr>
                <w:rFonts w:ascii="宋体" w:hAnsi="宋体" w:cs="宋体" w:eastAsia="宋体" w:hint="default"/>
                <w:sz w:val="11"/>
                <w:szCs w:val="11"/>
              </w:rPr>
              <w:t>日</w:t>
            </w:r>
          </w:p>
        </w:tc>
        <w:tc>
          <w:tcPr>
            <w:tcW w:w="8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5" w:right="135"/>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30,510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29,966.87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296.61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30,143.64</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2,613.41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3,440.67</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916" w:type="dxa"/>
            <w:gridSpan w:val="12"/>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49"/>
              <w:ind w:left="109"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906" w:footer="1021" w:top="1100" w:bottom="1220" w:left="8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150"/>
        <w:gridCol w:w="720"/>
        <w:gridCol w:w="754"/>
        <w:gridCol w:w="980"/>
        <w:gridCol w:w="727"/>
        <w:gridCol w:w="967"/>
        <w:gridCol w:w="831"/>
        <w:gridCol w:w="725"/>
        <w:gridCol w:w="876"/>
        <w:gridCol w:w="898"/>
        <w:gridCol w:w="578"/>
        <w:gridCol w:w="698"/>
      </w:tblGrid>
      <w:tr>
        <w:trPr>
          <w:trHeight w:val="401"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30,510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29,966.87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296.61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30,143.64</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2,613.41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3,440.67</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1961" w:hRule="exact"/>
        </w:trPr>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35"/>
              <w:jc w:val="both"/>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 具体项目）</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为适应募投项目实施过程中技术发展的最新趋势，满足客户不断提高的应用需求，经公司第二届董事会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年第二次定期会议、第二届监事会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年第二次定期会议、</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pacing w:val="-7"/>
                <w:sz w:val="18"/>
                <w:szCs w:val="18"/>
              </w:rPr>
              <w:t>年第三次临时股东大会审议通过，公司将“基</w:t>
            </w:r>
            <w:r>
              <w:rPr>
                <w:rFonts w:ascii="宋体" w:hAnsi="宋体" w:cs="宋体" w:eastAsia="宋体" w:hint="default"/>
                <w:sz w:val="18"/>
                <w:szCs w:val="18"/>
              </w:rPr>
              <w:t> 于</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SOA</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架构的金融渠道和业务平台</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Starring6</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1"/>
                <w:w w:val="99"/>
                <w:sz w:val="18"/>
                <w:szCs w:val="18"/>
              </w:rPr>
              <w:t>项目”、“企业数据管理及应用软件包</w:t>
            </w:r>
            <w:r>
              <w:rPr>
                <w:rFonts w:ascii="宋体" w:hAnsi="宋体" w:cs="宋体" w:eastAsia="宋体" w:hint="default"/>
                <w:spacing w:val="5"/>
                <w:w w:val="99"/>
                <w:sz w:val="18"/>
                <w:szCs w:val="18"/>
              </w:rPr>
              <w:t> </w:t>
            </w:r>
            <w:r>
              <w:rPr>
                <w:rFonts w:ascii="Times New Roman" w:hAnsi="Times New Roman" w:cs="Times New Roman" w:eastAsia="Times New Roman" w:hint="default"/>
                <w:w w:val="99"/>
                <w:sz w:val="18"/>
                <w:szCs w:val="18"/>
              </w:rPr>
              <w:t>iMOIA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1"/>
                <w:sz w:val="18"/>
                <w:szCs w:val="18"/>
              </w:rPr>
              <w:t>项目”、“统一客户</w:t>
            </w:r>
            <w:r>
              <w:rPr>
                <w:rFonts w:ascii="宋体" w:hAnsi="宋体" w:cs="宋体" w:eastAsia="宋体" w:hint="default"/>
                <w:sz w:val="18"/>
                <w:szCs w:val="18"/>
              </w:rPr>
              <w:t> 服务平台</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UCSP</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27"/>
                <w:sz w:val="18"/>
                <w:szCs w:val="18"/>
              </w:rPr>
              <w:t>项目”、“</w:t>
            </w:r>
            <w:r>
              <w:rPr>
                <w:rFonts w:ascii="Times New Roman" w:hAnsi="Times New Roman" w:cs="Times New Roman" w:eastAsia="Times New Roman" w:hint="default"/>
                <w:spacing w:val="-27"/>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运维服务体系建设项目”完成日期延后至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日。详细情况参见公司</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《关于部分募集资金投资项目延期的公告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w:t>
            </w:r>
            <w:r>
              <w:rPr>
                <w:rFonts w:ascii="宋体" w:hAnsi="宋体" w:cs="宋体" w:eastAsia="宋体" w:hint="default"/>
                <w:spacing w:val="-3"/>
                <w:sz w:val="18"/>
                <w:szCs w:val="18"/>
              </w:rPr>
              <w:t>股</w:t>
            </w:r>
            <w:r>
              <w:rPr>
                <w:rFonts w:ascii="宋体" w:hAnsi="宋体" w:cs="宋体" w:eastAsia="宋体" w:hint="default"/>
                <w:sz w:val="18"/>
                <w:szCs w:val="18"/>
              </w:rPr>
              <w:t>东大会决议公告》</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58</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1652" w:hRule="exact"/>
        </w:trPr>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35"/>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经过审慎评估，原计划实施的“统一通信平台及应用软件包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AUC2 </w:t>
            </w:r>
            <w:r>
              <w:rPr>
                <w:rFonts w:ascii="宋体" w:hAnsi="宋体" w:cs="宋体" w:eastAsia="宋体" w:hint="default"/>
                <w:sz w:val="18"/>
                <w:szCs w:val="18"/>
              </w:rPr>
              <w:t>项目”难以达到预期经济效益，经公司第</w:t>
            </w:r>
            <w:r>
              <w:rPr>
                <w:rFonts w:ascii="宋体" w:hAnsi="宋体" w:cs="宋体" w:eastAsia="宋体" w:hint="default"/>
                <w:w w:val="99"/>
                <w:sz w:val="18"/>
                <w:szCs w:val="18"/>
              </w:rPr>
              <w:t> </w:t>
            </w:r>
            <w:r>
              <w:rPr>
                <w:rFonts w:ascii="宋体" w:hAnsi="宋体" w:cs="宋体" w:eastAsia="宋体" w:hint="default"/>
                <w:sz w:val="18"/>
                <w:szCs w:val="18"/>
              </w:rPr>
              <w:t>二届董事会</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年第二次定期会议、第二届监事会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年第三次临时会议、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w:t>
            </w:r>
            <w:r>
              <w:rPr>
                <w:rFonts w:ascii="宋体" w:hAnsi="宋体" w:cs="宋体" w:eastAsia="宋体" w:hint="default"/>
                <w:w w:val="99"/>
                <w:sz w:val="18"/>
                <w:szCs w:val="18"/>
              </w:rPr>
              <w:t> </w:t>
            </w:r>
            <w:r>
              <w:rPr>
                <w:rFonts w:ascii="宋体" w:hAnsi="宋体" w:cs="宋体" w:eastAsia="宋体" w:hint="default"/>
                <w:spacing w:val="-4"/>
                <w:w w:val="99"/>
                <w:sz w:val="18"/>
                <w:szCs w:val="18"/>
              </w:rPr>
              <w:t>议通过，公司决定终止该项目实施，并将原计划用于该项目的募集资金变更用于“</w:t>
            </w:r>
            <w:r>
              <w:rPr>
                <w:rFonts w:ascii="Times New Roman" w:hAnsi="Times New Roman" w:cs="Times New Roman" w:eastAsia="Times New Roman" w:hint="default"/>
                <w:spacing w:val="-4"/>
                <w:w w:val="99"/>
                <w:sz w:val="18"/>
                <w:szCs w:val="18"/>
              </w:rPr>
              <w:t>IT</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8"/>
                <w:w w:val="99"/>
                <w:sz w:val="18"/>
                <w:szCs w:val="18"/>
              </w:rPr>
              <w:t>运维服务体系建设项目”。</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pacing w:val="-7"/>
                <w:w w:val="99"/>
                <w:sz w:val="18"/>
                <w:szCs w:val="18"/>
              </w:rPr>
              <w:t>详细情况参见公司《关于变更部分募集资金用途的公告》（公告编号：</w:t>
            </w:r>
            <w:r>
              <w:rPr>
                <w:rFonts w:ascii="Times New Roman" w:hAnsi="Times New Roman" w:cs="Times New Roman" w:eastAsia="Times New Roman" w:hint="default"/>
                <w:spacing w:val="-7"/>
                <w:w w:val="99"/>
                <w:sz w:val="18"/>
                <w:szCs w:val="18"/>
              </w:rPr>
              <w:t>2016-022</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2016</w:t>
            </w:r>
            <w:r>
              <w:rPr>
                <w:rFonts w:ascii="Times New Roman" w:hAnsi="Times New Roman" w:cs="Times New Roman" w:eastAsia="Times New Roman" w:hint="default"/>
                <w:w w:val="99"/>
                <w:sz w:val="18"/>
                <w:szCs w:val="18"/>
              </w:rPr>
              <w:t> </w:t>
            </w:r>
            <w:r>
              <w:rPr>
                <w:rFonts w:ascii="宋体" w:hAnsi="宋体" w:cs="宋体" w:eastAsia="宋体" w:hint="default"/>
                <w:spacing w:val="-1"/>
                <w:w w:val="99"/>
                <w:sz w:val="18"/>
                <w:szCs w:val="18"/>
              </w:rPr>
              <w:t>年第二次临时股东大</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pacing w:val="-13"/>
                <w:w w:val="99"/>
                <w:sz w:val="18"/>
                <w:szCs w:val="18"/>
              </w:rPr>
              <w:t>会决议公告》（公告编号：</w:t>
            </w:r>
            <w:r>
              <w:rPr>
                <w:rFonts w:ascii="Times New Roman" w:hAnsi="Times New Roman" w:cs="Times New Roman" w:eastAsia="Times New Roman" w:hint="default"/>
                <w:spacing w:val="-13"/>
                <w:w w:val="99"/>
                <w:sz w:val="18"/>
                <w:szCs w:val="18"/>
              </w:rPr>
              <w:t>2016-027</w:t>
            </w:r>
            <w:r>
              <w:rPr>
                <w:rFonts w:ascii="宋体" w:hAnsi="宋体" w:cs="宋体" w:eastAsia="宋体" w:hint="default"/>
                <w:spacing w:val="-13"/>
                <w:w w:val="99"/>
                <w:sz w:val="18"/>
                <w:szCs w:val="18"/>
              </w:rPr>
              <w:t>）。</w:t>
            </w:r>
            <w:r>
              <w:rPr>
                <w:rFonts w:ascii="宋体" w:hAnsi="宋体" w:cs="宋体" w:eastAsia="宋体" w:hint="default"/>
                <w:sz w:val="18"/>
                <w:szCs w:val="18"/>
              </w:rPr>
            </w:r>
          </w:p>
        </w:tc>
      </w:tr>
      <w:tr>
        <w:trPr>
          <w:trHeight w:val="401"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4"/>
              <w:ind w:left="103" w:right="132"/>
              <w:jc w:val="both"/>
              <w:rPr>
                <w:rFonts w:ascii="宋体" w:hAnsi="宋体" w:cs="宋体" w:eastAsia="宋体" w:hint="default"/>
                <w:sz w:val="15"/>
                <w:szCs w:val="15"/>
              </w:rPr>
            </w:pPr>
            <w:r>
              <w:rPr>
                <w:rFonts w:ascii="宋体" w:hAnsi="宋体" w:cs="宋体" w:eastAsia="宋体" w:hint="default"/>
                <w:sz w:val="15"/>
                <w:szCs w:val="15"/>
              </w:rPr>
              <w:t>超募资金的金</w:t>
            </w:r>
            <w:r>
              <w:rPr>
                <w:rFonts w:ascii="宋体" w:hAnsi="宋体" w:cs="宋体" w:eastAsia="宋体" w:hint="default"/>
                <w:w w:val="100"/>
                <w:sz w:val="15"/>
                <w:szCs w:val="15"/>
              </w:rPr>
              <w:t> </w:t>
            </w:r>
            <w:r>
              <w:rPr>
                <w:rFonts w:ascii="宋体" w:hAnsi="宋体" w:cs="宋体" w:eastAsia="宋体" w:hint="default"/>
                <w:sz w:val="15"/>
                <w:szCs w:val="15"/>
              </w:rPr>
              <w:t>额、用途及使</w:t>
            </w:r>
            <w:r>
              <w:rPr>
                <w:rFonts w:ascii="宋体" w:hAnsi="宋体" w:cs="宋体" w:eastAsia="宋体" w:hint="default"/>
                <w:w w:val="100"/>
                <w:sz w:val="15"/>
                <w:szCs w:val="15"/>
              </w:rPr>
              <w:t> </w:t>
            </w:r>
            <w:r>
              <w:rPr>
                <w:rFonts w:ascii="宋体" w:hAnsi="宋体" w:cs="宋体" w:eastAsia="宋体" w:hint="default"/>
                <w:sz w:val="15"/>
                <w:szCs w:val="15"/>
              </w:rPr>
              <w:t>用进展情况</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3" w:right="135"/>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150" w:type="dxa"/>
            <w:vMerge/>
            <w:tcBorders>
              <w:left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根据募投项目实施的实际需要，经公司第二届董事会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年第一次定期会议、第二届监事会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定期会议审议通过，公司将募投项目中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运维服务体系建设项目涉及的数据中心实验室实施地点由北京变更 </w:t>
            </w:r>
            <w:r>
              <w:rPr>
                <w:rFonts w:ascii="宋体" w:hAnsi="宋体" w:cs="宋体" w:eastAsia="宋体" w:hint="default"/>
                <w:spacing w:val="-6"/>
                <w:sz w:val="18"/>
                <w:szCs w:val="18"/>
              </w:rPr>
              <w:t>为成都。详细情况参见公司《关于变更部分募投项目实施地点的公告》（公告编号：</w:t>
            </w:r>
            <w:r>
              <w:rPr>
                <w:rFonts w:ascii="Times New Roman" w:hAnsi="Times New Roman" w:cs="Times New Roman" w:eastAsia="Times New Roman" w:hint="default"/>
                <w:spacing w:val="-6"/>
                <w:sz w:val="18"/>
                <w:szCs w:val="18"/>
              </w:rPr>
              <w:t>2018-022</w:t>
            </w:r>
            <w:r>
              <w:rPr>
                <w:rFonts w:ascii="宋体" w:hAnsi="宋体" w:cs="宋体" w:eastAsia="宋体" w:hint="default"/>
                <w:spacing w:val="-6"/>
                <w:sz w:val="18"/>
                <w:szCs w:val="18"/>
              </w:rPr>
              <w:t>）。</w:t>
            </w:r>
            <w:r>
              <w:rPr>
                <w:rFonts w:ascii="宋体" w:hAnsi="宋体" w:cs="宋体" w:eastAsia="宋体" w:hint="default"/>
                <w:sz w:val="18"/>
                <w:szCs w:val="18"/>
              </w:rPr>
            </w:r>
          </w:p>
        </w:tc>
      </w:tr>
      <w:tr>
        <w:trPr>
          <w:trHeight w:val="401"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79" w:lineRule="auto"/>
              <w:ind w:left="103" w:right="132"/>
              <w:jc w:val="both"/>
              <w:rPr>
                <w:rFonts w:ascii="宋体" w:hAnsi="宋体" w:cs="宋体" w:eastAsia="宋体" w:hint="default"/>
                <w:sz w:val="15"/>
                <w:szCs w:val="15"/>
              </w:rPr>
            </w:pPr>
            <w:r>
              <w:rPr>
                <w:rFonts w:ascii="宋体" w:hAnsi="宋体" w:cs="宋体" w:eastAsia="宋体" w:hint="default"/>
                <w:sz w:val="15"/>
                <w:szCs w:val="15"/>
              </w:rPr>
              <w:t>募集资金投资</w:t>
            </w:r>
            <w:r>
              <w:rPr>
                <w:rFonts w:ascii="宋体" w:hAnsi="宋体" w:cs="宋体" w:eastAsia="宋体" w:hint="default"/>
                <w:w w:val="100"/>
                <w:sz w:val="15"/>
                <w:szCs w:val="15"/>
              </w:rPr>
              <w:t> </w:t>
            </w:r>
            <w:r>
              <w:rPr>
                <w:rFonts w:ascii="宋体" w:hAnsi="宋体" w:cs="宋体" w:eastAsia="宋体" w:hint="default"/>
                <w:sz w:val="15"/>
                <w:szCs w:val="15"/>
              </w:rPr>
              <w:t>项目实施方式</w:t>
            </w:r>
            <w:r>
              <w:rPr>
                <w:rFonts w:ascii="宋体" w:hAnsi="宋体" w:cs="宋体" w:eastAsia="宋体" w:hint="default"/>
                <w:w w:val="100"/>
                <w:sz w:val="15"/>
                <w:szCs w:val="15"/>
              </w:rPr>
              <w:t> </w:t>
            </w:r>
            <w:r>
              <w:rPr>
                <w:rFonts w:ascii="宋体" w:hAnsi="宋体" w:cs="宋体" w:eastAsia="宋体" w:hint="default"/>
                <w:sz w:val="15"/>
                <w:szCs w:val="15"/>
              </w:rPr>
              <w:t>调整情况</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150" w:type="dxa"/>
            <w:vMerge/>
            <w:tcBorders>
              <w:left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135"/>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为加快募集资金投资项目的实施，提高募集资金的使用效率，公司使用自有资金，先行投入部分募投项目实 施。募集资金到位后，经公司第二届董事会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年第二次定期会议、第二届监事会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年第三次临时会议</w:t>
            </w:r>
          </w:p>
          <w:p>
            <w:pPr>
              <w:pStyle w:val="TableParagraph"/>
              <w:spacing w:line="300" w:lineRule="auto"/>
              <w:ind w:left="103" w:right="178"/>
              <w:jc w:val="left"/>
              <w:rPr>
                <w:rFonts w:ascii="宋体" w:hAnsi="宋体" w:cs="宋体" w:eastAsia="宋体" w:hint="default"/>
                <w:sz w:val="18"/>
                <w:szCs w:val="18"/>
              </w:rPr>
            </w:pPr>
            <w:r>
              <w:rPr>
                <w:rFonts w:ascii="宋体" w:hAnsi="宋体" w:cs="宋体" w:eastAsia="宋体" w:hint="default"/>
                <w:sz w:val="18"/>
                <w:szCs w:val="18"/>
              </w:rPr>
              <w:t>审议通过，公司以募集资金置换已预先投入募投项目的自筹资金合计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3,941.79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万元。详细情况参见公司《关 </w:t>
            </w:r>
            <w:r>
              <w:rPr>
                <w:rFonts w:ascii="宋体" w:hAnsi="宋体" w:cs="宋体" w:eastAsia="宋体" w:hint="default"/>
                <w:spacing w:val="-7"/>
                <w:sz w:val="18"/>
                <w:szCs w:val="18"/>
              </w:rPr>
              <w:t>于使用募集资金置换预先投入募投项目自筹资金的公告》（公告编号：</w:t>
            </w:r>
            <w:r>
              <w:rPr>
                <w:rFonts w:ascii="Times New Roman" w:hAnsi="Times New Roman" w:cs="Times New Roman" w:eastAsia="Times New Roman" w:hint="default"/>
                <w:spacing w:val="-7"/>
                <w:sz w:val="18"/>
                <w:szCs w:val="18"/>
              </w:rPr>
              <w:t>2016-023</w:t>
            </w:r>
            <w:r>
              <w:rPr>
                <w:rFonts w:ascii="宋体" w:hAnsi="宋体" w:cs="宋体" w:eastAsia="宋体" w:hint="default"/>
                <w:spacing w:val="-7"/>
                <w:sz w:val="18"/>
                <w:szCs w:val="18"/>
              </w:rPr>
              <w:t>）。</w:t>
            </w:r>
            <w:r>
              <w:rPr>
                <w:rFonts w:ascii="宋体" w:hAnsi="宋体" w:cs="宋体" w:eastAsia="宋体" w:hint="default"/>
                <w:sz w:val="18"/>
                <w:szCs w:val="18"/>
              </w:rPr>
            </w:r>
          </w:p>
        </w:tc>
      </w:tr>
      <w:tr>
        <w:trPr>
          <w:trHeight w:val="403"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79" w:lineRule="auto" w:before="77"/>
              <w:ind w:left="103" w:right="132"/>
              <w:jc w:val="both"/>
              <w:rPr>
                <w:rFonts w:ascii="宋体" w:hAnsi="宋体" w:cs="宋体" w:eastAsia="宋体" w:hint="default"/>
                <w:sz w:val="15"/>
                <w:szCs w:val="15"/>
              </w:rPr>
            </w:pPr>
            <w:r>
              <w:rPr>
                <w:rFonts w:ascii="宋体" w:hAnsi="宋体" w:cs="宋体" w:eastAsia="宋体" w:hint="default"/>
                <w:sz w:val="15"/>
                <w:szCs w:val="15"/>
              </w:rPr>
              <w:t>用闲置募集资</w:t>
            </w:r>
            <w:r>
              <w:rPr>
                <w:rFonts w:ascii="宋体" w:hAnsi="宋体" w:cs="宋体" w:eastAsia="宋体" w:hint="default"/>
                <w:w w:val="100"/>
                <w:sz w:val="15"/>
                <w:szCs w:val="15"/>
              </w:rPr>
              <w:t> </w:t>
            </w:r>
            <w:r>
              <w:rPr>
                <w:rFonts w:ascii="宋体" w:hAnsi="宋体" w:cs="宋体" w:eastAsia="宋体" w:hint="default"/>
                <w:sz w:val="15"/>
                <w:szCs w:val="15"/>
              </w:rPr>
              <w:t>金暂时补充流</w:t>
            </w:r>
            <w:r>
              <w:rPr>
                <w:rFonts w:ascii="宋体" w:hAnsi="宋体" w:cs="宋体" w:eastAsia="宋体" w:hint="default"/>
                <w:w w:val="100"/>
                <w:sz w:val="15"/>
                <w:szCs w:val="15"/>
              </w:rPr>
              <w:t> </w:t>
            </w:r>
            <w:r>
              <w:rPr>
                <w:rFonts w:ascii="宋体" w:hAnsi="宋体" w:cs="宋体" w:eastAsia="宋体" w:hint="default"/>
                <w:sz w:val="15"/>
                <w:szCs w:val="15"/>
              </w:rPr>
              <w:t>动资金情况</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103" w:right="135"/>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1150" w:type="dxa"/>
            <w:vMerge/>
            <w:tcBorders>
              <w:left w:val="single" w:sz="4" w:space="0" w:color="000000"/>
              <w:bottom w:val="single" w:sz="4" w:space="0" w:color="000000"/>
              <w:right w:val="single" w:sz="4" w:space="0" w:color="000000"/>
            </w:tcBorders>
            <w:shd w:val="clear" w:color="auto" w:fill="D2D2D2"/>
          </w:tcPr>
          <w:p>
            <w:pPr/>
          </w:p>
        </w:tc>
        <w:tc>
          <w:tcPr>
            <w:tcW w:w="8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4"/>
              <w:jc w:val="left"/>
              <w:rPr>
                <w:rFonts w:ascii="宋体" w:hAnsi="宋体" w:cs="宋体" w:eastAsia="宋体" w:hint="default"/>
                <w:sz w:val="18"/>
                <w:szCs w:val="18"/>
              </w:rPr>
            </w:pPr>
            <w:r>
              <w:rPr>
                <w:rFonts w:ascii="宋体" w:hAnsi="宋体" w:cs="宋体" w:eastAsia="宋体" w:hint="default"/>
                <w:spacing w:val="-7"/>
                <w:sz w:val="18"/>
                <w:szCs w:val="18"/>
              </w:rPr>
              <w:t>截至报告期末，募投项目已全部实施完毕，满足结项条件，公司募集资金节余金额（含利息收入）合计为</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892.05</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万元。募投项目实施过程中，公司审慎使用募集资金，尽可能减少非必要的费用支出，充分利用公司现有资 源及合作伙伴提供的低成本测试环境，降低募集资金投入，提高募集资金使用效率，使得募集资金出现少量 结余。同时公司为了提高募集资金的使用效率，在确保不影响募集资金投资项目实施进度以及募集资金安全 的前提下，使用暂时闲置募资金购买理财产品获得了一定的投资收益。此外，募集资金存放期间产生了一定 的利息收入。</w:t>
            </w:r>
          </w:p>
        </w:tc>
      </w:tr>
    </w:tbl>
    <w:p>
      <w:pPr>
        <w:spacing w:after="0" w:line="314" w:lineRule="auto"/>
        <w:jc w:val="left"/>
        <w:rPr>
          <w:rFonts w:ascii="宋体" w:hAnsi="宋体" w:cs="宋体" w:eastAsia="宋体" w:hint="default"/>
          <w:sz w:val="18"/>
          <w:szCs w:val="18"/>
        </w:rPr>
        <w:sectPr>
          <w:pgSz w:w="11910" w:h="16840"/>
          <w:pgMar w:header="906" w:footer="1021" w:top="1100" w:bottom="1220" w:left="8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150"/>
        <w:gridCol w:w="8754"/>
      </w:tblGrid>
      <w:tr>
        <w:trPr>
          <w:trHeight w:val="1649" w:hRule="exact"/>
        </w:trPr>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35"/>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87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经公司第三届董事会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年第二次定期会议、第三届监事会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年第二次定期会议审议通过，公司将募投 项目结项并将节余募集资金（含利息收入）</w:t>
            </w:r>
            <w:r>
              <w:rPr>
                <w:rFonts w:ascii="Times New Roman" w:hAnsi="Times New Roman" w:cs="Times New Roman" w:eastAsia="Times New Roman" w:hint="default"/>
                <w:sz w:val="18"/>
                <w:szCs w:val="18"/>
              </w:rPr>
              <w:t>892.05 </w:t>
            </w:r>
            <w:r>
              <w:rPr>
                <w:rFonts w:ascii="宋体" w:hAnsi="宋体" w:cs="宋体" w:eastAsia="宋体" w:hint="default"/>
                <w:sz w:val="18"/>
                <w:szCs w:val="18"/>
              </w:rPr>
              <w:t>万元永久性补充流动资金。详细情况参见公司《关于公司 </w:t>
            </w:r>
            <w:r>
              <w:rPr>
                <w:rFonts w:ascii="宋体" w:hAnsi="宋体" w:cs="宋体" w:eastAsia="宋体" w:hint="default"/>
                <w:spacing w:val="-9"/>
                <w:sz w:val="18"/>
                <w:szCs w:val="18"/>
              </w:rPr>
              <w:t>首次公开发行股票募集资金投资项目结项并将节余募集资金永久补充流动资金的公告》（公告编号：</w:t>
            </w:r>
            <w:r>
              <w:rPr>
                <w:rFonts w:ascii="Times New Roman" w:hAnsi="Times New Roman" w:cs="Times New Roman" w:eastAsia="Times New Roman" w:hint="default"/>
                <w:spacing w:val="-9"/>
                <w:sz w:val="18"/>
                <w:szCs w:val="18"/>
              </w:rPr>
              <w:t>2019-044</w:t>
            </w:r>
            <w:r>
              <w:rPr>
                <w:rFonts w:ascii="宋体" w:hAnsi="宋体" w:cs="宋体" w:eastAsia="宋体" w:hint="default"/>
                <w:spacing w:val="-9"/>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截止报告期末，公司募集资金专用账户的节余资金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892.05 </w:t>
            </w:r>
            <w:r>
              <w:rPr>
                <w:rFonts w:ascii="宋体" w:hAnsi="宋体" w:cs="宋体" w:eastAsia="宋体" w:hint="default"/>
                <w:sz w:val="18"/>
                <w:szCs w:val="18"/>
              </w:rPr>
              <w:t>万元已全部划转至公司的基本账户，公司首次公开 发行股票募集资金专用账户销户手续已办理完成。</w:t>
            </w:r>
          </w:p>
        </w:tc>
      </w:tr>
      <w:tr>
        <w:trPr>
          <w:trHeight w:val="1339" w:hRule="exact"/>
        </w:trPr>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5"/>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8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252"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252" w:right="0"/>
        <w:jc w:val="left"/>
      </w:pPr>
      <w:r>
        <w:rPr/>
        <w:t>√ 适用 □</w:t>
      </w:r>
      <w:r>
        <w:rPr>
          <w:spacing w:val="3"/>
        </w:rPr>
        <w:t> </w:t>
      </w:r>
      <w:r>
        <w:rPr/>
        <w:t>不适用</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54"/>
        <w:gridCol w:w="1193"/>
        <w:gridCol w:w="958"/>
        <w:gridCol w:w="958"/>
        <w:gridCol w:w="958"/>
        <w:gridCol w:w="956"/>
        <w:gridCol w:w="958"/>
        <w:gridCol w:w="956"/>
        <w:gridCol w:w="958"/>
        <w:gridCol w:w="1044"/>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9" w:right="113" w:hanging="181"/>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21" w:right="139"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12"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10" w:right="110" w:firstLine="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19" w:right="110"/>
              <w:jc w:val="center"/>
              <w:rPr>
                <w:rFonts w:ascii="宋体" w:hAnsi="宋体" w:cs="宋体" w:eastAsia="宋体" w:hint="default"/>
                <w:sz w:val="16"/>
                <w:szCs w:val="16"/>
              </w:rPr>
            </w:pPr>
            <w:r>
              <w:rPr>
                <w:rFonts w:ascii="宋体" w:hAnsi="宋体" w:cs="宋体" w:eastAsia="宋体" w:hint="default"/>
                <w:sz w:val="16"/>
                <w:szCs w:val="16"/>
              </w:rPr>
              <w:t>变更后的项</w:t>
            </w:r>
            <w:r>
              <w:rPr>
                <w:rFonts w:ascii="宋体" w:hAnsi="宋体" w:cs="宋体" w:eastAsia="宋体" w:hint="default"/>
                <w:w w:val="100"/>
                <w:sz w:val="16"/>
                <w:szCs w:val="16"/>
              </w:rPr>
              <w:t> </w:t>
            </w:r>
            <w:r>
              <w:rPr>
                <w:rFonts w:ascii="宋体" w:hAnsi="宋体" w:cs="宋体" w:eastAsia="宋体" w:hint="default"/>
                <w:sz w:val="16"/>
                <w:szCs w:val="16"/>
              </w:rPr>
              <w:t>目可行性是</w:t>
            </w:r>
            <w:r>
              <w:rPr>
                <w:rFonts w:ascii="宋体" w:hAnsi="宋体" w:cs="宋体" w:eastAsia="宋体" w:hint="default"/>
                <w:w w:val="100"/>
                <w:sz w:val="16"/>
                <w:szCs w:val="16"/>
              </w:rPr>
              <w:t> </w:t>
            </w:r>
            <w:r>
              <w:rPr>
                <w:rFonts w:ascii="宋体" w:hAnsi="宋体" w:cs="宋体" w:eastAsia="宋体" w:hint="default"/>
                <w:sz w:val="16"/>
                <w:szCs w:val="16"/>
              </w:rPr>
              <w:t>否发生重大</w:t>
            </w:r>
            <w:r>
              <w:rPr>
                <w:rFonts w:ascii="宋体" w:hAnsi="宋体" w:cs="宋体" w:eastAsia="宋体" w:hint="default"/>
                <w:w w:val="100"/>
                <w:sz w:val="16"/>
                <w:szCs w:val="16"/>
              </w:rPr>
              <w:t> </w:t>
            </w:r>
            <w:r>
              <w:rPr>
                <w:rFonts w:ascii="宋体" w:hAnsi="宋体" w:cs="宋体" w:eastAsia="宋体" w:hint="default"/>
                <w:sz w:val="16"/>
                <w:szCs w:val="16"/>
              </w:rPr>
              <w:t>变化</w:t>
            </w:r>
          </w:p>
        </w:tc>
      </w:tr>
      <w:tr>
        <w:trPr>
          <w:trHeight w:val="1025"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99"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运维服</w:t>
            </w:r>
            <w:r>
              <w:rPr>
                <w:rFonts w:ascii="宋体" w:hAnsi="宋体" w:cs="宋体" w:eastAsia="宋体" w:hint="default"/>
                <w:w w:val="99"/>
                <w:sz w:val="18"/>
                <w:szCs w:val="18"/>
              </w:rPr>
              <w:t> </w:t>
            </w:r>
            <w:r>
              <w:rPr>
                <w:rFonts w:ascii="宋体" w:hAnsi="宋体" w:cs="宋体" w:eastAsia="宋体" w:hint="default"/>
                <w:sz w:val="18"/>
                <w:szCs w:val="18"/>
              </w:rPr>
              <w:t>务体系建</w:t>
            </w:r>
            <w:r>
              <w:rPr>
                <w:rFonts w:ascii="宋体" w:hAnsi="宋体" w:cs="宋体" w:eastAsia="宋体" w:hint="default"/>
                <w:w w:val="99"/>
                <w:sz w:val="18"/>
                <w:szCs w:val="18"/>
              </w:rPr>
              <w:t> </w:t>
            </w:r>
            <w:r>
              <w:rPr>
                <w:rFonts w:ascii="宋体" w:hAnsi="宋体" w:cs="宋体" w:eastAsia="宋体" w:hint="default"/>
                <w:sz w:val="18"/>
                <w:szCs w:val="18"/>
              </w:rPr>
              <w:t>设项目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7"/>
              <w:ind w:left="103" w:right="115"/>
              <w:jc w:val="both"/>
              <w:rPr>
                <w:rFonts w:ascii="宋体" w:hAnsi="宋体" w:cs="宋体" w:eastAsia="宋体" w:hint="default"/>
                <w:sz w:val="16"/>
                <w:szCs w:val="16"/>
              </w:rPr>
            </w:pPr>
            <w:r>
              <w:rPr>
                <w:rFonts w:ascii="宋体" w:hAnsi="宋体" w:cs="宋体" w:eastAsia="宋体" w:hint="default"/>
                <w:sz w:val="16"/>
                <w:szCs w:val="16"/>
              </w:rPr>
              <w:t>统一通信平台</w:t>
            </w:r>
            <w:r>
              <w:rPr>
                <w:rFonts w:ascii="宋体" w:hAnsi="宋体" w:cs="宋体" w:eastAsia="宋体" w:hint="default"/>
                <w:w w:val="100"/>
                <w:sz w:val="16"/>
                <w:szCs w:val="16"/>
              </w:rPr>
              <w:t> </w:t>
            </w:r>
            <w:r>
              <w:rPr>
                <w:rFonts w:ascii="宋体" w:hAnsi="宋体" w:cs="宋体" w:eastAsia="宋体" w:hint="default"/>
                <w:sz w:val="16"/>
                <w:szCs w:val="16"/>
              </w:rPr>
              <w:t>及应用软件包</w:t>
            </w:r>
            <w:r>
              <w:rPr>
                <w:rFonts w:ascii="宋体" w:hAnsi="宋体" w:cs="宋体" w:eastAsia="宋体" w:hint="default"/>
                <w:w w:val="100"/>
                <w:sz w:val="16"/>
                <w:szCs w:val="16"/>
              </w:rPr>
              <w:t> </w:t>
            </w:r>
            <w:r>
              <w:rPr>
                <w:rFonts w:ascii="Times New Roman" w:hAnsi="Times New Roman" w:cs="Times New Roman" w:eastAsia="Times New Roman" w:hint="default"/>
                <w:sz w:val="16"/>
                <w:szCs w:val="16"/>
              </w:rPr>
              <w:t>AUC2 </w:t>
            </w:r>
            <w:r>
              <w:rPr>
                <w:rFonts w:ascii="宋体" w:hAnsi="宋体" w:cs="宋体" w:eastAsia="宋体" w:hint="default"/>
                <w:sz w:val="16"/>
                <w:szCs w:val="16"/>
              </w:rPr>
              <w:t>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06</w:t>
            </w:r>
          </w:p>
          <w:p>
            <w:pPr>
              <w:pStyle w:val="TableParagraph"/>
              <w:spacing w:line="240" w:lineRule="auto" w:before="88"/>
              <w:ind w:left="105"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639.55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49" w:hRule="exact"/>
        </w:trPr>
        <w:tc>
          <w:tcPr>
            <w:tcW w:w="21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6"/>
              <w:ind w:left="109" w:right="10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变更原因、决策程序及信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 项目</w:t>
            </w:r>
            <w:r>
              <w:rPr>
                <w:rFonts w:ascii="Times New Roman" w:hAnsi="Times New Roman" w:cs="Times New Roman" w:eastAsia="Times New Roman" w:hint="default"/>
                <w:sz w:val="18"/>
                <w:szCs w:val="18"/>
              </w:rPr>
              <w:t>)</w:t>
            </w:r>
          </w:p>
        </w:tc>
        <w:tc>
          <w:tcPr>
            <w:tcW w:w="7744" w:type="dxa"/>
            <w:gridSpan w:val="8"/>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经过审慎评估，原计划实施的“统一通信平台及应用软件包 </w:t>
            </w:r>
            <w:r>
              <w:rPr>
                <w:rFonts w:ascii="Times New Roman" w:hAnsi="Times New Roman" w:cs="Times New Roman" w:eastAsia="Times New Roman" w:hint="default"/>
                <w:sz w:val="18"/>
                <w:szCs w:val="18"/>
              </w:rPr>
              <w:t>AUC2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项目”难以达到预期经济效</w:t>
            </w:r>
            <w:r>
              <w:rPr>
                <w:rFonts w:ascii="宋体" w:hAnsi="宋体" w:cs="宋体" w:eastAsia="宋体" w:hint="default"/>
                <w:w w:val="99"/>
                <w:sz w:val="18"/>
                <w:szCs w:val="18"/>
              </w:rPr>
              <w:t> </w:t>
            </w:r>
            <w:r>
              <w:rPr>
                <w:rFonts w:ascii="宋体" w:hAnsi="宋体" w:cs="宋体" w:eastAsia="宋体" w:hint="default"/>
                <w:spacing w:val="-3"/>
                <w:sz w:val="18"/>
                <w:szCs w:val="18"/>
              </w:rPr>
              <w:t>益，经公司第二届董事会</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年第二次定期会议、第二届监事会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年第三次临时会议、</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年第二次临时股东大会审议通过，决定终止该项目实施，并将原计划用于该项目的募集资金变更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w w:val="99"/>
                <w:sz w:val="18"/>
                <w:szCs w:val="18"/>
              </w:rPr>
              <w:t>用于“</w:t>
            </w:r>
            <w:r>
              <w:rPr>
                <w:rFonts w:ascii="Times New Roman" w:hAnsi="Times New Roman" w:cs="Times New Roman" w:eastAsia="Times New Roman" w:hint="default"/>
                <w:spacing w:val="-4"/>
                <w:w w:val="99"/>
                <w:sz w:val="18"/>
                <w:szCs w:val="18"/>
              </w:rPr>
              <w:t>IT</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6"/>
                <w:w w:val="99"/>
                <w:sz w:val="18"/>
                <w:szCs w:val="18"/>
              </w:rPr>
              <w:t>运维服务体系建设项目”。详细情况参见公司《关于变更部分募集资金用途的公告》（公</w:t>
            </w:r>
            <w:r>
              <w:rPr>
                <w:rFonts w:ascii="宋体" w:hAnsi="宋体" w:cs="宋体" w:eastAsia="宋体" w:hint="default"/>
                <w:w w:val="99"/>
                <w:sz w:val="18"/>
                <w:szCs w:val="18"/>
              </w:rPr>
              <w:t> </w:t>
            </w:r>
            <w:r>
              <w:rPr>
                <w:rFonts w:ascii="宋体" w:hAnsi="宋体" w:cs="宋体" w:eastAsia="宋体" w:hint="default"/>
                <w:spacing w:val="-10"/>
                <w:w w:val="99"/>
                <w:sz w:val="18"/>
                <w:szCs w:val="18"/>
              </w:rPr>
              <w:t>告编号：</w:t>
            </w:r>
            <w:r>
              <w:rPr>
                <w:rFonts w:ascii="Times New Roman" w:hAnsi="Times New Roman" w:cs="Times New Roman" w:eastAsia="Times New Roman" w:hint="default"/>
                <w:spacing w:val="-10"/>
                <w:w w:val="99"/>
                <w:sz w:val="18"/>
                <w:szCs w:val="18"/>
              </w:rPr>
              <w:t>2016-022</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2016</w:t>
            </w:r>
            <w:r>
              <w:rPr>
                <w:rFonts w:ascii="Times New Roman" w:hAnsi="Times New Roman" w:cs="Times New Roman" w:eastAsia="Times New Roman" w:hint="default"/>
                <w:spacing w:val="35"/>
                <w:w w:val="99"/>
                <w:sz w:val="18"/>
                <w:szCs w:val="18"/>
              </w:rPr>
              <w:t> </w:t>
            </w:r>
            <w:r>
              <w:rPr>
                <w:rFonts w:ascii="宋体" w:hAnsi="宋体" w:cs="宋体" w:eastAsia="宋体" w:hint="default"/>
                <w:spacing w:val="-4"/>
                <w:w w:val="99"/>
                <w:sz w:val="18"/>
                <w:szCs w:val="18"/>
              </w:rPr>
              <w:t>年第二次临时股东大会决议公告》（公告编号：</w:t>
            </w:r>
            <w:r>
              <w:rPr>
                <w:rFonts w:ascii="Times New Roman" w:hAnsi="Times New Roman" w:cs="Times New Roman" w:eastAsia="Times New Roman" w:hint="default"/>
                <w:spacing w:val="-4"/>
                <w:w w:val="99"/>
                <w:sz w:val="18"/>
                <w:szCs w:val="18"/>
              </w:rPr>
              <w:t>2016-027</w:t>
            </w:r>
            <w:r>
              <w:rPr>
                <w:rFonts w:ascii="宋体" w:hAnsi="宋体" w:cs="宋体" w:eastAsia="宋体" w:hint="default"/>
                <w:spacing w:val="-4"/>
                <w:w w:val="99"/>
                <w:sz w:val="18"/>
                <w:szCs w:val="18"/>
              </w:rPr>
              <w:t>）</w:t>
            </w:r>
            <w:r>
              <w:rPr>
                <w:rFonts w:ascii="宋体" w:hAnsi="宋体" w:cs="宋体" w:eastAsia="宋体" w:hint="default"/>
                <w:spacing w:val="-4"/>
                <w:sz w:val="18"/>
                <w:szCs w:val="18"/>
              </w:rPr>
            </w:r>
          </w:p>
        </w:tc>
      </w:tr>
      <w:tr>
        <w:trPr>
          <w:trHeight w:val="1027" w:hRule="exact"/>
        </w:trPr>
        <w:tc>
          <w:tcPr>
            <w:tcW w:w="21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9" w:right="167"/>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 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 体项目</w:t>
            </w:r>
            <w:r>
              <w:rPr>
                <w:rFonts w:ascii="Times New Roman" w:hAnsi="Times New Roman" w:cs="Times New Roman" w:eastAsia="Times New Roman" w:hint="default"/>
                <w:sz w:val="18"/>
                <w:szCs w:val="18"/>
              </w:rPr>
              <w:t>)</w:t>
            </w:r>
          </w:p>
        </w:tc>
        <w:tc>
          <w:tcPr>
            <w:tcW w:w="77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1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 w:right="226"/>
              <w:jc w:val="left"/>
              <w:rPr>
                <w:rFonts w:ascii="宋体" w:hAnsi="宋体" w:cs="宋体" w:eastAsia="宋体" w:hint="default"/>
                <w:sz w:val="18"/>
                <w:szCs w:val="18"/>
              </w:rPr>
            </w:pPr>
            <w:r>
              <w:rPr>
                <w:rFonts w:ascii="宋体" w:hAnsi="宋体" w:cs="宋体" w:eastAsia="宋体" w:hint="default"/>
                <w:sz w:val="18"/>
                <w:szCs w:val="18"/>
              </w:rPr>
              <w:t>变更后的项目可行性发 生重大变化的情况说明</w:t>
            </w:r>
          </w:p>
        </w:tc>
        <w:tc>
          <w:tcPr>
            <w:tcW w:w="77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left="252"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2"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252" w:right="8414"/>
        <w:jc w:val="left"/>
      </w:pPr>
      <w:r>
        <w:rPr/>
        <w:t>□ 适用 √</w:t>
      </w:r>
      <w:r>
        <w:rPr>
          <w:spacing w:val="3"/>
        </w:rPr>
        <w:t> </w:t>
      </w:r>
      <w:r>
        <w:rPr/>
        <w:t>不适用</w:t>
      </w:r>
      <w:r>
        <w:rPr/>
        <w:t> 公司报告期未出售重大资产。</w:t>
      </w:r>
    </w:p>
    <w:p>
      <w:pPr>
        <w:spacing w:after="0" w:line="360" w:lineRule="auto"/>
        <w:jc w:val="left"/>
        <w:sectPr>
          <w:pgSz w:w="11910" w:h="16840"/>
          <w:pgMar w:header="906" w:footer="1021" w:top="1100" w:bottom="1220" w:left="88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614"/>
        <w:jc w:val="left"/>
      </w:pPr>
      <w:r>
        <w:rPr/>
        <w:t>□ 适用 √</w:t>
      </w:r>
      <w:r>
        <w:rPr>
          <w:spacing w:val="3"/>
        </w:rPr>
        <w:t> </w:t>
      </w:r>
      <w:r>
        <w:rPr/>
        <w:t>不适用</w:t>
      </w:r>
      <w:r>
        <w:rPr/>
        <w:t> 公司报告期内无应当披露的重要控股参股公司信息。</w:t>
      </w: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3" w:right="1129"/>
        <w:jc w:val="left"/>
      </w:pPr>
      <w:r>
        <w:rPr/>
        <w:t>（一）行业发展趋势 </w:t>
      </w:r>
      <w:r>
        <w:rPr>
          <w:spacing w:val="-2"/>
        </w:rPr>
        <w:t>近期，国家层面密集部署新型基础设施建设，</w:t>
      </w:r>
      <w:r>
        <w:rPr>
          <w:rFonts w:ascii="宋体" w:hAnsi="宋体" w:cs="宋体" w:eastAsia="宋体" w:hint="default"/>
          <w:spacing w:val="-2"/>
        </w:rPr>
        <w:t>5G</w:t>
      </w:r>
      <w:r>
        <w:rPr>
          <w:spacing w:val="-2"/>
        </w:rPr>
        <w:t>网络、数据中心、人工智能、工业互联网、物联网等基于信息技术的新</w:t>
      </w:r>
    </w:p>
    <w:p>
      <w:pPr>
        <w:pStyle w:val="BodyText"/>
        <w:spacing w:line="316" w:lineRule="auto" w:before="19"/>
        <w:ind w:left="473" w:right="1129" w:hanging="361"/>
        <w:jc w:val="left"/>
      </w:pPr>
      <w:r>
        <w:rPr/>
        <w:t>型基础设施建设，将成为未来拉动中国经济持续增长的新引擎，推动全社会的信息化进程。 </w:t>
      </w:r>
      <w:r>
        <w:rPr>
          <w:spacing w:val="-2"/>
        </w:rPr>
        <w:t>公司业务集中于信息技术服务领域，新基建为公司长期发展，带来了巨大的战略机遇，传统高度信息化行业，将保持持</w:t>
      </w:r>
    </w:p>
    <w:p>
      <w:pPr>
        <w:pStyle w:val="BodyText"/>
        <w:spacing w:line="316" w:lineRule="auto" w:before="19"/>
        <w:ind w:right="1129"/>
        <w:jc w:val="left"/>
      </w:pPr>
      <w:r>
        <w:rPr>
          <w:spacing w:val="-2"/>
        </w:rPr>
        <w:t>续高投入；信息化程度较低的行业，将迎来信息化投入的爆发性增长。公司近期将依托在</w:t>
      </w:r>
      <w:r>
        <w:rPr>
          <w:rFonts w:ascii="宋体" w:hAnsi="宋体" w:cs="宋体" w:eastAsia="宋体" w:hint="default"/>
          <w:spacing w:val="-2"/>
        </w:rPr>
        <w:t>IT</w:t>
      </w:r>
      <w:r>
        <w:rPr>
          <w:spacing w:val="-2"/>
        </w:rPr>
        <w:t>基础设施建设、云计算、大数据</w:t>
      </w:r>
      <w:r>
        <w:rPr>
          <w:spacing w:val="-62"/>
        </w:rPr>
        <w:t> </w:t>
      </w:r>
      <w:r>
        <w:rPr>
          <w:spacing w:val="-62"/>
        </w:rPr>
      </w:r>
      <w:r>
        <w:rPr/>
        <w:t>领域长期的技术积累及应用经验，深化与金融行业、互联网行业客户的合作，并将智慧园区业务，作为重点的突破方向。</w:t>
      </w:r>
    </w:p>
    <w:p>
      <w:pPr>
        <w:pStyle w:val="BodyText"/>
        <w:spacing w:line="316" w:lineRule="auto" w:before="19"/>
        <w:ind w:right="0" w:firstLine="360"/>
        <w:jc w:val="left"/>
      </w:pPr>
      <w:r>
        <w:rPr>
          <w:spacing w:val="-2"/>
        </w:rPr>
        <w:t>银行信息化是公司传统优势领域，以云数据中心建设、分布式架构为基础的金融应用体系的重构、以及各类金融生态系</w:t>
      </w:r>
      <w:r>
        <w:rPr/>
        <w:t> </w:t>
      </w:r>
      <w:r>
        <w:rPr>
          <w:spacing w:val="-4"/>
        </w:rPr>
        <w:t>统的建设，是银行信息化近期的投资重点。公司将以软件解决方案及专业化服务为重点，提升公司重点产品、服务销售规模，</w:t>
      </w:r>
      <w:r>
        <w:rPr>
          <w:spacing w:val="-46"/>
        </w:rPr>
        <w:t> </w:t>
      </w:r>
      <w:r>
        <w:rPr>
          <w:spacing w:val="-46"/>
        </w:rPr>
      </w:r>
      <w:r>
        <w:rPr>
          <w:spacing w:val="-4"/>
        </w:rPr>
        <w:t>持续深化与银行客户的长期合作关系，同时利用公司在软件产品及解决方案领域积累的技术优势，拓展非银行金融客户市场。</w:t>
      </w:r>
    </w:p>
    <w:p>
      <w:pPr>
        <w:pStyle w:val="BodyText"/>
        <w:spacing w:line="316" w:lineRule="auto" w:before="19"/>
        <w:ind w:right="1129" w:firstLine="360"/>
        <w:jc w:val="both"/>
      </w:pPr>
      <w:r>
        <w:rPr>
          <w:spacing w:val="-2"/>
        </w:rPr>
        <w:t>互联网行业，公司成为多家大型互联网企业</w:t>
      </w:r>
      <w:r>
        <w:rPr>
          <w:rFonts w:ascii="宋体" w:hAnsi="宋体" w:cs="宋体" w:eastAsia="宋体" w:hint="default"/>
          <w:spacing w:val="-2"/>
        </w:rPr>
        <w:t>IT</w:t>
      </w:r>
      <w:r>
        <w:rPr>
          <w:spacing w:val="-2"/>
        </w:rPr>
        <w:t>基础设施服务商，为公司业务规模快速增长做出巨大贡献。信息技术能力</w:t>
      </w:r>
      <w:r>
        <w:rPr/>
        <w:t> </w:t>
      </w:r>
      <w:r>
        <w:rPr>
          <w:spacing w:val="-2"/>
        </w:rPr>
        <w:t>建设是互联网行业的核心要素和基础，公司在互联网行业面临的机遇与挑战是扩大公司产品服务种类，建立多层次的合作关</w:t>
      </w:r>
      <w:r>
        <w:rPr>
          <w:spacing w:val="-63"/>
        </w:rPr>
        <w:t> </w:t>
      </w:r>
      <w:r>
        <w:rPr>
          <w:spacing w:val="-63"/>
        </w:rPr>
      </w:r>
      <w:r>
        <w:rPr/>
        <w:t>系，提升客户粘性，在风险可控的前提下，有序扩大客户群体。</w:t>
      </w:r>
    </w:p>
    <w:p>
      <w:pPr>
        <w:spacing w:line="240" w:lineRule="auto" w:before="4"/>
        <w:rPr>
          <w:rFonts w:ascii="宋体" w:hAnsi="宋体" w:cs="宋体" w:eastAsia="宋体" w:hint="default"/>
          <w:sz w:val="25"/>
          <w:szCs w:val="25"/>
        </w:rPr>
      </w:pPr>
    </w:p>
    <w:p>
      <w:pPr>
        <w:pStyle w:val="BodyText"/>
        <w:spacing w:line="316" w:lineRule="auto"/>
        <w:ind w:left="473" w:right="1133"/>
        <w:jc w:val="left"/>
      </w:pPr>
      <w:r>
        <w:rPr/>
        <w:t>（二）公司</w:t>
      </w:r>
      <w:r>
        <w:rPr>
          <w:rFonts w:ascii="宋体" w:hAnsi="宋体" w:cs="宋体" w:eastAsia="宋体" w:hint="default"/>
        </w:rPr>
        <w:t>2020</w:t>
      </w:r>
      <w:r>
        <w:rPr/>
        <w:t>年经营要点 </w:t>
      </w:r>
      <w:r>
        <w:rPr>
          <w:rFonts w:ascii="宋体" w:hAnsi="宋体" w:cs="宋体" w:eastAsia="宋体" w:hint="default"/>
          <w:spacing w:val="-2"/>
        </w:rPr>
        <w:t>2020</w:t>
      </w:r>
      <w:r>
        <w:rPr>
          <w:spacing w:val="-2"/>
        </w:rPr>
        <w:t>年，公司将持续深化与金融行业客户的合作、提升互联网行业客户覆盖度，积极拓展智慧园区市场。技术领域，继</w:t>
      </w:r>
    </w:p>
    <w:p>
      <w:pPr>
        <w:pStyle w:val="BodyText"/>
        <w:spacing w:line="316" w:lineRule="auto" w:before="19"/>
        <w:ind w:left="473" w:right="1129" w:hanging="361"/>
        <w:jc w:val="left"/>
      </w:pPr>
      <w:r>
        <w:rPr/>
        <w:t>续推进</w:t>
      </w:r>
      <w:r>
        <w:rPr>
          <w:rFonts w:ascii="宋体" w:hAnsi="宋体" w:cs="宋体" w:eastAsia="宋体" w:hint="default"/>
        </w:rPr>
        <w:t>IT</w:t>
      </w:r>
      <w:r>
        <w:rPr/>
        <w:t>基础设施业务的全面云计算布局，大力拓展金融交易云、大数据在金融行业客户的应用。 </w:t>
      </w:r>
      <w:r>
        <w:rPr>
          <w:spacing w:val="-2"/>
        </w:rPr>
        <w:t>金融信息化市场是公司发展的基础，</w:t>
      </w:r>
      <w:r>
        <w:rPr>
          <w:rFonts w:ascii="宋体" w:hAnsi="宋体" w:cs="宋体" w:eastAsia="宋体" w:hint="default"/>
          <w:spacing w:val="-2"/>
        </w:rPr>
        <w:t>2020</w:t>
      </w:r>
      <w:r>
        <w:rPr>
          <w:spacing w:val="-2"/>
        </w:rPr>
        <w:t>年公司将继续围绕云数据中心建设、金融交易云、金融数据分析、软件外包开</w:t>
      </w:r>
    </w:p>
    <w:p>
      <w:pPr>
        <w:pStyle w:val="BodyText"/>
        <w:spacing w:line="316" w:lineRule="auto" w:before="19"/>
        <w:ind w:left="473" w:right="1129" w:hanging="361"/>
        <w:jc w:val="left"/>
      </w:pPr>
      <w:r>
        <w:rPr/>
        <w:t>发服务等领域，力争公司在金融行业的收入保持稳定增长。 </w:t>
      </w:r>
      <w:r>
        <w:rPr>
          <w:spacing w:val="-2"/>
        </w:rPr>
        <w:t>互联网行业是近年来公司销售规模增长最快的行业，</w:t>
      </w:r>
      <w:r>
        <w:rPr>
          <w:rFonts w:ascii="宋体" w:hAnsi="宋体" w:cs="宋体" w:eastAsia="宋体" w:hint="default"/>
          <w:spacing w:val="-2"/>
        </w:rPr>
        <w:t>2020</w:t>
      </w:r>
      <w:r>
        <w:rPr>
          <w:spacing w:val="-2"/>
        </w:rPr>
        <w:t>年工作重点是巩固公司在互联网行业的市场地位，单一产品向</w:t>
      </w:r>
    </w:p>
    <w:p>
      <w:pPr>
        <w:pStyle w:val="BodyText"/>
        <w:spacing w:line="319" w:lineRule="auto" w:before="19"/>
        <w:ind w:left="473" w:right="1129" w:hanging="361"/>
        <w:jc w:val="left"/>
      </w:pPr>
      <w:r>
        <w:rPr/>
        <w:t>多产品发展，重点推进华为泰山服务器在互联网客户的规模销售，加大公司在互联网行业市场及技术团队建设。 </w:t>
      </w:r>
      <w:r>
        <w:rPr>
          <w:spacing w:val="-2"/>
        </w:rPr>
        <w:t>智慧园区业务是公司</w:t>
      </w:r>
      <w:r>
        <w:rPr>
          <w:rFonts w:ascii="宋体" w:hAnsi="宋体" w:cs="宋体" w:eastAsia="宋体" w:hint="default"/>
          <w:spacing w:val="-2"/>
        </w:rPr>
        <w:t>2020</w:t>
      </w:r>
      <w:r>
        <w:rPr>
          <w:spacing w:val="-2"/>
        </w:rPr>
        <w:t>年重点突破的业务领域，智慧园区业务兼具</w:t>
      </w:r>
      <w:r>
        <w:rPr>
          <w:rFonts w:ascii="宋体" w:hAnsi="宋体" w:cs="宋体" w:eastAsia="宋体" w:hint="default"/>
          <w:spacing w:val="-2"/>
        </w:rPr>
        <w:t>IT</w:t>
      </w:r>
      <w:r>
        <w:rPr>
          <w:spacing w:val="-2"/>
        </w:rPr>
        <w:t>基础设施与软件服务多重特征，有利于发挥公司</w:t>
      </w:r>
    </w:p>
    <w:p>
      <w:pPr>
        <w:pStyle w:val="BodyText"/>
        <w:spacing w:line="316" w:lineRule="auto" w:before="17"/>
        <w:ind w:right="1129"/>
        <w:jc w:val="left"/>
      </w:pPr>
      <w:r>
        <w:rPr>
          <w:spacing w:val="-2"/>
        </w:rPr>
        <w:t>优势，同时也面临商业合作形态复杂的挑战。公司计划以华为平台为核心构建公司智慧园区解决方案，逐步介入智慧园区应</w:t>
      </w:r>
      <w:r>
        <w:rPr>
          <w:spacing w:val="-63"/>
        </w:rPr>
        <w:t> </w:t>
      </w:r>
      <w:r>
        <w:rPr>
          <w:spacing w:val="-63"/>
        </w:rPr>
      </w:r>
      <w:r>
        <w:rPr/>
        <w:t>用，建立合作生态。以智慧园区应用开发服务为基础，组建软件开发服务团队，进一步扩大与华为的合作规模。</w:t>
      </w:r>
    </w:p>
    <w:p>
      <w:pPr>
        <w:pStyle w:val="BodyText"/>
        <w:spacing w:line="316" w:lineRule="auto" w:before="19"/>
        <w:ind w:right="1133" w:firstLine="360"/>
        <w:jc w:val="both"/>
      </w:pPr>
      <w:r>
        <w:rPr>
          <w:spacing w:val="-2"/>
        </w:rPr>
        <w:t>公司管理层面，</w:t>
      </w:r>
      <w:r>
        <w:rPr>
          <w:rFonts w:ascii="宋体" w:hAnsi="宋体" w:cs="宋体" w:eastAsia="宋体" w:hint="default"/>
          <w:spacing w:val="-2"/>
        </w:rPr>
        <w:t>2020</w:t>
      </w:r>
      <w:r>
        <w:rPr>
          <w:spacing w:val="-2"/>
        </w:rPr>
        <w:t>年将进一步优化事业部管理体系，形成产品销售和支持体系、行业市场体系、战略客户与重大项目</w:t>
      </w:r>
      <w:r>
        <w:rPr/>
        <w:t> </w:t>
      </w:r>
      <w:r>
        <w:rPr>
          <w:spacing w:val="-2"/>
        </w:rPr>
        <w:t>管理体系的高度协同；强化风险控制，加强风险识别，完善审核制度。随着公司业务规模的快速扩大，公司资金运营能力面</w:t>
      </w:r>
      <w:r>
        <w:rPr>
          <w:spacing w:val="-67"/>
        </w:rPr>
        <w:t> </w:t>
      </w:r>
      <w:r>
        <w:rPr>
          <w:spacing w:val="-67"/>
        </w:rPr>
      </w:r>
      <w:r>
        <w:rPr/>
        <w:t>临巨大挑战，公司将加强与金融机构的合作，合理利用多种金融工具，扩大信贷融资规模。</w:t>
      </w:r>
    </w:p>
    <w:p>
      <w:pPr>
        <w:spacing w:line="240" w:lineRule="auto" w:before="4"/>
        <w:rPr>
          <w:rFonts w:ascii="宋体" w:hAnsi="宋体" w:cs="宋体" w:eastAsia="宋体" w:hint="default"/>
          <w:sz w:val="25"/>
          <w:szCs w:val="25"/>
        </w:rPr>
      </w:pPr>
    </w:p>
    <w:p>
      <w:pPr>
        <w:pStyle w:val="BodyText"/>
        <w:spacing w:line="316" w:lineRule="auto"/>
        <w:ind w:left="473" w:right="9043"/>
        <w:jc w:val="left"/>
      </w:pPr>
      <w:r>
        <w:rPr/>
        <w:t>（三）风险因素 </w:t>
      </w:r>
      <w:r>
        <w:rPr>
          <w:rFonts w:ascii="宋体" w:hAnsi="宋体" w:cs="宋体" w:eastAsia="宋体" w:hint="default"/>
        </w:rPr>
        <w:t>1</w:t>
      </w:r>
      <w:r>
        <w:rPr/>
        <w:t>、客户集中风险</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2" w:firstLine="360"/>
        <w:jc w:val="both"/>
      </w:pPr>
      <w:r>
        <w:rPr>
          <w:spacing w:val="-2"/>
        </w:rPr>
        <w:t>公司面向大中型企业客户，提供</w:t>
      </w:r>
      <w:r>
        <w:rPr>
          <w:rFonts w:ascii="宋体" w:hAnsi="宋体" w:cs="宋体" w:eastAsia="宋体" w:hint="default"/>
          <w:spacing w:val="-2"/>
        </w:rPr>
        <w:t>IT</w:t>
      </w:r>
      <w:r>
        <w:rPr>
          <w:spacing w:val="-2"/>
        </w:rPr>
        <w:t>解决方案及服务。</w:t>
      </w:r>
      <w:r>
        <w:rPr>
          <w:rFonts w:ascii="宋体" w:hAnsi="宋体" w:cs="宋体" w:eastAsia="宋体" w:hint="default"/>
          <w:spacing w:val="-2"/>
        </w:rPr>
        <w:t>2019</w:t>
      </w:r>
      <w:r>
        <w:rPr>
          <w:spacing w:val="-2"/>
        </w:rPr>
        <w:t>年，公司来自前五大客户的收入占营业总收入的比重较高，为</w:t>
      </w:r>
      <w:r>
        <w:rPr/>
        <w:t> </w:t>
      </w:r>
      <w:r>
        <w:rPr>
          <w:rFonts w:ascii="宋体" w:hAnsi="宋体" w:cs="宋体" w:eastAsia="宋体" w:hint="default"/>
        </w:rPr>
        <w:t>61%</w:t>
      </w:r>
      <w:r>
        <w:rPr/>
        <w:t>。若公司主要客户放缓信息化建设的速度；或采购政策等发生变化，采购规模出现下降；则公司会由于客户较为集中、</w:t>
      </w:r>
      <w:r>
        <w:rPr>
          <w:spacing w:val="-85"/>
        </w:rPr>
        <w:t> </w:t>
      </w:r>
      <w:r>
        <w:rPr>
          <w:spacing w:val="-85"/>
        </w:rPr>
      </w:r>
      <w:r>
        <w:rPr/>
        <w:t>对单一客户销售收入占比较高而面临经营波动的风险。</w:t>
      </w:r>
    </w:p>
    <w:p>
      <w:pPr>
        <w:pStyle w:val="BodyText"/>
        <w:spacing w:line="316" w:lineRule="auto" w:before="17"/>
        <w:ind w:left="473" w:right="1129"/>
        <w:jc w:val="left"/>
      </w:pPr>
      <w:r>
        <w:rPr>
          <w:rFonts w:ascii="宋体" w:hAnsi="宋体" w:cs="宋体" w:eastAsia="宋体" w:hint="default"/>
        </w:rPr>
        <w:t>2</w:t>
      </w:r>
      <w:r>
        <w:rPr/>
        <w:t>、市场竞争风险 </w:t>
      </w:r>
      <w:r>
        <w:rPr>
          <w:spacing w:val="-2"/>
        </w:rPr>
        <w:t>虽然企业</w:t>
      </w:r>
      <w:r>
        <w:rPr>
          <w:rFonts w:ascii="宋体" w:hAnsi="宋体" w:cs="宋体" w:eastAsia="宋体" w:hint="default"/>
          <w:spacing w:val="-2"/>
        </w:rPr>
        <w:t>IT</w:t>
      </w:r>
      <w:r>
        <w:rPr>
          <w:spacing w:val="-2"/>
        </w:rPr>
        <w:t>服务行业市场容量较大，但由于服务商较多、竞争格局高度分散，且公司的主要竞争对手亦在不断进步，公</w:t>
      </w:r>
    </w:p>
    <w:p>
      <w:pPr>
        <w:pStyle w:val="BodyText"/>
        <w:spacing w:line="240" w:lineRule="auto" w:before="19"/>
        <w:ind w:right="0"/>
        <w:jc w:val="both"/>
      </w:pPr>
      <w:r>
        <w:rPr/>
        <w:t>司在行业市场中尚未占据绝对优势，使公司面临如下市场压力：</w:t>
      </w:r>
    </w:p>
    <w:p>
      <w:pPr>
        <w:pStyle w:val="BodyText"/>
        <w:spacing w:line="316" w:lineRule="auto" w:before="76"/>
        <w:ind w:right="1133" w:firstLine="360"/>
        <w:jc w:val="both"/>
      </w:pPr>
      <w:r>
        <w:rPr/>
        <w:t>（</w:t>
      </w:r>
      <w:r>
        <w:rPr>
          <w:rFonts w:ascii="宋体" w:hAnsi="宋体" w:cs="宋体" w:eastAsia="宋体" w:hint="default"/>
        </w:rPr>
        <w:t>1</w:t>
      </w:r>
      <w:r>
        <w:rPr/>
        <w:t>）公司目前主要客户为国有大型商业银行、股份制商业银行与省级农信社，对中小银行市场覆盖不足。由于服务商 纷纷看好中小银行市场，参与竞争的服务商快速增加，使公司在这一细分市场的拓展中面临较激烈的市场竞争。</w:t>
      </w:r>
    </w:p>
    <w:p>
      <w:pPr>
        <w:pStyle w:val="BodyText"/>
        <w:spacing w:line="316" w:lineRule="auto" w:before="19"/>
        <w:ind w:right="1133" w:firstLine="360"/>
        <w:jc w:val="both"/>
      </w:pPr>
      <w:r>
        <w:rPr/>
        <w:t>（</w:t>
      </w:r>
      <w:r>
        <w:rPr>
          <w:rFonts w:ascii="宋体" w:hAnsi="宋体" w:cs="宋体" w:eastAsia="宋体" w:hint="default"/>
        </w:rPr>
        <w:t>2</w:t>
      </w:r>
      <w:r>
        <w:rPr/>
        <w:t>）由于银行业</w:t>
      </w:r>
      <w:r>
        <w:rPr>
          <w:rFonts w:ascii="宋体" w:hAnsi="宋体" w:cs="宋体" w:eastAsia="宋体" w:hint="default"/>
        </w:rPr>
        <w:t>IT</w:t>
      </w:r>
      <w:r>
        <w:rPr/>
        <w:t>系统的复杂性，银行对服务商的选择与更换较为慎重，如果其他服务商已经在为公司的目标客户服 务，则将拥有较强的先发优势，使公司在争取业务机会时面临较激烈的市场竞争。</w:t>
      </w:r>
    </w:p>
    <w:p>
      <w:pPr>
        <w:pStyle w:val="BodyText"/>
        <w:spacing w:line="316" w:lineRule="auto" w:before="19"/>
        <w:ind w:right="1043" w:firstLine="360"/>
        <w:jc w:val="both"/>
      </w:pPr>
      <w:r>
        <w:rPr>
          <w:spacing w:val="-2"/>
        </w:rPr>
        <w:t>（</w:t>
      </w:r>
      <w:r>
        <w:rPr>
          <w:rFonts w:ascii="宋体" w:hAnsi="宋体" w:cs="宋体" w:eastAsia="宋体" w:hint="default"/>
          <w:spacing w:val="-2"/>
        </w:rPr>
        <w:t>3</w:t>
      </w:r>
      <w:r>
        <w:rPr>
          <w:spacing w:val="-2"/>
        </w:rPr>
        <w:t>）大型互联网企业已成为公司重要的收入来源，该类企业技术能力强，对供应商依赖程度较低，市场竞争更加激烈，</w:t>
      </w:r>
      <w:r>
        <w:rPr/>
        <w:t> 公司较容易因相关客户采购政策、采购规模变化，面临较大的经营波动风险。</w:t>
      </w:r>
    </w:p>
    <w:p>
      <w:pPr>
        <w:pStyle w:val="BodyText"/>
        <w:spacing w:line="316" w:lineRule="auto" w:before="19"/>
        <w:ind w:left="473" w:right="0"/>
        <w:jc w:val="left"/>
      </w:pPr>
      <w:r>
        <w:rPr>
          <w:rFonts w:ascii="宋体" w:hAnsi="宋体" w:cs="宋体" w:eastAsia="宋体" w:hint="default"/>
        </w:rPr>
        <w:t>3</w:t>
      </w:r>
      <w:r>
        <w:rPr/>
        <w:t>、毛利率波动风险 </w:t>
      </w:r>
      <w:r>
        <w:rPr>
          <w:spacing w:val="-2"/>
        </w:rPr>
        <w:t>公司主营业务分为</w:t>
      </w:r>
      <w:r>
        <w:rPr>
          <w:rFonts w:ascii="宋体" w:hAnsi="宋体" w:cs="宋体" w:eastAsia="宋体" w:hint="default"/>
          <w:spacing w:val="-2"/>
        </w:rPr>
        <w:t>IT</w:t>
      </w:r>
      <w:r>
        <w:rPr>
          <w:spacing w:val="-2"/>
        </w:rPr>
        <w:t>基础设施建设业务、软件解决方案业务及</w:t>
      </w:r>
      <w:r>
        <w:rPr>
          <w:rFonts w:ascii="宋体" w:hAnsi="宋体" w:cs="宋体" w:eastAsia="宋体" w:hint="default"/>
          <w:spacing w:val="-2"/>
        </w:rPr>
        <w:t>IT</w:t>
      </w:r>
      <w:r>
        <w:rPr>
          <w:spacing w:val="-2"/>
        </w:rPr>
        <w:t>运维服务业务。</w:t>
      </w:r>
      <w:r>
        <w:rPr>
          <w:rFonts w:ascii="宋体" w:hAnsi="宋体" w:cs="宋体" w:eastAsia="宋体" w:hint="default"/>
          <w:spacing w:val="-2"/>
        </w:rPr>
        <w:t>IT</w:t>
      </w:r>
      <w:r>
        <w:rPr>
          <w:spacing w:val="-2"/>
        </w:rPr>
        <w:t>基础设施建设业务行业竞争激烈，行</w:t>
      </w:r>
    </w:p>
    <w:p>
      <w:pPr>
        <w:pStyle w:val="BodyText"/>
        <w:spacing w:line="316" w:lineRule="auto" w:before="19"/>
        <w:ind w:right="1129"/>
        <w:jc w:val="both"/>
      </w:pPr>
      <w:r>
        <w:rPr>
          <w:spacing w:val="-2"/>
        </w:rPr>
        <w:t>业毛利率整体处于较低水平，上游设备生产厂商和下游客户的议价能力较强，毛利率受供应商和客户的影响较大。软件解决</w:t>
      </w:r>
      <w:r>
        <w:rPr>
          <w:spacing w:val="-62"/>
        </w:rPr>
        <w:t> </w:t>
      </w:r>
      <w:r>
        <w:rPr>
          <w:spacing w:val="-62"/>
        </w:rPr>
      </w:r>
      <w:r>
        <w:rPr>
          <w:spacing w:val="-2"/>
        </w:rPr>
        <w:t>方案业务和</w:t>
      </w:r>
      <w:r>
        <w:rPr>
          <w:rFonts w:ascii="宋体" w:hAnsi="宋体" w:cs="宋体" w:eastAsia="宋体" w:hint="default"/>
          <w:spacing w:val="-2"/>
        </w:rPr>
        <w:t>IT</w:t>
      </w:r>
      <w:r>
        <w:rPr>
          <w:spacing w:val="-2"/>
        </w:rPr>
        <w:t>运维服务业务的毛利率受人力成本、服务价格等因素的影响较大。如果公司经营模式、服务价格、技术更新速</w:t>
      </w:r>
      <w:r>
        <w:rPr>
          <w:spacing w:val="-63"/>
        </w:rPr>
        <w:t> </w:t>
      </w:r>
      <w:r>
        <w:rPr>
          <w:spacing w:val="-63"/>
        </w:rPr>
      </w:r>
      <w:r>
        <w:rPr>
          <w:spacing w:val="-2"/>
        </w:rPr>
        <w:t>度、市场竞争环境、人力资源成本等因素发生变化，可能导致公司各项业务的毛利率水平出现一定幅度的波动，从而影响公</w:t>
      </w:r>
      <w:r>
        <w:rPr>
          <w:spacing w:val="-64"/>
        </w:rPr>
        <w:t> </w:t>
      </w:r>
      <w:r>
        <w:rPr>
          <w:spacing w:val="-64"/>
        </w:rPr>
      </w:r>
      <w:r>
        <w:rPr/>
        <w:t>司的盈利水平。</w:t>
      </w:r>
    </w:p>
    <w:p>
      <w:pPr>
        <w:pStyle w:val="BodyText"/>
        <w:spacing w:line="316" w:lineRule="auto" w:before="19"/>
        <w:ind w:left="473" w:right="1133"/>
        <w:jc w:val="left"/>
      </w:pPr>
      <w:r>
        <w:rPr>
          <w:rFonts w:ascii="宋体" w:hAnsi="宋体" w:cs="宋体" w:eastAsia="宋体" w:hint="default"/>
        </w:rPr>
        <w:t>4</w:t>
      </w:r>
      <w:r>
        <w:rPr/>
        <w:t>、人力资源与人力成本风险 </w:t>
      </w:r>
      <w:r>
        <w:rPr>
          <w:rFonts w:ascii="宋体" w:hAnsi="宋体" w:cs="宋体" w:eastAsia="宋体" w:hint="default"/>
          <w:spacing w:val="-2"/>
        </w:rPr>
        <w:t>IT</w:t>
      </w:r>
      <w:r>
        <w:rPr>
          <w:spacing w:val="-2"/>
        </w:rPr>
        <w:t>服务行业是智力密集型行业，行业企业对人才争夺较为激烈。公司经过多年发展，建立起了技术精湛、经验丰富、团</w:t>
      </w:r>
    </w:p>
    <w:p>
      <w:pPr>
        <w:pStyle w:val="BodyText"/>
        <w:spacing w:line="316" w:lineRule="auto" w:before="19"/>
        <w:ind w:right="1051"/>
        <w:jc w:val="both"/>
      </w:pPr>
      <w:r>
        <w:rPr>
          <w:spacing w:val="-2"/>
        </w:rPr>
        <w:t>结合作的技术与管理团队，并成为公司市场竞争力的重要来源。若公司不能及时培养和引进所需的人才，则将对公司业务规</w:t>
      </w:r>
      <w:r>
        <w:rPr>
          <w:spacing w:val="-62"/>
        </w:rPr>
        <w:t> </w:t>
      </w:r>
      <w:r>
        <w:rPr>
          <w:spacing w:val="-62"/>
        </w:rPr>
      </w:r>
      <w:r>
        <w:rPr/>
        <w:t>模的扩大造成较大限制；若公司的核心研发人员、技术服务人员与管理人员流失，也将对公司竞争力的保持造成不利影响。</w:t>
      </w:r>
    </w:p>
    <w:p>
      <w:pPr>
        <w:pStyle w:val="BodyText"/>
        <w:spacing w:line="316" w:lineRule="auto" w:before="19"/>
        <w:ind w:right="1051" w:firstLine="360"/>
        <w:jc w:val="both"/>
      </w:pPr>
      <w:r>
        <w:rPr/>
        <w:t>近年来，随着国内物价水平的持续上涨，公司员工工资及福利也呈现上涨趋势，从而面临营业成本及费用上升的局面。 随着公司规模的扩大，若公司未能有效提高营业收入水平、控制人力成本，则将面临盈利能力下降的风险。</w:t>
      </w:r>
    </w:p>
    <w:p>
      <w:pPr>
        <w:pStyle w:val="BodyText"/>
        <w:spacing w:line="316" w:lineRule="auto" w:before="19"/>
        <w:ind w:left="473" w:right="1129"/>
        <w:jc w:val="left"/>
      </w:pPr>
      <w:r>
        <w:rPr>
          <w:rFonts w:ascii="宋体" w:hAnsi="宋体" w:cs="宋体" w:eastAsia="宋体" w:hint="default"/>
        </w:rPr>
        <w:t>5</w:t>
      </w:r>
      <w:r>
        <w:rPr/>
        <w:t>、技术风险 </w:t>
      </w:r>
      <w:r>
        <w:rPr>
          <w:rFonts w:ascii="宋体" w:hAnsi="宋体" w:cs="宋体" w:eastAsia="宋体" w:hint="default"/>
          <w:spacing w:val="-2"/>
        </w:rPr>
        <w:t>IT</w:t>
      </w:r>
      <w:r>
        <w:rPr>
          <w:spacing w:val="-2"/>
        </w:rPr>
        <w:t>技术发展迅速，技术和产品更新换代较快，对技术储备要求较高。公司的软件解决方案是基于自主平台软件、针对银</w:t>
      </w:r>
    </w:p>
    <w:p>
      <w:pPr>
        <w:pStyle w:val="BodyText"/>
        <w:spacing w:line="316" w:lineRule="auto" w:before="19"/>
        <w:ind w:right="1132"/>
        <w:jc w:val="both"/>
      </w:pPr>
      <w:r>
        <w:rPr>
          <w:spacing w:val="-2"/>
        </w:rPr>
        <w:t>行业特定应用需求而开发的，能够有效提升客户应用软件的开发效率。若公司不能持续创新以适应银行业特定应用需求的变</w:t>
      </w:r>
      <w:r>
        <w:rPr>
          <w:spacing w:val="-63"/>
        </w:rPr>
        <w:t> </w:t>
      </w:r>
      <w:r>
        <w:rPr>
          <w:spacing w:val="-63"/>
        </w:rPr>
      </w:r>
      <w:r>
        <w:rPr/>
        <w:t>化，或在技术开发方向上发生决策失误，则将对公司软件业务的市场前景造成较大的不利影响。</w:t>
      </w:r>
    </w:p>
    <w:p>
      <w:pPr>
        <w:pStyle w:val="BodyText"/>
        <w:spacing w:line="316" w:lineRule="auto" w:before="19"/>
        <w:ind w:right="1132" w:firstLine="360"/>
        <w:jc w:val="both"/>
      </w:pPr>
      <w:r>
        <w:rPr>
          <w:rFonts w:ascii="宋体" w:hAnsi="宋体" w:cs="宋体" w:eastAsia="宋体" w:hint="default"/>
          <w:spacing w:val="-2"/>
        </w:rPr>
        <w:t>IT</w:t>
      </w:r>
      <w:r>
        <w:rPr>
          <w:spacing w:val="-2"/>
        </w:rPr>
        <w:t>基础设施建设及</w:t>
      </w:r>
      <w:r>
        <w:rPr>
          <w:rFonts w:ascii="宋体" w:hAnsi="宋体" w:cs="宋体" w:eastAsia="宋体" w:hint="default"/>
          <w:spacing w:val="-2"/>
        </w:rPr>
        <w:t>IT</w:t>
      </w:r>
      <w:r>
        <w:rPr>
          <w:spacing w:val="-2"/>
        </w:rPr>
        <w:t>运维服务涉及到众多厂商的设备及系统软件。如果公司的技术储备不够充分或不能快速更新，则不</w:t>
      </w:r>
      <w:r>
        <w:rPr/>
        <w:t> 能高效满足客户的需求，公司可能丧失现有技术和市场的优势地位。</w:t>
      </w:r>
    </w:p>
    <w:p>
      <w:pPr>
        <w:pStyle w:val="BodyText"/>
        <w:spacing w:line="316" w:lineRule="auto" w:before="19"/>
        <w:ind w:right="1128" w:firstLine="360"/>
        <w:jc w:val="both"/>
      </w:pPr>
      <w:r>
        <w:rPr>
          <w:spacing w:val="-2"/>
        </w:rPr>
        <w:t>信息技术发展变化较快，目前，云计算、大数据、移动互联网等技术的成熟为企业信息系统开拓了新的发展方向，并在</w:t>
      </w:r>
      <w:r>
        <w:rPr/>
        <w:t> </w:t>
      </w:r>
      <w:r>
        <w:rPr>
          <w:spacing w:val="-2"/>
        </w:rPr>
        <w:t>基础架构、运行性能上对软硬件系统水平提出了更高的要求。若公司的产品与服务不能准确把握行业技术的发展趋势，或不</w:t>
      </w:r>
      <w:r>
        <w:rPr>
          <w:spacing w:val="-61"/>
        </w:rPr>
        <w:t> </w:t>
      </w:r>
      <w:r>
        <w:rPr>
          <w:spacing w:val="-61"/>
        </w:rPr>
      </w:r>
      <w:r>
        <w:rPr/>
        <w:t>能将新技术应用于公司产品的开发和升级，将使公司面临一定的技术风险。</w:t>
      </w:r>
    </w:p>
    <w:p>
      <w:pPr>
        <w:pStyle w:val="BodyText"/>
        <w:spacing w:line="240" w:lineRule="auto" w:before="19"/>
        <w:ind w:left="473" w:right="1133"/>
        <w:jc w:val="left"/>
      </w:pPr>
      <w:r>
        <w:rPr>
          <w:rFonts w:ascii="宋体" w:hAnsi="宋体" w:cs="宋体" w:eastAsia="宋体" w:hint="default"/>
        </w:rPr>
        <w:t>6</w:t>
      </w:r>
      <w:r>
        <w:rPr/>
        <w:t>、应收账款回收风险</w:t>
      </w:r>
    </w:p>
    <w:p>
      <w:pPr>
        <w:pStyle w:val="BodyText"/>
        <w:spacing w:line="240" w:lineRule="auto" w:before="76"/>
        <w:ind w:left="473" w:right="0"/>
        <w:jc w:val="left"/>
      </w:pPr>
      <w:r>
        <w:rPr>
          <w:rFonts w:ascii="宋体" w:hAnsi="宋体" w:cs="宋体" w:eastAsia="宋体" w:hint="default"/>
        </w:rPr>
        <w:t>2017</w:t>
      </w:r>
      <w:r>
        <w:rPr/>
        <w:t>年至</w:t>
      </w:r>
      <w:r>
        <w:rPr>
          <w:rFonts w:ascii="宋体" w:hAnsi="宋体" w:cs="宋体" w:eastAsia="宋体" w:hint="default"/>
        </w:rPr>
        <w:t>2019</w:t>
      </w:r>
      <w:r>
        <w:rPr/>
        <w:t>年，公司应收账款分别为</w:t>
      </w:r>
      <w:r>
        <w:rPr>
          <w:rFonts w:ascii="宋体" w:hAnsi="宋体" w:cs="宋体" w:eastAsia="宋体" w:hint="default"/>
        </w:rPr>
        <w:t>52,272.60</w:t>
      </w:r>
      <w:r>
        <w:rPr/>
        <w:t>万元、</w:t>
      </w:r>
      <w:r>
        <w:rPr>
          <w:rFonts w:ascii="宋体" w:hAnsi="宋体" w:cs="宋体" w:eastAsia="宋体" w:hint="default"/>
        </w:rPr>
        <w:t>46,629.57</w:t>
      </w:r>
      <w:r>
        <w:rPr/>
        <w:t>万元和</w:t>
      </w:r>
      <w:r>
        <w:rPr>
          <w:rFonts w:ascii="宋体" w:hAnsi="宋体" w:cs="宋体" w:eastAsia="宋体" w:hint="default"/>
        </w:rPr>
        <w:t>57,658.51</w:t>
      </w:r>
      <w:r>
        <w:rPr/>
        <w:t>万元，占总资产比重分别为</w:t>
      </w:r>
      <w:r>
        <w:rPr>
          <w:rFonts w:ascii="宋体" w:hAnsi="宋体" w:cs="宋体" w:eastAsia="宋体" w:hint="default"/>
        </w:rPr>
        <w:t>39.30%</w:t>
      </w:r>
      <w:r>
        <w:rPr/>
        <w:t>、</w:t>
      </w:r>
    </w:p>
    <w:p>
      <w:pPr>
        <w:pStyle w:val="BodyText"/>
        <w:spacing w:line="316" w:lineRule="auto" w:before="77"/>
        <w:ind w:right="1129"/>
        <w:jc w:val="both"/>
      </w:pPr>
      <w:r>
        <w:rPr>
          <w:rFonts w:ascii="宋体" w:hAnsi="宋体" w:cs="宋体" w:eastAsia="宋体" w:hint="default"/>
        </w:rPr>
        <w:t>35.36%</w:t>
      </w:r>
      <w:r>
        <w:rPr/>
        <w:t>和</w:t>
      </w:r>
      <w:r>
        <w:rPr>
          <w:rFonts w:ascii="宋体" w:hAnsi="宋体" w:cs="宋体" w:eastAsia="宋体" w:hint="default"/>
        </w:rPr>
        <w:t>30.88%</w:t>
      </w:r>
      <w:r>
        <w:rPr/>
        <w:t>，是公司资产的重要组成部分。截至报告期末，账龄在</w:t>
      </w:r>
      <w:r>
        <w:rPr>
          <w:rFonts w:ascii="宋体" w:hAnsi="宋体" w:cs="宋体" w:eastAsia="宋体" w:hint="default"/>
        </w:rPr>
        <w:t>1</w:t>
      </w:r>
      <w:r>
        <w:rPr/>
        <w:t>年以内的应收账款账面余额占公司应收账款账面余</w:t>
      </w:r>
      <w:r>
        <w:rPr>
          <w:spacing w:val="-84"/>
        </w:rPr>
        <w:t> </w:t>
      </w:r>
      <w:r>
        <w:rPr>
          <w:spacing w:val="-84"/>
        </w:rPr>
      </w:r>
      <w:r>
        <w:rPr>
          <w:spacing w:val="-2"/>
        </w:rPr>
        <w:t>额的比重为</w:t>
      </w:r>
      <w:r>
        <w:rPr>
          <w:rFonts w:ascii="宋体" w:hAnsi="宋体" w:cs="宋体" w:eastAsia="宋体" w:hint="default"/>
          <w:spacing w:val="-2"/>
        </w:rPr>
        <w:t>91.93%</w:t>
      </w:r>
      <w:r>
        <w:rPr>
          <w:spacing w:val="-2"/>
        </w:rPr>
        <w:t>。公司主要应收账款来自大中型企业客户，客户信誉较高。尽管如此，若主要客户经营状况发生重大不利</w:t>
      </w:r>
      <w:r>
        <w:rPr>
          <w:spacing w:val="-62"/>
        </w:rPr>
        <w:t> </w:t>
      </w:r>
      <w:r>
        <w:rPr>
          <w:spacing w:val="-62"/>
        </w:rPr>
      </w:r>
      <w:r>
        <w:rPr/>
        <w:t>变化，应收账款不能及时收回或产生坏账，将对公司资产质量以及财务状况产生较大不利影响。</w:t>
      </w:r>
    </w:p>
    <w:p>
      <w:pPr>
        <w:pStyle w:val="BodyText"/>
        <w:spacing w:line="316" w:lineRule="auto" w:before="19"/>
        <w:ind w:left="473" w:right="1129"/>
        <w:jc w:val="left"/>
      </w:pPr>
      <w:r>
        <w:rPr>
          <w:rFonts w:ascii="宋体" w:hAnsi="宋体" w:cs="宋体" w:eastAsia="宋体" w:hint="default"/>
        </w:rPr>
        <w:t>7</w:t>
      </w:r>
      <w:r>
        <w:rPr/>
        <w:t>、收入及净利润季节性波动风险 </w:t>
      </w:r>
      <w:r>
        <w:rPr>
          <w:spacing w:val="-2"/>
        </w:rPr>
        <w:t>公司的主要客户为以银行为主的大中型企业，行业用户的采购计划主要在上年年底到第二年的一季度制定，需经过方案</w:t>
      </w:r>
    </w:p>
    <w:p>
      <w:pPr>
        <w:pStyle w:val="BodyText"/>
        <w:spacing w:line="316" w:lineRule="auto" w:before="19"/>
        <w:ind w:right="1131"/>
        <w:jc w:val="both"/>
      </w:pPr>
      <w:r>
        <w:rPr>
          <w:spacing w:val="-2"/>
        </w:rPr>
        <w:t>审查、立项批复、采购申请、招投标、合同签订等严格的程序，这导致产品采购主要集中在每年下半年完成。受此影响，服</w:t>
      </w:r>
      <w:r>
        <w:rPr>
          <w:spacing w:val="-73"/>
        </w:rPr>
        <w:t> </w:t>
      </w:r>
      <w:r>
        <w:rPr>
          <w:spacing w:val="-73"/>
        </w:rPr>
      </w:r>
      <w:r>
        <w:rPr>
          <w:spacing w:val="-2"/>
        </w:rPr>
        <w:t>务商的收入多数在每年下半年才能得以确认，经营业绩存在明显的季节性特征。从公司上、下半年营业收入、净利润占全年</w:t>
      </w:r>
      <w:r>
        <w:rPr>
          <w:spacing w:val="-64"/>
        </w:rPr>
        <w:t> </w:t>
      </w:r>
      <w:r>
        <w:rPr>
          <w:spacing w:val="-64"/>
        </w:rPr>
      </w:r>
      <w:r>
        <w:rPr>
          <w:spacing w:val="-2"/>
        </w:rPr>
        <w:t>比重来看，公司下半年营业收入及净利润占全年收入比重较高，呈现较强的季节性特征，投资者不宜以季度或半年度数据推</w:t>
      </w:r>
      <w:r>
        <w:rPr>
          <w:spacing w:val="-63"/>
        </w:rPr>
        <w:t> </w:t>
      </w:r>
      <w:r>
        <w:rPr>
          <w:spacing w:val="-63"/>
        </w:rPr>
      </w:r>
      <w:r>
        <w:rPr/>
        <w:t>测公司全年业绩情况。</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left="473" w:right="1133"/>
        <w:jc w:val="left"/>
      </w:pPr>
      <w:r>
        <w:rPr>
          <w:rFonts w:ascii="宋体" w:hAnsi="宋体" w:cs="宋体" w:eastAsia="宋体" w:hint="default"/>
        </w:rPr>
        <w:t>8</w:t>
      </w:r>
      <w:r>
        <w:rPr/>
        <w:t>、股权分散风险 </w:t>
      </w:r>
      <w:r>
        <w:rPr>
          <w:spacing w:val="-2"/>
        </w:rPr>
        <w:t>本公司现有总股本</w:t>
      </w:r>
      <w:r>
        <w:rPr>
          <w:rFonts w:ascii="宋体" w:hAnsi="宋体" w:cs="宋体" w:eastAsia="宋体" w:hint="default"/>
          <w:spacing w:val="-2"/>
        </w:rPr>
        <w:t>18,109.67</w:t>
      </w:r>
      <w:r>
        <w:rPr>
          <w:spacing w:val="-2"/>
        </w:rPr>
        <w:t>万股，第一大股东范丽明女士持股比例为</w:t>
      </w:r>
      <w:r>
        <w:rPr>
          <w:rFonts w:ascii="宋体" w:hAnsi="宋体" w:cs="宋体" w:eastAsia="宋体" w:hint="default"/>
          <w:spacing w:val="-2"/>
        </w:rPr>
        <w:t>6.06%</w:t>
      </w:r>
      <w:r>
        <w:rPr>
          <w:spacing w:val="-2"/>
        </w:rPr>
        <w:t>，前五大股东持股比例为</w:t>
      </w:r>
      <w:r>
        <w:rPr>
          <w:rFonts w:ascii="宋体" w:hAnsi="宋体" w:cs="宋体" w:eastAsia="宋体" w:hint="default"/>
          <w:spacing w:val="-2"/>
        </w:rPr>
        <w:t>25.38%</w:t>
      </w:r>
      <w:r>
        <w:rPr>
          <w:spacing w:val="-2"/>
        </w:rPr>
        <w:t>，公司股权</w:t>
      </w:r>
    </w:p>
    <w:p>
      <w:pPr>
        <w:pStyle w:val="BodyText"/>
        <w:spacing w:line="316" w:lineRule="auto" w:before="17"/>
        <w:ind w:right="1129"/>
        <w:jc w:val="left"/>
      </w:pPr>
      <w:r>
        <w:rPr>
          <w:spacing w:val="-2"/>
        </w:rPr>
        <w:t>相对分散，使得公司有可能成为被收购对象，如果公司被收购，会导致公司控制权发生变化，可能会给公司业务或经营管理</w:t>
      </w:r>
      <w:r>
        <w:rPr>
          <w:spacing w:val="-65"/>
        </w:rPr>
        <w:t> </w:t>
      </w:r>
      <w:r>
        <w:rPr>
          <w:spacing w:val="-65"/>
        </w:rPr>
      </w:r>
      <w:r>
        <w:rPr/>
        <w:t>等带来一定影响。</w:t>
      </w:r>
    </w:p>
    <w:p>
      <w:pPr>
        <w:pStyle w:val="BodyText"/>
        <w:spacing w:line="316" w:lineRule="auto" w:before="19"/>
        <w:ind w:left="473" w:right="1129"/>
        <w:jc w:val="left"/>
      </w:pPr>
      <w:r>
        <w:rPr>
          <w:rFonts w:ascii="宋体" w:hAnsi="宋体" w:cs="宋体" w:eastAsia="宋体" w:hint="default"/>
        </w:rPr>
        <w:t>9</w:t>
      </w:r>
      <w:r>
        <w:rPr/>
        <w:t>、对外投资收益波动风险 </w:t>
      </w:r>
      <w:r>
        <w:rPr>
          <w:spacing w:val="-2"/>
        </w:rPr>
        <w:t>公司对外投资收益对公司利润已产生明显的影响，报告期内，公司对外投资收益主要来自公司参与设立的共青城银汐投</w:t>
      </w:r>
    </w:p>
    <w:p>
      <w:pPr>
        <w:pStyle w:val="BodyText"/>
        <w:spacing w:line="316" w:lineRule="auto" w:before="19"/>
        <w:ind w:right="1129"/>
        <w:jc w:val="left"/>
      </w:pPr>
      <w:r>
        <w:rPr>
          <w:spacing w:val="-2"/>
        </w:rPr>
        <w:t>资管理合伙企业（有限合伙），该合伙企业为专业投资机构，其对外投资收益因市场波动可能出现较大幅度变动，甚至产生</w:t>
      </w:r>
      <w:r>
        <w:rPr>
          <w:spacing w:val="-64"/>
        </w:rPr>
        <w:t> </w:t>
      </w:r>
      <w:r>
        <w:rPr>
          <w:spacing w:val="-64"/>
        </w:rPr>
      </w:r>
      <w:r>
        <w:rPr/>
        <w:t>亏损，并对公司利润产生直接影响。</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614"/>
        <w:jc w:val="left"/>
      </w:pPr>
      <w:r>
        <w:rPr/>
        <w:t>□ 适用 √</w:t>
      </w:r>
      <w:r>
        <w:rPr>
          <w:spacing w:val="3"/>
        </w:rPr>
        <w:t> </w:t>
      </w:r>
      <w:r>
        <w:rPr/>
        <w:t>不适用</w:t>
      </w:r>
      <w:r>
        <w:rPr/>
        <w:t> 公司报告期内未发生接待调研、沟通、采访等活动。</w:t>
      </w:r>
    </w:p>
    <w:p>
      <w:pPr>
        <w:spacing w:after="0" w:line="36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70"/>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57" w:lineRule="auto" w:before="117"/>
        <w:ind w:right="7514"/>
        <w:jc w:val="left"/>
      </w:pPr>
      <w:r>
        <w:rPr/>
        <w:t>√ 适用 □</w:t>
      </w:r>
      <w:r>
        <w:rPr>
          <w:spacing w:val="3"/>
        </w:rPr>
        <w:t> </w:t>
      </w:r>
      <w:r>
        <w:rPr/>
        <w:t>不适用</w:t>
      </w:r>
      <w:r>
        <w:rPr/>
        <w:t> 报告期，公司执行的利润分配政策如下：</w:t>
      </w:r>
    </w:p>
    <w:p>
      <w:pPr>
        <w:pStyle w:val="BodyText"/>
        <w:spacing w:line="224" w:lineRule="exact"/>
        <w:ind w:left="473" w:right="0"/>
        <w:jc w:val="left"/>
      </w:pPr>
      <w:r>
        <w:rPr>
          <w:rFonts w:ascii="宋体" w:hAnsi="宋体" w:cs="宋体" w:eastAsia="宋体" w:hint="default"/>
          <w:spacing w:val="1"/>
        </w:rPr>
        <w:t>1</w:t>
      </w:r>
      <w:r>
        <w:rPr>
          <w:spacing w:val="-89"/>
        </w:rPr>
        <w:t>、</w:t>
      </w:r>
      <w:r>
        <w:rPr/>
        <w:t>《公司章程》第一</w:t>
      </w:r>
      <w:r>
        <w:rPr>
          <w:spacing w:val="-1"/>
        </w:rPr>
        <w:t>百</w:t>
      </w:r>
      <w:r>
        <w:rPr/>
        <w:t>五十四条规定，公司分配当年税后</w:t>
      </w:r>
      <w:r>
        <w:rPr>
          <w:spacing w:val="2"/>
        </w:rPr>
        <w:t>利</w:t>
      </w:r>
      <w:r>
        <w:rPr/>
        <w:t>润时，应当提取利润</w:t>
      </w:r>
      <w:r>
        <w:rPr>
          <w:spacing w:val="1"/>
        </w:rPr>
        <w:t>的</w:t>
      </w:r>
      <w:r>
        <w:rPr>
          <w:rFonts w:ascii="宋体" w:hAnsi="宋体" w:cs="宋体" w:eastAsia="宋体" w:hint="default"/>
          <w:spacing w:val="1"/>
        </w:rPr>
        <w:t>10%</w:t>
      </w:r>
      <w:r>
        <w:rPr/>
        <w:t>列</w:t>
      </w:r>
      <w:r>
        <w:rPr>
          <w:spacing w:val="-3"/>
        </w:rPr>
        <w:t>入</w:t>
      </w:r>
      <w:r>
        <w:rPr/>
        <w:t>公司法定公积金。公司法定</w:t>
      </w:r>
    </w:p>
    <w:p>
      <w:pPr>
        <w:pStyle w:val="BodyText"/>
        <w:spacing w:line="319" w:lineRule="auto" w:before="76"/>
        <w:ind w:left="473" w:right="0" w:hanging="361"/>
        <w:jc w:val="left"/>
      </w:pPr>
      <w:r>
        <w:rPr/>
        <w:t>公积金累计额为公司注册资本的</w:t>
      </w:r>
      <w:r>
        <w:rPr>
          <w:rFonts w:ascii="宋体" w:hAnsi="宋体" w:cs="宋体" w:eastAsia="宋体" w:hint="default"/>
        </w:rPr>
        <w:t>50%</w:t>
      </w:r>
      <w:r>
        <w:rPr/>
        <w:t>以上的，可以不再提取。</w:t>
      </w:r>
      <w:r>
        <w:rPr>
          <w:spacing w:val="-87"/>
        </w:rPr>
        <w:t> </w:t>
      </w:r>
      <w:r>
        <w:rPr/>
        <w:t>公司的法定公积金不足以弥补以前年度亏损的，在依照前款规定提取法定公积金之前，应当先用当年利润弥补亏损。 公司从税后利润中提取法定公积金后，经股东大会决议，还可以从税后利润中提取任意公积金。 </w:t>
      </w:r>
      <w:r>
        <w:rPr>
          <w:spacing w:val="-4"/>
        </w:rPr>
        <w:t>公司弥补亏损和提取公积金后所余税后利润，按照股东持有的股份比例分配，但公司章程规定不按持股比例分配的除外。</w:t>
      </w:r>
      <w:r>
        <w:rPr/>
        <w:t> </w:t>
      </w:r>
      <w:r>
        <w:rPr>
          <w:spacing w:val="-2"/>
        </w:rPr>
        <w:t>股东大会违反前款规定，在公司弥补亏损和提取法定公积金之前向股东分配利润的，股东必须将违反规定分配的利润退</w:t>
      </w:r>
    </w:p>
    <w:p>
      <w:pPr>
        <w:pStyle w:val="BodyText"/>
        <w:spacing w:line="240" w:lineRule="auto" w:before="17"/>
        <w:ind w:right="1133"/>
        <w:jc w:val="left"/>
      </w:pPr>
      <w:r>
        <w:rPr/>
        <w:t>还公司。</w:t>
      </w:r>
    </w:p>
    <w:p>
      <w:pPr>
        <w:pStyle w:val="BodyText"/>
        <w:spacing w:line="316" w:lineRule="auto" w:before="76"/>
        <w:ind w:left="473" w:right="1133"/>
        <w:jc w:val="left"/>
      </w:pPr>
      <w:r>
        <w:rPr/>
        <w:t>公司持有的本公司股份不参与分配利润。 </w:t>
      </w:r>
      <w:r>
        <w:rPr>
          <w:rFonts w:ascii="宋体" w:hAnsi="宋体" w:cs="宋体" w:eastAsia="宋体" w:hint="default"/>
          <w:spacing w:val="-3"/>
        </w:rPr>
        <w:t>2</w:t>
      </w:r>
      <w:r>
        <w:rPr>
          <w:spacing w:val="-3"/>
        </w:rPr>
        <w:t>、《公司章程》第一百五十六条规定，公司利润分配的原则、决策程序和机制如下：</w:t>
      </w:r>
    </w:p>
    <w:p>
      <w:pPr>
        <w:pStyle w:val="BodyText"/>
        <w:spacing w:line="316" w:lineRule="auto" w:before="19"/>
        <w:ind w:left="473" w:right="1129"/>
        <w:jc w:val="left"/>
      </w:pPr>
      <w:r>
        <w:rPr/>
        <w:t>（</w:t>
      </w:r>
      <w:r>
        <w:rPr>
          <w:rFonts w:ascii="宋体" w:hAnsi="宋体" w:cs="宋体" w:eastAsia="宋体" w:hint="default"/>
        </w:rPr>
        <w:t>1</w:t>
      </w:r>
      <w:r>
        <w:rPr/>
        <w:t>）利润分配政策的基本原则 </w:t>
      </w:r>
      <w:r>
        <w:rPr>
          <w:spacing w:val="-2"/>
        </w:rPr>
        <w:t>公司应根据自身的盈利情况、以前年度亏损弥补状况、未来的业务可持续发展规划、资金使用需求以及利润分配规划等</w:t>
      </w:r>
    </w:p>
    <w:p>
      <w:pPr>
        <w:pStyle w:val="BodyText"/>
        <w:spacing w:line="316" w:lineRule="auto" w:before="19"/>
        <w:ind w:right="1129"/>
        <w:jc w:val="left"/>
      </w:pPr>
      <w:r>
        <w:rPr>
          <w:spacing w:val="-2"/>
        </w:rPr>
        <w:t>因素，以实现股东持续、稳定、合理的回报为出发点，并经过董事会充分论证，并充分考虑独立董事、外部监事（若有）和</w:t>
      </w:r>
      <w:r>
        <w:rPr>
          <w:spacing w:val="-65"/>
        </w:rPr>
        <w:t> </w:t>
      </w:r>
      <w:r>
        <w:rPr>
          <w:spacing w:val="-65"/>
        </w:rPr>
      </w:r>
      <w:r>
        <w:rPr/>
        <w:t>中小股东意见的前提下，保持利润分配政策的连续性和稳定性。</w:t>
      </w:r>
    </w:p>
    <w:p>
      <w:pPr>
        <w:pStyle w:val="BodyText"/>
        <w:spacing w:line="240" w:lineRule="auto" w:before="19"/>
        <w:ind w:left="473" w:right="1133"/>
        <w:jc w:val="left"/>
      </w:pPr>
      <w:r>
        <w:rPr/>
        <w:t>公司应当严格执行本章程确定的利润分配政策以及股东大会审议批准的利润分配具体方案。</w:t>
      </w:r>
    </w:p>
    <w:p>
      <w:pPr>
        <w:pStyle w:val="BodyText"/>
        <w:spacing w:line="316" w:lineRule="auto" w:before="77"/>
        <w:ind w:left="473" w:right="1129"/>
        <w:jc w:val="left"/>
      </w:pPr>
      <w:r>
        <w:rPr/>
        <w:t>（</w:t>
      </w:r>
      <w:r>
        <w:rPr>
          <w:rFonts w:ascii="宋体" w:hAnsi="宋体" w:cs="宋体" w:eastAsia="宋体" w:hint="default"/>
        </w:rPr>
        <w:t>2</w:t>
      </w:r>
      <w:r>
        <w:rPr/>
        <w:t>）利润分配政策的决策程序和机制 </w:t>
      </w:r>
      <w:r>
        <w:rPr>
          <w:spacing w:val="-2"/>
        </w:rPr>
        <w:t>董事会应于年度报告或半年度报告公布后两个月内，制定利润分配预案，该预案应经全体董事过半数表决通过，独立董</w:t>
      </w:r>
    </w:p>
    <w:p>
      <w:pPr>
        <w:pStyle w:val="BodyText"/>
        <w:spacing w:line="316" w:lineRule="auto" w:before="19"/>
        <w:ind w:right="1129"/>
        <w:jc w:val="left"/>
      </w:pPr>
      <w:r>
        <w:rPr>
          <w:spacing w:val="-2"/>
        </w:rPr>
        <w:t>事应对利润分配预案发表明确意见。董事会在制定现金分红具体方案时，应当认真研究和论证公司现金分红的时机、条件和</w:t>
      </w:r>
      <w:r>
        <w:rPr>
          <w:spacing w:val="-63"/>
        </w:rPr>
        <w:t> </w:t>
      </w:r>
      <w:r>
        <w:rPr>
          <w:spacing w:val="-63"/>
        </w:rPr>
      </w:r>
      <w:r>
        <w:rPr/>
        <w:t>最低比例、调整的条件及其决策程序要求等事宜。</w:t>
      </w:r>
    </w:p>
    <w:p>
      <w:pPr>
        <w:pStyle w:val="BodyText"/>
        <w:spacing w:line="316" w:lineRule="auto" w:before="19"/>
        <w:ind w:right="1133" w:firstLine="360"/>
        <w:jc w:val="both"/>
      </w:pPr>
      <w:r>
        <w:rPr>
          <w:spacing w:val="-2"/>
        </w:rPr>
        <w:t>公司监事会应对利润分配预案进行审议，并经全体监事过半数表决通过，外部监事（若有）应对利润分配预案发表明确</w:t>
      </w:r>
      <w:r>
        <w:rPr/>
        <w:t> 意见。</w:t>
      </w:r>
    </w:p>
    <w:p>
      <w:pPr>
        <w:pStyle w:val="BodyText"/>
        <w:spacing w:line="316" w:lineRule="auto" w:before="19"/>
        <w:ind w:right="1051" w:firstLine="360"/>
        <w:jc w:val="both"/>
      </w:pPr>
      <w:r>
        <w:rPr>
          <w:spacing w:val="-2"/>
        </w:rPr>
        <w:t>利润分配预案经董事会和监事会审议通过后提交公司股东大会审议。股东大会对现金分红具体方案进行审议前，公司应</w:t>
      </w:r>
      <w:r>
        <w:rPr/>
        <w:t> </w:t>
      </w:r>
      <w:r>
        <w:rPr>
          <w:spacing w:val="-2"/>
        </w:rPr>
        <w:t>当通过多种渠道主动与股东特别是中小股东进行沟通和交流，充分听取中小股东的意见和诉求，及时答复中小股东关心的问</w:t>
      </w:r>
      <w:r>
        <w:rPr>
          <w:spacing w:val="-64"/>
        </w:rPr>
        <w:t> </w:t>
      </w:r>
      <w:r>
        <w:rPr>
          <w:spacing w:val="-64"/>
        </w:rPr>
      </w:r>
      <w:r>
        <w:rPr/>
        <w:t>题。股东大会对利润分配相关方案进行审议时，应采取现场投票和网络投票相结合的方式，便于中小股东充分行使表决权。</w:t>
      </w:r>
    </w:p>
    <w:p>
      <w:pPr>
        <w:pStyle w:val="BodyText"/>
        <w:spacing w:line="316" w:lineRule="auto" w:before="19"/>
        <w:ind w:right="1037" w:firstLine="360"/>
        <w:jc w:val="both"/>
      </w:pPr>
      <w:r>
        <w:rPr>
          <w:spacing w:val="-8"/>
        </w:rPr>
        <w:t>除下述第（四）项另有规定外，利润分配预案应当经出席股东大会的股东（包括股东代理人）所持表决权的二分之一（</w:t>
      </w:r>
      <w:r>
        <w:rPr>
          <w:rFonts w:ascii="宋体" w:hAnsi="宋体" w:cs="宋体" w:eastAsia="宋体" w:hint="default"/>
          <w:spacing w:val="-8"/>
        </w:rPr>
        <w:t>1/2</w:t>
      </w:r>
      <w:r>
        <w:rPr>
          <w:spacing w:val="-8"/>
        </w:rPr>
        <w:t>）</w:t>
      </w:r>
      <w:r>
        <w:rPr/>
        <w:t> 以上通过。</w:t>
      </w:r>
    </w:p>
    <w:p>
      <w:pPr>
        <w:pStyle w:val="BodyText"/>
        <w:spacing w:line="319" w:lineRule="auto" w:before="19"/>
        <w:ind w:left="473" w:right="1123"/>
        <w:jc w:val="left"/>
      </w:pPr>
      <w:r>
        <w:rPr/>
        <w:t>（</w:t>
      </w:r>
      <w:r>
        <w:rPr>
          <w:rFonts w:ascii="宋体" w:hAnsi="宋体" w:cs="宋体" w:eastAsia="宋体" w:hint="default"/>
        </w:rPr>
        <w:t>3</w:t>
      </w:r>
      <w:r>
        <w:rPr/>
        <w:t>）利润分配的实施 公司股东大会对利润分配方案作出决议后，公司董事会须在股东大会召开后</w:t>
      </w:r>
      <w:r>
        <w:rPr>
          <w:rFonts w:ascii="宋体" w:hAnsi="宋体" w:cs="宋体" w:eastAsia="宋体" w:hint="default"/>
        </w:rPr>
        <w:t>2</w:t>
      </w:r>
      <w:r>
        <w:rPr/>
        <w:t>个月内完成股利（或股份）的派发事项。</w:t>
      </w:r>
    </w:p>
    <w:p>
      <w:pPr>
        <w:pStyle w:val="BodyText"/>
        <w:spacing w:line="316" w:lineRule="auto" w:before="17"/>
        <w:ind w:left="473" w:right="1129"/>
        <w:jc w:val="left"/>
      </w:pPr>
      <w:r>
        <w:rPr/>
        <w:t>（</w:t>
      </w:r>
      <w:r>
        <w:rPr>
          <w:rFonts w:ascii="宋体" w:hAnsi="宋体" w:cs="宋体" w:eastAsia="宋体" w:hint="default"/>
        </w:rPr>
        <w:t>4</w:t>
      </w:r>
      <w:r>
        <w:rPr/>
        <w:t>）利润分配政策的调整 </w:t>
      </w:r>
      <w:r>
        <w:rPr>
          <w:spacing w:val="-2"/>
        </w:rPr>
        <w:t>公司根据生产经营情况、投资规划和长期发展的需要，或者外部经营环境发生变化，公司董事会确有必要对利润分配政</w:t>
      </w:r>
    </w:p>
    <w:p>
      <w:pPr>
        <w:pStyle w:val="BodyText"/>
        <w:spacing w:line="316" w:lineRule="auto" w:before="19"/>
        <w:ind w:right="1129"/>
        <w:jc w:val="left"/>
      </w:pPr>
      <w:r>
        <w:rPr>
          <w:spacing w:val="-2"/>
        </w:rPr>
        <w:t>策（尤其是现金分红政策）进行调整或者变更的，应以股东权益尤其是中小股东利益保护为出发点，制订利润分配政策的修</w:t>
      </w:r>
      <w:r>
        <w:rPr>
          <w:spacing w:val="-64"/>
        </w:rPr>
        <w:t> </w:t>
      </w:r>
      <w:r>
        <w:rPr>
          <w:spacing w:val="-64"/>
        </w:rPr>
      </w:r>
      <w:r>
        <w:rPr/>
        <w:t>订方案，详细论证和说明修订原因。修订方案应经全体董事过半数表决通过，独立董事应当发表明确意见。</w:t>
      </w:r>
    </w:p>
    <w:p>
      <w:pPr>
        <w:pStyle w:val="BodyText"/>
        <w:spacing w:line="316" w:lineRule="auto" w:before="19"/>
        <w:ind w:left="473" w:right="0"/>
        <w:jc w:val="left"/>
      </w:pPr>
      <w:r>
        <w:rPr/>
        <w:t>公司监事会应对利润分配修订方案进行审议，并经全体监事过半数表决通过，外部监事（若有）应当发表明确意见。 </w:t>
      </w:r>
      <w:r>
        <w:rPr>
          <w:spacing w:val="-2"/>
        </w:rPr>
        <w:t>利润分配修订方案经董事会和监事会审议通过后提交股东大会审议，并经出席股东大会的股东（包括股东代理人）所持</w:t>
      </w:r>
    </w:p>
    <w:p>
      <w:pPr>
        <w:pStyle w:val="BodyText"/>
        <w:spacing w:line="316" w:lineRule="auto" w:before="18"/>
        <w:ind w:right="1124"/>
        <w:jc w:val="left"/>
      </w:pPr>
      <w:r>
        <w:rPr/>
        <w:t>表决权的三分之二（</w:t>
      </w:r>
      <w:r>
        <w:rPr>
          <w:rFonts w:ascii="宋体" w:hAnsi="宋体" w:cs="宋体" w:eastAsia="宋体" w:hint="default"/>
        </w:rPr>
        <w:t>2/3</w:t>
      </w:r>
      <w:r>
        <w:rPr/>
        <w:t>）以上通过。调整后的利润分配政策不得违反中国证券监督管理委员会和深圳证券交易所的有关规</w:t>
      </w:r>
      <w:r>
        <w:rPr>
          <w:spacing w:val="-85"/>
        </w:rPr>
        <w:t> </w:t>
      </w:r>
      <w:r>
        <w:rPr>
          <w:spacing w:val="-85"/>
        </w:rPr>
      </w:r>
      <w:r>
        <w:rPr/>
        <w:t>定。</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473" w:right="1133"/>
        <w:jc w:val="left"/>
      </w:pPr>
      <w:r>
        <w:rPr>
          <w:rFonts w:ascii="宋体" w:hAnsi="宋体" w:cs="宋体" w:eastAsia="宋体" w:hint="default"/>
          <w:spacing w:val="1"/>
        </w:rPr>
        <w:t>3</w:t>
      </w:r>
      <w:r>
        <w:rPr>
          <w:spacing w:val="-92"/>
        </w:rPr>
        <w:t>、</w:t>
      </w:r>
      <w:r>
        <w:rPr/>
        <w:t>《公司章程》第一百五十七条规定，公司利润分配具体政策如下：</w:t>
      </w:r>
    </w:p>
    <w:p>
      <w:pPr>
        <w:pStyle w:val="BodyText"/>
        <w:spacing w:line="316" w:lineRule="auto" w:before="77"/>
        <w:ind w:left="473" w:right="1129"/>
        <w:jc w:val="left"/>
      </w:pPr>
      <w:r>
        <w:rPr/>
        <w:t>（</w:t>
      </w:r>
      <w:r>
        <w:rPr>
          <w:rFonts w:ascii="宋体" w:hAnsi="宋体" w:cs="宋体" w:eastAsia="宋体" w:hint="default"/>
        </w:rPr>
        <w:t>1</w:t>
      </w:r>
      <w:r>
        <w:rPr/>
        <w:t>）可分配利润 </w:t>
      </w:r>
      <w:r>
        <w:rPr>
          <w:spacing w:val="-2"/>
        </w:rPr>
        <w:t>公司按公司章程第一百五十四条的规定确定可分配利润，利润分配不得超过公司累计可供分配利润的范围，不得损害公</w:t>
      </w:r>
    </w:p>
    <w:p>
      <w:pPr>
        <w:pStyle w:val="BodyText"/>
        <w:spacing w:line="240" w:lineRule="auto" w:before="19"/>
        <w:ind w:right="1133"/>
        <w:jc w:val="left"/>
      </w:pPr>
      <w:r>
        <w:rPr/>
        <w:t>司持续经营能力。</w:t>
      </w:r>
    </w:p>
    <w:p>
      <w:pPr>
        <w:pStyle w:val="BodyText"/>
        <w:spacing w:line="316" w:lineRule="auto" w:before="76"/>
        <w:ind w:left="473" w:right="1129"/>
        <w:jc w:val="left"/>
      </w:pPr>
      <w:r>
        <w:rPr/>
        <w:t>（</w:t>
      </w:r>
      <w:r>
        <w:rPr>
          <w:rFonts w:ascii="宋体" w:hAnsi="宋体" w:cs="宋体" w:eastAsia="宋体" w:hint="default"/>
        </w:rPr>
        <w:t>2</w:t>
      </w:r>
      <w:r>
        <w:rPr/>
        <w:t>）利润分配的形式及优先顺序 </w:t>
      </w:r>
      <w:r>
        <w:rPr>
          <w:spacing w:val="-2"/>
        </w:rPr>
        <w:t>公司可以采用现金、股票或者现金与股票相结合的方式或者法律、法规允许的其他方式分配利润。公司优先采用现金分</w:t>
      </w:r>
    </w:p>
    <w:p>
      <w:pPr>
        <w:pStyle w:val="BodyText"/>
        <w:spacing w:line="240" w:lineRule="auto" w:before="19"/>
        <w:ind w:right="1133"/>
        <w:jc w:val="left"/>
      </w:pPr>
      <w:r>
        <w:rPr/>
        <w:t>红的利润分配方式，并且，公司具备现金分红条件的，应当采用现金分红进行利润分配。</w:t>
      </w:r>
    </w:p>
    <w:p>
      <w:pPr>
        <w:pStyle w:val="BodyText"/>
        <w:spacing w:line="316" w:lineRule="auto" w:before="76"/>
        <w:ind w:left="473" w:right="1123"/>
        <w:jc w:val="left"/>
      </w:pPr>
      <w:r>
        <w:rPr/>
        <w:t>（</w:t>
      </w:r>
      <w:r>
        <w:rPr>
          <w:rFonts w:ascii="宋体" w:hAnsi="宋体" w:cs="宋体" w:eastAsia="宋体" w:hint="default"/>
        </w:rPr>
        <w:t>3</w:t>
      </w:r>
      <w:r>
        <w:rPr/>
        <w:t>）利润分配的条件、期间间隔和最低比例 </w:t>
      </w:r>
      <w:r>
        <w:rPr>
          <w:rFonts w:ascii="宋体" w:hAnsi="宋体" w:cs="宋体" w:eastAsia="宋体" w:hint="default"/>
        </w:rPr>
        <w:t>1</w:t>
      </w:r>
      <w:r>
        <w:rPr/>
        <w:t>）在公司累计未分配利润期末余额为正、当期可分配利润为正且公司现金流可以满足公司正常经营和可持续发展的情</w:t>
      </w:r>
    </w:p>
    <w:p>
      <w:pPr>
        <w:pStyle w:val="BodyText"/>
        <w:spacing w:line="316" w:lineRule="auto" w:before="19"/>
        <w:ind w:right="0"/>
        <w:jc w:val="left"/>
      </w:pPr>
      <w:r>
        <w:rPr>
          <w:spacing w:val="-2"/>
        </w:rPr>
        <w:t>况下，公司原则上每年进行一次现金分红，未来三年以现金方式累计分配的利润不少于该三年实现的年均可分配利润的</w:t>
      </w:r>
      <w:r>
        <w:rPr>
          <w:rFonts w:ascii="宋体" w:hAnsi="宋体" w:cs="宋体" w:eastAsia="宋体" w:hint="default"/>
          <w:spacing w:val="-2"/>
        </w:rPr>
        <w:t>45%</w:t>
      </w:r>
      <w:r>
        <w:rPr>
          <w:spacing w:val="-2"/>
        </w:rPr>
        <w:t>。</w:t>
      </w:r>
      <w:r>
        <w:rPr>
          <w:spacing w:val="-55"/>
        </w:rPr>
        <w:t> </w:t>
      </w:r>
      <w:r>
        <w:rPr/>
        <w:t>在满足利润分配的具体条件时，公司每年以现金方式累计分配的利润不少于当年实现的可分配利润的</w:t>
      </w:r>
      <w:r>
        <w:rPr>
          <w:rFonts w:ascii="宋体" w:hAnsi="宋体" w:cs="宋体" w:eastAsia="宋体" w:hint="default"/>
        </w:rPr>
        <w:t>15%</w:t>
      </w:r>
      <w:r>
        <w:rPr/>
        <w:t>，确因特殊原因不</w:t>
      </w:r>
      <w:r>
        <w:rPr>
          <w:spacing w:val="-83"/>
        </w:rPr>
        <w:t> </w:t>
      </w:r>
      <w:r>
        <w:rPr>
          <w:spacing w:val="-83"/>
        </w:rPr>
      </w:r>
      <w:r>
        <w:rPr/>
        <w:t>能达到上述比例的，按照公司章程第一百五十六条第（四）项的规定处理。</w:t>
      </w:r>
    </w:p>
    <w:p>
      <w:pPr>
        <w:pStyle w:val="BodyText"/>
        <w:spacing w:line="316" w:lineRule="auto" w:before="19"/>
        <w:ind w:right="1129" w:firstLine="360"/>
        <w:jc w:val="both"/>
      </w:pPr>
      <w:r>
        <w:rPr>
          <w:spacing w:val="-2"/>
        </w:rPr>
        <w:t>在确保足额现金股利分配的前提下，公司可以另行增加股票股利方式分配利润。公司采用股票股利进行利润分配的，应</w:t>
      </w:r>
      <w:r>
        <w:rPr/>
        <w:t> </w:t>
      </w:r>
      <w:r>
        <w:rPr>
          <w:spacing w:val="-2"/>
        </w:rPr>
        <w:t>当具有公司成长性、每股净资产的摊薄等真实合理因素，应充分考虑以股票方式分配利润后的总股本是否与公司目前的经营</w:t>
      </w:r>
      <w:r>
        <w:rPr>
          <w:spacing w:val="-64"/>
        </w:rPr>
        <w:t> </w:t>
      </w:r>
      <w:r>
        <w:rPr>
          <w:spacing w:val="-64"/>
        </w:rPr>
      </w:r>
      <w:r>
        <w:rPr/>
        <w:t>规模、盈利增长速度相适应，并考虑对未来债权融资成本的影响，以确保分配方案符合全体股东的整体利益。</w:t>
      </w:r>
    </w:p>
    <w:p>
      <w:pPr>
        <w:pStyle w:val="BodyText"/>
        <w:spacing w:line="316" w:lineRule="auto" w:before="19"/>
        <w:ind w:left="473" w:right="0"/>
        <w:jc w:val="left"/>
      </w:pPr>
      <w:r>
        <w:rPr/>
        <w:t>公司董事会可以根据公司的实际经营状况提议公司进行中期现金分红。 利润分配不得超过累计可分配利润的范围，且利润分配政策不得违反国家相关法规的规定。 </w:t>
      </w:r>
      <w:r>
        <w:rPr>
          <w:rFonts w:ascii="宋体" w:hAnsi="宋体" w:cs="宋体" w:eastAsia="宋体" w:hint="default"/>
          <w:spacing w:val="-2"/>
        </w:rPr>
        <w:t>2</w:t>
      </w:r>
      <w:r>
        <w:rPr>
          <w:spacing w:val="-2"/>
        </w:rPr>
        <w:t>）公司董事会应当综合考虑所处行业特点、发展阶段、自身经营模式、盈利水平以及是否有重大资金支出安排等因素，</w:t>
      </w:r>
    </w:p>
    <w:p>
      <w:pPr>
        <w:pStyle w:val="BodyText"/>
        <w:spacing w:line="316" w:lineRule="auto" w:before="19"/>
        <w:ind w:right="1124"/>
        <w:jc w:val="left"/>
      </w:pPr>
      <w:r>
        <w:rPr/>
        <w:t>区分下列情形，并按照公司章程规定的程序，提出差异化的现金分红政策： 公司发展阶段属成熟期且无重大资金支出安排的，进行利润分配时，现金分红在本次利润分配中所占比例最低应达到</w:t>
      </w:r>
      <w:r>
        <w:rPr>
          <w:rFonts w:ascii="宋体" w:hAnsi="宋体" w:cs="宋体" w:eastAsia="宋体" w:hint="default"/>
        </w:rPr>
        <w:t>80%</w:t>
      </w:r>
      <w:r>
        <w:rPr/>
        <w:t>； 公司发展阶段属成熟期且有重大资金支出安排的，进行利润分配时，现金分红在本次利润分配中所占比例最低应达到</w:t>
      </w:r>
      <w:r>
        <w:rPr>
          <w:rFonts w:ascii="宋体" w:hAnsi="宋体" w:cs="宋体" w:eastAsia="宋体" w:hint="default"/>
        </w:rPr>
        <w:t>40%</w:t>
      </w:r>
      <w:r>
        <w:rPr/>
        <w:t>； 公司发展阶段属成长期且有重大资金支出安排的，进行利润分配时，现金分红在本次利润分配中所占比例最低应达到</w:t>
      </w:r>
      <w:r>
        <w:rPr>
          <w:rFonts w:ascii="宋体" w:hAnsi="宋体" w:cs="宋体" w:eastAsia="宋体" w:hint="default"/>
        </w:rPr>
        <w:t>20%</w:t>
      </w:r>
      <w:r>
        <w:rPr/>
        <w:t>；</w:t>
      </w:r>
    </w:p>
    <w:p>
      <w:pPr>
        <w:pStyle w:val="BodyText"/>
        <w:spacing w:line="316" w:lineRule="auto" w:before="19"/>
        <w:ind w:left="473" w:right="4453"/>
        <w:jc w:val="left"/>
      </w:pPr>
      <w:r>
        <w:rPr/>
        <w:t>公司发展阶段不易区分但有重大资金支出安排的，可以按照前项规定处理。 重大资金支出指下列情况之一：</w:t>
      </w:r>
    </w:p>
    <w:p>
      <w:pPr>
        <w:pStyle w:val="BodyText"/>
        <w:spacing w:line="316" w:lineRule="auto" w:before="19"/>
        <w:ind w:right="1121" w:firstLine="360"/>
        <w:jc w:val="both"/>
      </w:pPr>
      <w:r>
        <w:rPr>
          <w:spacing w:val="3"/>
        </w:rPr>
        <w:t>公司未来十二个月内拟对外投资、收购资产或购买设备累计支出达到或超过公司最近一期经审计净资产的</w:t>
      </w:r>
      <w:r>
        <w:rPr>
          <w:rFonts w:ascii="宋体" w:hAnsi="宋体" w:cs="宋体" w:eastAsia="宋体" w:hint="default"/>
          <w:spacing w:val="3"/>
        </w:rPr>
        <w:t>50%</w:t>
      </w:r>
      <w:r>
        <w:rPr>
          <w:spacing w:val="3"/>
        </w:rPr>
        <w:t>且超过</w:t>
      </w:r>
      <w:r>
        <w:rPr>
          <w:spacing w:val="4"/>
        </w:rPr>
        <w:t> </w:t>
      </w:r>
      <w:r>
        <w:rPr>
          <w:rFonts w:ascii="宋体" w:hAnsi="宋体" w:cs="宋体" w:eastAsia="宋体" w:hint="default"/>
        </w:rPr>
        <w:t>3,000</w:t>
      </w:r>
      <w:r>
        <w:rPr/>
        <w:t>万元；</w:t>
      </w:r>
    </w:p>
    <w:p>
      <w:pPr>
        <w:pStyle w:val="BodyText"/>
        <w:spacing w:line="240" w:lineRule="auto" w:before="19"/>
        <w:ind w:left="473" w:right="1133"/>
        <w:jc w:val="left"/>
      </w:pPr>
      <w:r>
        <w:rPr/>
        <w:t>公司未来十二个月内拟对外投资、收购资产或购买设备累计支出达到或超过公司最近一期经审计总资产的</w:t>
      </w:r>
      <w:r>
        <w:rPr>
          <w:rFonts w:ascii="宋体" w:hAnsi="宋体" w:cs="宋体" w:eastAsia="宋体" w:hint="default"/>
        </w:rPr>
        <w:t>30%</w:t>
      </w:r>
      <w:r>
        <w:rPr/>
        <w:t>。</w:t>
      </w:r>
    </w:p>
    <w:p>
      <w:pPr>
        <w:pStyle w:val="BodyText"/>
        <w:spacing w:line="316" w:lineRule="auto" w:before="76"/>
        <w:ind w:left="473" w:right="1133"/>
        <w:jc w:val="left"/>
      </w:pPr>
      <w:r>
        <w:rPr/>
        <w:t>（</w:t>
      </w:r>
      <w:r>
        <w:rPr>
          <w:rFonts w:ascii="宋体" w:hAnsi="宋体" w:cs="宋体" w:eastAsia="宋体" w:hint="default"/>
        </w:rPr>
        <w:t>4</w:t>
      </w:r>
      <w:r>
        <w:rPr/>
        <w:t>）存在股东违规占用公司资金情况的，公司应当扣减该股东分配的现金红利，以偿还其占用的资金。 报告期内，公司严格按照以上利润分配政策和审议程序实施利润分配方案，具体执行情况如下： </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6</w:t>
      </w:r>
      <w:r>
        <w:rPr>
          <w:spacing w:val="-2"/>
        </w:rPr>
        <w:t>日召开</w:t>
      </w:r>
      <w:r>
        <w:rPr>
          <w:rFonts w:ascii="宋体" w:hAnsi="宋体" w:cs="宋体" w:eastAsia="宋体" w:hint="default"/>
          <w:spacing w:val="-2"/>
        </w:rPr>
        <w:t>2018</w:t>
      </w:r>
      <w:r>
        <w:rPr>
          <w:spacing w:val="-2"/>
        </w:rPr>
        <w:t>年度股东大会，审议通过了《关于公司</w:t>
      </w:r>
      <w:r>
        <w:rPr>
          <w:rFonts w:ascii="宋体" w:hAnsi="宋体" w:cs="宋体" w:eastAsia="宋体" w:hint="default"/>
          <w:spacing w:val="-2"/>
        </w:rPr>
        <w:t>2018</w:t>
      </w:r>
      <w:r>
        <w:rPr>
          <w:spacing w:val="-2"/>
        </w:rPr>
        <w:t>年度利润分配预案的议案》，公司以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p>
    <w:p>
      <w:pPr>
        <w:pStyle w:val="BodyText"/>
        <w:spacing w:line="316" w:lineRule="auto" w:before="19"/>
        <w:ind w:right="1128"/>
        <w:jc w:val="both"/>
      </w:pPr>
      <w:r>
        <w:rPr>
          <w:spacing w:val="12"/>
        </w:rPr>
        <w:t>总股本</w:t>
      </w:r>
      <w:r>
        <w:rPr>
          <w:spacing w:val="-70"/>
        </w:rPr>
        <w:t> </w:t>
      </w:r>
      <w:r>
        <w:rPr>
          <w:rFonts w:ascii="宋体" w:hAnsi="宋体" w:cs="宋体" w:eastAsia="宋体" w:hint="default"/>
        </w:rPr>
        <w:t>181,166,966</w:t>
      </w:r>
      <w:r>
        <w:rPr>
          <w:rFonts w:ascii="宋体" w:hAnsi="宋体" w:cs="宋体" w:eastAsia="宋体" w:hint="default"/>
          <w:spacing w:val="-68"/>
        </w:rPr>
        <w:t> </w:t>
      </w:r>
      <w:r>
        <w:rPr>
          <w:spacing w:val="17"/>
        </w:rPr>
        <w:t>股为基数，向全体股东每</w:t>
      </w:r>
      <w:r>
        <w:rPr>
          <w:spacing w:val="-70"/>
        </w:rPr>
        <w:t> </w:t>
      </w:r>
      <w:r>
        <w:rPr>
          <w:rFonts w:ascii="宋体" w:hAnsi="宋体" w:cs="宋体" w:eastAsia="宋体" w:hint="default"/>
        </w:rPr>
        <w:t>10</w:t>
      </w:r>
      <w:r>
        <w:rPr>
          <w:rFonts w:ascii="宋体" w:hAnsi="宋体" w:cs="宋体" w:eastAsia="宋体" w:hint="default"/>
          <w:spacing w:val="-69"/>
        </w:rPr>
        <w:t> </w:t>
      </w:r>
      <w:r>
        <w:rPr>
          <w:spacing w:val="17"/>
        </w:rPr>
        <w:t>股派发现金红利人民币</w:t>
      </w:r>
      <w:r>
        <w:rPr>
          <w:spacing w:val="-70"/>
        </w:rPr>
        <w:t> </w:t>
      </w:r>
      <w:r>
        <w:rPr>
          <w:rFonts w:ascii="宋体" w:hAnsi="宋体" w:cs="宋体" w:eastAsia="宋体" w:hint="default"/>
        </w:rPr>
        <w:t>0.6623</w:t>
      </w:r>
      <w:r>
        <w:rPr>
          <w:rFonts w:ascii="宋体" w:hAnsi="宋体" w:cs="宋体" w:eastAsia="宋体" w:hint="default"/>
          <w:spacing w:val="-69"/>
        </w:rPr>
        <w:t> </w:t>
      </w:r>
      <w:r>
        <w:rPr>
          <w:spacing w:val="9"/>
        </w:rPr>
        <w:t>元（</w:t>
      </w:r>
      <w:r>
        <w:rPr>
          <w:spacing w:val="-70"/>
        </w:rPr>
        <w:t> </w:t>
      </w:r>
      <w:r>
        <w:rPr>
          <w:spacing w:val="8"/>
        </w:rPr>
        <w:t>含税</w:t>
      </w:r>
      <w:r>
        <w:rPr>
          <w:spacing w:val="-70"/>
        </w:rPr>
        <w:t> </w:t>
      </w:r>
      <w:r>
        <w:rPr>
          <w:spacing w:val="-35"/>
        </w:rPr>
        <w:t>），</w:t>
      </w:r>
      <w:r>
        <w:rPr>
          <w:spacing w:val="-70"/>
        </w:rPr>
        <w:t> </w:t>
      </w:r>
      <w:r>
        <w:rPr>
          <w:spacing w:val="17"/>
        </w:rPr>
        <w:t>共分配现金红利人民币</w:t>
      </w:r>
      <w:r>
        <w:rPr/>
        <w:t> </w:t>
      </w:r>
      <w:r>
        <w:rPr>
          <w:rFonts w:ascii="宋体" w:hAnsi="宋体" w:cs="宋体" w:eastAsia="宋体" w:hint="default"/>
          <w:spacing w:val="-3"/>
        </w:rPr>
        <w:t>12,000,000.00</w:t>
      </w:r>
      <w:r>
        <w:rPr>
          <w:spacing w:val="-3"/>
        </w:rPr>
        <w:t>元（含税），不以资本公积转增股本，不送红股，剩余未分配利润结转至下一年度。若在分配方案实施前公司</w:t>
      </w:r>
      <w:r>
        <w:rPr>
          <w:spacing w:val="-88"/>
        </w:rPr>
        <w:t> </w:t>
      </w:r>
      <w:r>
        <w:rPr>
          <w:spacing w:val="-88"/>
        </w:rPr>
      </w:r>
      <w:r>
        <w:rPr>
          <w:spacing w:val="-2"/>
        </w:rPr>
        <w:t>总股本由于股份回购、股权激励行权等原因而发生变化的，公司将按照“现金分红总额、送红股总额、转增股本总额固定不</w:t>
      </w:r>
      <w:r>
        <w:rPr>
          <w:spacing w:val="-66"/>
        </w:rPr>
        <w:t> </w:t>
      </w:r>
      <w:r>
        <w:rPr>
          <w:spacing w:val="-66"/>
        </w:rPr>
      </w:r>
      <w:r>
        <w:rPr/>
        <w:t>变”的原则，在利润分配实施公告中披露按公司最新总股本计算的分配比例。上述</w:t>
      </w:r>
      <w:r>
        <w:rPr>
          <w:rFonts w:ascii="宋体" w:hAnsi="宋体" w:cs="宋体" w:eastAsia="宋体" w:hint="default"/>
        </w:rPr>
        <w:t>2018</w:t>
      </w:r>
      <w:r>
        <w:rPr/>
        <w:t>年年度利润分配方案于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rFonts w:ascii="宋体" w:hAnsi="宋体" w:cs="宋体" w:eastAsia="宋体" w:hint="default"/>
          <w:spacing w:val="-84"/>
        </w:rPr>
        <w:t> </w:t>
      </w:r>
      <w:r>
        <w:rPr/>
        <w:t>日实施完毕。</w:t>
      </w:r>
    </w:p>
    <w:tbl>
      <w:tblPr>
        <w:tblW w:w="0" w:type="auto"/>
        <w:jc w:val="left"/>
        <w:tblInd w:w="108" w:type="dxa"/>
        <w:tblLayout w:type="fixed"/>
        <w:tblCellMar>
          <w:top w:w="0" w:type="dxa"/>
          <w:left w:w="0" w:type="dxa"/>
          <w:bottom w:w="0" w:type="dxa"/>
          <w:right w:w="0" w:type="dxa"/>
        </w:tblCellMar>
        <w:tblLook w:val="01E0"/>
      </w:tblPr>
      <w:tblGrid>
        <w:gridCol w:w="6505"/>
        <w:gridCol w:w="3065"/>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公司报告期利润分配预案及资本公积金转增股本预案与公司章程和分红管理办法等的相关规定一致</w:t>
      </w:r>
    </w:p>
    <w:p>
      <w:pPr>
        <w:pStyle w:val="BodyText"/>
        <w:spacing w:line="357" w:lineRule="auto" w:before="117"/>
        <w:ind w:right="4274"/>
        <w:jc w:val="left"/>
      </w:pPr>
      <w:r>
        <w:rPr/>
        <w:t>√ 是 □ 否 □</w:t>
      </w:r>
      <w:r>
        <w:rPr>
          <w:spacing w:val="2"/>
        </w:rPr>
        <w:t> </w:t>
      </w:r>
      <w:r>
        <w:rPr/>
        <w:t>不适用</w:t>
      </w:r>
      <w:r>
        <w:rPr/>
        <w:t> 公司报告期利润分配预案及资本公积金转增股本预案符合公司章程等的相关规定。 本年度利润分配及资本公积金转增股本情况</w:t>
      </w:r>
    </w:p>
    <w:tbl>
      <w:tblPr>
        <w:tblW w:w="0" w:type="auto"/>
        <w:jc w:val="left"/>
        <w:tblInd w:w="10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181,096,722</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12,676,770.54</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12,676,770.54</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320,503,355.93</w:t>
            </w:r>
          </w:p>
        </w:tc>
      </w:tr>
      <w:tr>
        <w:trPr>
          <w:trHeight w:val="71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公司董事会提出的利润分配预案为</w:t>
            </w:r>
            <w:r>
              <w:rPr>
                <w:rFonts w:ascii="宋体" w:hAnsi="宋体" w:cs="宋体" w:eastAsia="宋体" w:hint="default"/>
                <w:spacing w:val="-15"/>
                <w:sz w:val="18"/>
                <w:szCs w:val="18"/>
              </w:rPr>
              <w:t>：</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15"/>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以资本</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340" w:lineRule="auto" w:before="70"/>
        <w:ind w:right="2747"/>
        <w:jc w:val="left"/>
      </w:pPr>
      <w:r>
        <w:rPr/>
        <w:t>公司近</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spacing w:val="-88"/>
        </w:rPr>
        <w:t> </w:t>
      </w:r>
      <w:r>
        <w:rPr>
          <w:spacing w:val="-88"/>
        </w:rPr>
      </w:r>
      <w:r>
        <w:rPr>
          <w:rFonts w:ascii="宋体" w:hAnsi="宋体" w:cs="宋体" w:eastAsia="宋体" w:hint="default"/>
        </w:rPr>
        <w:t>2017</w:t>
      </w:r>
      <w:r>
        <w:rPr/>
        <w:t>年度利润分配情况：</w:t>
      </w:r>
    </w:p>
    <w:p>
      <w:pPr>
        <w:pStyle w:val="BodyText"/>
        <w:spacing w:line="316" w:lineRule="auto" w:before="1"/>
        <w:ind w:right="1043" w:firstLine="362"/>
        <w:jc w:val="both"/>
      </w:pPr>
      <w:r>
        <w:rPr/>
        <w:t>公司</w:t>
      </w:r>
      <w:r>
        <w:rPr>
          <w:rFonts w:ascii="宋体" w:hAnsi="宋体" w:cs="宋体" w:eastAsia="宋体" w:hint="default"/>
        </w:rPr>
        <w:t>2017</w:t>
      </w:r>
      <w:r>
        <w:rPr/>
        <w:t>年度实现的利润为</w:t>
      </w:r>
      <w:r>
        <w:rPr>
          <w:rFonts w:ascii="宋体" w:hAnsi="宋体" w:cs="宋体" w:eastAsia="宋体" w:hint="default"/>
        </w:rPr>
        <w:t>42,930,074.35</w:t>
      </w:r>
      <w:r>
        <w:rPr/>
        <w:t>元，提取</w:t>
      </w:r>
      <w:r>
        <w:rPr>
          <w:rFonts w:ascii="宋体" w:hAnsi="宋体" w:cs="宋体" w:eastAsia="宋体" w:hint="default"/>
        </w:rPr>
        <w:t>4,478,165.30</w:t>
      </w:r>
      <w:r>
        <w:rPr/>
        <w:t>元作为法定公积金，截至</w:t>
      </w:r>
      <w:r>
        <w:rPr>
          <w:rFonts w:ascii="宋体" w:hAnsi="宋体" w:cs="宋体" w:eastAsia="宋体" w:hint="default"/>
        </w:rPr>
        <w:t>2017</w:t>
      </w:r>
      <w:r>
        <w:rPr/>
        <w:t>年末公司未分配利润为 </w:t>
      </w:r>
      <w:r>
        <w:rPr>
          <w:rFonts w:ascii="宋体" w:hAnsi="宋体" w:cs="宋体" w:eastAsia="宋体" w:hint="default"/>
          <w:spacing w:val="-3"/>
        </w:rPr>
        <w:t>234,278,293.12</w:t>
      </w:r>
      <w:r>
        <w:rPr>
          <w:spacing w:val="-3"/>
        </w:rPr>
        <w:t>元，资本公积金</w:t>
      </w:r>
      <w:r>
        <w:rPr>
          <w:rFonts w:ascii="宋体" w:hAnsi="宋体" w:cs="宋体" w:eastAsia="宋体" w:hint="default"/>
          <w:spacing w:val="-3"/>
        </w:rPr>
        <w:t>355,267,253.00</w:t>
      </w:r>
      <w:r>
        <w:rPr>
          <w:spacing w:val="-3"/>
        </w:rPr>
        <w:t>元。公司</w:t>
      </w:r>
      <w:r>
        <w:rPr>
          <w:rFonts w:ascii="宋体" w:hAnsi="宋体" w:cs="宋体" w:eastAsia="宋体" w:hint="default"/>
          <w:spacing w:val="-3"/>
        </w:rPr>
        <w:t>2017</w:t>
      </w:r>
      <w:r>
        <w:rPr>
          <w:spacing w:val="-3"/>
        </w:rPr>
        <w:t>年度的利润分配方案为：以</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120,000,000</w:t>
      </w:r>
      <w:r>
        <w:rPr>
          <w:rFonts w:ascii="宋体" w:hAnsi="宋体" w:cs="宋体" w:eastAsia="宋体" w:hint="default"/>
          <w:spacing w:val="-41"/>
        </w:rPr>
        <w:t> </w:t>
      </w:r>
      <w:r>
        <w:rPr>
          <w:rFonts w:ascii="宋体" w:hAnsi="宋体" w:cs="宋体" w:eastAsia="宋体" w:hint="default"/>
          <w:spacing w:val="-41"/>
        </w:rPr>
      </w:r>
      <w:r>
        <w:rPr>
          <w:spacing w:val="-5"/>
        </w:rPr>
        <w:t>股为基数，每</w:t>
      </w:r>
      <w:r>
        <w:rPr>
          <w:rFonts w:ascii="宋体" w:hAnsi="宋体" w:cs="宋体" w:eastAsia="宋体" w:hint="default"/>
          <w:spacing w:val="-5"/>
        </w:rPr>
        <w:t>10</w:t>
      </w:r>
      <w:r>
        <w:rPr>
          <w:spacing w:val="-5"/>
        </w:rPr>
        <w:t>股派发现金红利人民币</w:t>
      </w:r>
      <w:r>
        <w:rPr>
          <w:rFonts w:ascii="宋体" w:hAnsi="宋体" w:cs="宋体" w:eastAsia="宋体" w:hint="default"/>
          <w:spacing w:val="-5"/>
        </w:rPr>
        <w:t>1.00</w:t>
      </w:r>
      <w:r>
        <w:rPr>
          <w:spacing w:val="-5"/>
        </w:rPr>
        <w:t>元（含税），共分配现金红利人民币</w:t>
      </w:r>
      <w:r>
        <w:rPr>
          <w:rFonts w:ascii="宋体" w:hAnsi="宋体" w:cs="宋体" w:eastAsia="宋体" w:hint="default"/>
          <w:spacing w:val="-5"/>
        </w:rPr>
        <w:t>12,000,000</w:t>
      </w:r>
      <w:r>
        <w:rPr>
          <w:spacing w:val="-5"/>
        </w:rPr>
        <w:t>元（含税），以资本公积金向全体</w:t>
      </w:r>
      <w:r>
        <w:rPr>
          <w:spacing w:val="-46"/>
        </w:rPr>
        <w:t> </w:t>
      </w:r>
      <w:r>
        <w:rPr>
          <w:spacing w:val="-46"/>
        </w:rPr>
      </w:r>
      <w:r>
        <w:rPr/>
        <w:t>股东每</w:t>
      </w:r>
      <w:r>
        <w:rPr>
          <w:rFonts w:ascii="宋体" w:hAnsi="宋体" w:cs="宋体" w:eastAsia="宋体" w:hint="default"/>
        </w:rPr>
        <w:t>10</w:t>
      </w:r>
      <w:r>
        <w:rPr/>
        <w:t>股转增</w:t>
      </w:r>
      <w:r>
        <w:rPr>
          <w:rFonts w:ascii="宋体" w:hAnsi="宋体" w:cs="宋体" w:eastAsia="宋体" w:hint="default"/>
        </w:rPr>
        <w:t>5</w:t>
      </w:r>
      <w:r>
        <w:rPr/>
        <w:t>股，若在分配方案实施前公司总股本由于股份回购、股权激励行权等原因而发生变化的，公司将按照“现</w:t>
      </w:r>
      <w:r>
        <w:rPr>
          <w:spacing w:val="-84"/>
        </w:rPr>
        <w:t> </w:t>
      </w:r>
      <w:r>
        <w:rPr>
          <w:spacing w:val="-84"/>
        </w:rPr>
      </w:r>
      <w:r>
        <w:rPr>
          <w:spacing w:val="-4"/>
        </w:rPr>
        <w:t>金分红总额、送红股总额、转增股本总额固定不变”的原则，在利润分配实施公告中披露按公司最新总股本计算的分配比例。</w:t>
      </w:r>
    </w:p>
    <w:p>
      <w:pPr>
        <w:pStyle w:val="BodyText"/>
        <w:spacing w:line="316" w:lineRule="auto" w:before="19"/>
        <w:ind w:right="1131" w:firstLine="362"/>
        <w:jc w:val="both"/>
      </w:pPr>
      <w:r>
        <w:rPr/>
        <w:t>由于利润分配方案实施前，公司实施了股权激励，公司股本变更为</w:t>
      </w:r>
      <w:r>
        <w:rPr>
          <w:rFonts w:ascii="宋体" w:hAnsi="宋体" w:cs="宋体" w:eastAsia="宋体" w:hint="default"/>
        </w:rPr>
        <w:t>121,167,000</w:t>
      </w:r>
      <w:r>
        <w:rPr/>
        <w:t>股，因此，</w:t>
      </w:r>
      <w:r>
        <w:rPr>
          <w:rFonts w:ascii="宋体" w:hAnsi="宋体" w:cs="宋体" w:eastAsia="宋体" w:hint="default"/>
        </w:rPr>
        <w:t>2017</w:t>
      </w:r>
      <w:r>
        <w:rPr/>
        <w:t>年年度权益分派最终实 </w:t>
      </w:r>
      <w:r>
        <w:rPr>
          <w:spacing w:val="-3"/>
        </w:rPr>
        <w:t>施方案为：以公司总股本</w:t>
      </w:r>
      <w:r>
        <w:rPr>
          <w:rFonts w:ascii="宋体" w:hAnsi="宋体" w:cs="宋体" w:eastAsia="宋体" w:hint="default"/>
          <w:spacing w:val="-3"/>
        </w:rPr>
        <w:t>121,167,000</w:t>
      </w:r>
      <w:r>
        <w:rPr>
          <w:spacing w:val="-3"/>
        </w:rPr>
        <w:t>股为基数，向全体股东每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0.990368</w:t>
      </w:r>
      <w:r>
        <w:rPr>
          <w:spacing w:val="-3"/>
        </w:rPr>
        <w:t>元人民币现金（含税），同时，以公司现有总</w:t>
      </w:r>
      <w:r>
        <w:rPr>
          <w:spacing w:val="-79"/>
        </w:rPr>
        <w:t> </w:t>
      </w:r>
      <w:r>
        <w:rPr>
          <w:spacing w:val="-79"/>
        </w:rPr>
      </w:r>
      <w:r>
        <w:rPr/>
        <w:t>股本</w:t>
      </w:r>
      <w:r>
        <w:rPr>
          <w:rFonts w:ascii="宋体" w:hAnsi="宋体" w:cs="宋体" w:eastAsia="宋体" w:hint="default"/>
        </w:rPr>
        <w:t>121,167,000</w:t>
      </w:r>
      <w:r>
        <w:rPr/>
        <w:t>股为基数，每</w:t>
      </w:r>
      <w:r>
        <w:rPr>
          <w:rFonts w:ascii="宋体" w:hAnsi="宋体" w:cs="宋体" w:eastAsia="宋体" w:hint="default"/>
        </w:rPr>
        <w:t>10</w:t>
      </w:r>
      <w:r>
        <w:rPr/>
        <w:t>股转增</w:t>
      </w:r>
      <w:r>
        <w:rPr>
          <w:rFonts w:ascii="宋体" w:hAnsi="宋体" w:cs="宋体" w:eastAsia="宋体" w:hint="default"/>
        </w:rPr>
        <w:t>4.951843</w:t>
      </w:r>
      <w:r>
        <w:rPr/>
        <w:t>股，分红后总股本增加至</w:t>
      </w:r>
      <w:r>
        <w:rPr>
          <w:rFonts w:ascii="宋体" w:hAnsi="宋体" w:cs="宋体" w:eastAsia="宋体" w:hint="default"/>
        </w:rPr>
        <w:t>181,166,996</w:t>
      </w:r>
      <w:r>
        <w:rPr/>
        <w:t>股。</w:t>
      </w:r>
    </w:p>
    <w:p>
      <w:pPr>
        <w:spacing w:line="240" w:lineRule="auto" w:before="4"/>
        <w:rPr>
          <w:rFonts w:ascii="宋体" w:hAnsi="宋体" w:cs="宋体" w:eastAsia="宋体" w:hint="default"/>
          <w:sz w:val="25"/>
          <w:szCs w:val="25"/>
        </w:rPr>
      </w:pPr>
    </w:p>
    <w:p>
      <w:pPr>
        <w:pStyle w:val="BodyText"/>
        <w:spacing w:line="316" w:lineRule="auto"/>
        <w:ind w:left="475" w:right="1121" w:hanging="363"/>
        <w:jc w:val="left"/>
      </w:pPr>
      <w:r>
        <w:rPr>
          <w:rFonts w:ascii="宋体" w:hAnsi="宋体" w:cs="宋体" w:eastAsia="宋体" w:hint="default"/>
        </w:rPr>
        <w:t>2018</w:t>
      </w:r>
      <w:r>
        <w:rPr/>
        <w:t>年度利润分配情况： 公司</w:t>
      </w:r>
      <w:r>
        <w:rPr>
          <w:rFonts w:ascii="宋体" w:hAnsi="宋体" w:cs="宋体" w:eastAsia="宋体" w:hint="default"/>
        </w:rPr>
        <w:t>2018</w:t>
      </w:r>
      <w:r>
        <w:rPr/>
        <w:t>年度实现的利润为</w:t>
      </w:r>
      <w:r>
        <w:rPr>
          <w:rFonts w:ascii="宋体" w:hAnsi="宋体" w:cs="宋体" w:eastAsia="宋体" w:hint="default"/>
        </w:rPr>
        <w:t>51,188,116.34</w:t>
      </w:r>
      <w:r>
        <w:rPr/>
        <w:t>元，提取</w:t>
      </w:r>
      <w:r>
        <w:rPr>
          <w:rFonts w:ascii="宋体" w:hAnsi="宋体" w:cs="宋体" w:eastAsia="宋体" w:hint="default"/>
        </w:rPr>
        <w:t>5,357,418.64</w:t>
      </w:r>
      <w:r>
        <w:rPr/>
        <w:t>元作为法定公积金，截至</w:t>
      </w:r>
      <w:r>
        <w:rPr>
          <w:rFonts w:ascii="宋体" w:hAnsi="宋体" w:cs="宋体" w:eastAsia="宋体" w:hint="default"/>
        </w:rPr>
        <w:t>2018</w:t>
      </w:r>
      <w:r>
        <w:rPr/>
        <w:t>年末公司未分配利润为</w:t>
      </w:r>
    </w:p>
    <w:p>
      <w:pPr>
        <w:pStyle w:val="BodyText"/>
        <w:spacing w:line="316" w:lineRule="auto" w:before="19"/>
        <w:ind w:right="1124"/>
        <w:jc w:val="left"/>
      </w:pPr>
      <w:r>
        <w:rPr>
          <w:rFonts w:ascii="宋体" w:hAnsi="宋体" w:cs="宋体" w:eastAsia="宋体" w:hint="default"/>
        </w:rPr>
        <w:t>268,108,998.88</w:t>
      </w:r>
      <w:r>
        <w:rPr/>
        <w:t>元，资本公积金</w:t>
      </w:r>
      <w:r>
        <w:rPr>
          <w:rFonts w:ascii="宋体" w:hAnsi="宋体" w:cs="宋体" w:eastAsia="宋体" w:hint="default"/>
        </w:rPr>
        <w:t>313,052,012.83</w:t>
      </w:r>
      <w:r>
        <w:rPr/>
        <w:t>元。公司以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181,166,996</w:t>
      </w:r>
      <w:r>
        <w:rPr/>
        <w:t>股为基数，每</w:t>
      </w:r>
      <w:r>
        <w:rPr>
          <w:rFonts w:ascii="宋体" w:hAnsi="宋体" w:cs="宋体" w:eastAsia="宋体" w:hint="default"/>
        </w:rPr>
        <w:t>10</w:t>
      </w:r>
      <w:r>
        <w:rPr/>
        <w:t>股派发现金 </w:t>
      </w:r>
      <w:r>
        <w:rPr>
          <w:spacing w:val="-3"/>
        </w:rPr>
        <w:t>红利人民币</w:t>
      </w:r>
      <w:r>
        <w:rPr>
          <w:rFonts w:ascii="宋体" w:hAnsi="宋体" w:cs="宋体" w:eastAsia="宋体" w:hint="default"/>
          <w:spacing w:val="-3"/>
        </w:rPr>
        <w:t>0.6623</w:t>
      </w:r>
      <w:r>
        <w:rPr>
          <w:spacing w:val="-3"/>
        </w:rPr>
        <w:t>元（含税），共分配现金红利不超过人民币</w:t>
      </w:r>
      <w:r>
        <w:rPr>
          <w:rFonts w:ascii="宋体" w:hAnsi="宋体" w:cs="宋体" w:eastAsia="宋体" w:hint="default"/>
          <w:spacing w:val="-3"/>
        </w:rPr>
        <w:t>12,000,000</w:t>
      </w:r>
      <w:r>
        <w:rPr>
          <w:spacing w:val="-3"/>
        </w:rPr>
        <w:t>元（含税），不以资本公积转增股本，不送红股。</w:t>
      </w:r>
    </w:p>
    <w:p>
      <w:pPr>
        <w:spacing w:line="240" w:lineRule="auto" w:before="4"/>
        <w:rPr>
          <w:rFonts w:ascii="宋体" w:hAnsi="宋体" w:cs="宋体" w:eastAsia="宋体" w:hint="default"/>
          <w:sz w:val="25"/>
          <w:szCs w:val="25"/>
        </w:rPr>
      </w:pPr>
    </w:p>
    <w:p>
      <w:pPr>
        <w:pStyle w:val="BodyText"/>
        <w:spacing w:line="316" w:lineRule="auto"/>
        <w:ind w:left="475" w:right="1121" w:hanging="363"/>
        <w:jc w:val="left"/>
      </w:pPr>
      <w:r>
        <w:rPr>
          <w:rFonts w:ascii="宋体" w:hAnsi="宋体" w:cs="宋体" w:eastAsia="宋体" w:hint="default"/>
        </w:rPr>
        <w:t>2019</w:t>
      </w:r>
      <w:r>
        <w:rPr/>
        <w:t>年度利润分配情况： 公司</w:t>
      </w:r>
      <w:r>
        <w:rPr>
          <w:rFonts w:ascii="宋体" w:hAnsi="宋体" w:cs="宋体" w:eastAsia="宋体" w:hint="default"/>
        </w:rPr>
        <w:t>2019</w:t>
      </w:r>
      <w:r>
        <w:rPr/>
        <w:t>年度实现的利润</w:t>
      </w:r>
      <w:r>
        <w:rPr>
          <w:rFonts w:ascii="宋体" w:hAnsi="宋体" w:cs="宋体" w:eastAsia="宋体" w:hint="default"/>
        </w:rPr>
        <w:t>70,869,157.96</w:t>
      </w:r>
      <w:r>
        <w:rPr/>
        <w:t>为元，提取</w:t>
      </w:r>
      <w:r>
        <w:rPr>
          <w:rFonts w:ascii="宋体" w:hAnsi="宋体" w:cs="宋体" w:eastAsia="宋体" w:hint="default"/>
        </w:rPr>
        <w:t>6,485,526.99</w:t>
      </w:r>
      <w:r>
        <w:rPr/>
        <w:t>元作为法定公积金，截至</w:t>
      </w:r>
      <w:r>
        <w:rPr>
          <w:rFonts w:ascii="宋体" w:hAnsi="宋体" w:cs="宋体" w:eastAsia="宋体" w:hint="default"/>
        </w:rPr>
        <w:t>2019</w:t>
      </w:r>
      <w:r>
        <w:rPr/>
        <w:t>年末公司未分配利润为</w:t>
      </w:r>
    </w:p>
    <w:p>
      <w:pPr>
        <w:pStyle w:val="BodyText"/>
        <w:spacing w:line="316" w:lineRule="auto" w:before="18"/>
        <w:ind w:right="1124"/>
        <w:jc w:val="left"/>
        <w:rPr>
          <w:rFonts w:ascii="宋体" w:hAnsi="宋体" w:cs="宋体" w:eastAsia="宋体" w:hint="default"/>
        </w:rPr>
      </w:pPr>
      <w:r>
        <w:rPr>
          <w:rFonts w:ascii="宋体" w:hAnsi="宋体" w:cs="宋体" w:eastAsia="宋体" w:hint="default"/>
        </w:rPr>
        <w:t>320,503,355.93</w:t>
      </w:r>
      <w:r>
        <w:rPr/>
        <w:t>元，资本公积金</w:t>
      </w:r>
      <w:r>
        <w:rPr>
          <w:rFonts w:ascii="宋体" w:hAnsi="宋体" w:cs="宋体" w:eastAsia="宋体" w:hint="default"/>
        </w:rPr>
        <w:t>319,145,846.56</w:t>
      </w:r>
      <w:r>
        <w:rPr/>
        <w:t>元。公司拟以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181,096,722</w:t>
      </w:r>
      <w:r>
        <w:rPr/>
        <w:t>股为基数，每</w:t>
      </w:r>
      <w:r>
        <w:rPr>
          <w:rFonts w:ascii="宋体" w:hAnsi="宋体" w:cs="宋体" w:eastAsia="宋体" w:hint="default"/>
        </w:rPr>
        <w:t>10</w:t>
      </w:r>
      <w:r>
        <w:rPr/>
        <w:t>股派发现 </w:t>
      </w:r>
      <w:r>
        <w:rPr>
          <w:spacing w:val="-7"/>
        </w:rPr>
        <w:t>金红利人民币</w:t>
      </w:r>
      <w:r>
        <w:rPr>
          <w:rFonts w:ascii="宋体" w:hAnsi="宋体" w:cs="宋体" w:eastAsia="宋体" w:hint="default"/>
          <w:spacing w:val="-7"/>
        </w:rPr>
        <w:t>0.70</w:t>
      </w:r>
      <w:r>
        <w:rPr>
          <w:spacing w:val="-7"/>
        </w:rPr>
        <w:t>元（含税），共分配现金红利不超过人民币</w:t>
      </w:r>
      <w:r>
        <w:rPr>
          <w:rFonts w:ascii="宋体" w:hAnsi="宋体" w:cs="宋体" w:eastAsia="宋体" w:hint="default"/>
          <w:spacing w:val="-7"/>
        </w:rPr>
        <w:t>12,676,700.54</w:t>
      </w:r>
      <w:r>
        <w:rPr>
          <w:spacing w:val="-7"/>
        </w:rPr>
        <w:t>元（含税），同时，以公司现有总股本</w:t>
      </w:r>
      <w:r>
        <w:rPr>
          <w:rFonts w:ascii="宋体" w:hAnsi="宋体" w:cs="宋体" w:eastAsia="宋体" w:hint="default"/>
          <w:spacing w:val="-7"/>
        </w:rPr>
        <w:t>181,096,722</w:t>
      </w:r>
    </w:p>
    <w:p>
      <w:pPr>
        <w:spacing w:after="0" w:line="316" w:lineRule="auto"/>
        <w:jc w:val="left"/>
        <w:rPr>
          <w:rFonts w:ascii="宋体" w:hAnsi="宋体" w:cs="宋体" w:eastAsia="宋体" w:hint="default"/>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6" w:footer="1021" w:top="1100" w:bottom="1220" w:left="760" w:right="0"/>
        </w:sectPr>
      </w:pPr>
    </w:p>
    <w:p>
      <w:pPr>
        <w:pStyle w:val="BodyText"/>
        <w:spacing w:line="360" w:lineRule="auto" w:before="44"/>
        <w:ind w:left="372" w:right="-20"/>
        <w:jc w:val="left"/>
      </w:pPr>
      <w:r>
        <w:rPr/>
        <w:t>股为基数，每</w:t>
      </w:r>
      <w:r>
        <w:rPr>
          <w:rFonts w:ascii="宋体" w:hAnsi="宋体" w:cs="宋体" w:eastAsia="宋体" w:hint="default"/>
        </w:rPr>
        <w:t>10</w:t>
      </w:r>
      <w:r>
        <w:rPr/>
        <w:t>股转增</w:t>
      </w:r>
      <w:r>
        <w:rPr>
          <w:rFonts w:ascii="宋体" w:hAnsi="宋体" w:cs="宋体" w:eastAsia="宋体" w:hint="default"/>
        </w:rPr>
        <w:t>3</w:t>
      </w:r>
      <w:r>
        <w:rPr/>
        <w:t>股。</w:t>
      </w:r>
      <w:r>
        <w:rPr>
          <w:spacing w:val="-87"/>
        </w:rPr>
        <w:t> </w:t>
      </w: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72" w:right="0"/>
        <w:jc w:val="left"/>
      </w:pPr>
      <w:r>
        <w:rPr/>
        <w:t>单位：元</w:t>
      </w:r>
    </w:p>
    <w:p>
      <w:pPr>
        <w:spacing w:after="0" w:line="240" w:lineRule="auto"/>
        <w:jc w:val="left"/>
        <w:sectPr>
          <w:type w:val="continuous"/>
          <w:pgSz w:w="11910" w:h="16840"/>
          <w:pgMar w:top="1100" w:bottom="1220" w:left="760" w:right="0"/>
          <w:cols w:num="2" w:equalWidth="0">
            <w:col w:w="4513" w:space="4407"/>
            <w:col w:w="2230"/>
          </w:cols>
        </w:sectPr>
      </w:pP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939"/>
        <w:gridCol w:w="1301"/>
        <w:gridCol w:w="1275"/>
        <w:gridCol w:w="1366"/>
        <w:gridCol w:w="917"/>
        <w:gridCol w:w="1553"/>
        <w:gridCol w:w="1263"/>
        <w:gridCol w:w="1541"/>
      </w:tblGrid>
      <w:tr>
        <w:trPr>
          <w:trHeight w:val="1649"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分红年度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left="7" w:right="0"/>
              <w:jc w:val="center"/>
              <w:rPr>
                <w:rFonts w:ascii="宋体" w:hAnsi="宋体" w:cs="宋体" w:eastAsia="宋体" w:hint="default"/>
                <w:sz w:val="16"/>
                <w:szCs w:val="16"/>
              </w:rPr>
            </w:pPr>
            <w:r>
              <w:rPr>
                <w:rFonts w:ascii="宋体" w:hAnsi="宋体" w:cs="宋体" w:eastAsia="宋体" w:hint="default"/>
                <w:sz w:val="16"/>
                <w:szCs w:val="16"/>
              </w:rPr>
              <w:t>现金分红金额</w:t>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sz w:val="16"/>
                <w:szCs w:val="16"/>
              </w:rPr>
              <w:t>（含税）</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51" w:right="149" w:hanging="1"/>
              <w:jc w:val="center"/>
              <w:rPr>
                <w:rFonts w:ascii="宋体" w:hAnsi="宋体" w:cs="宋体" w:eastAsia="宋体" w:hint="default"/>
                <w:sz w:val="16"/>
                <w:szCs w:val="16"/>
              </w:rPr>
            </w:pPr>
            <w:r>
              <w:rPr>
                <w:rFonts w:ascii="宋体" w:hAnsi="宋体" w:cs="宋体" w:eastAsia="宋体" w:hint="default"/>
                <w:sz w:val="16"/>
                <w:szCs w:val="16"/>
              </w:rPr>
              <w:t>分红年度合并</w:t>
            </w:r>
            <w:r>
              <w:rPr>
                <w:rFonts w:ascii="宋体" w:hAnsi="宋体" w:cs="宋体" w:eastAsia="宋体" w:hint="default"/>
                <w:w w:val="100"/>
                <w:sz w:val="16"/>
                <w:szCs w:val="16"/>
              </w:rPr>
              <w:t> </w:t>
            </w:r>
            <w:r>
              <w:rPr>
                <w:rFonts w:ascii="宋体" w:hAnsi="宋体" w:cs="宋体" w:eastAsia="宋体" w:hint="default"/>
                <w:sz w:val="16"/>
                <w:szCs w:val="16"/>
              </w:rPr>
              <w:t>报表中归属于</w:t>
            </w:r>
            <w:r>
              <w:rPr>
                <w:rFonts w:ascii="宋体" w:hAnsi="宋体" w:cs="宋体" w:eastAsia="宋体" w:hint="default"/>
                <w:w w:val="100"/>
                <w:sz w:val="16"/>
                <w:szCs w:val="16"/>
              </w:rPr>
              <w:t> </w:t>
            </w:r>
            <w:r>
              <w:rPr>
                <w:rFonts w:ascii="宋体" w:hAnsi="宋体" w:cs="宋体" w:eastAsia="宋体" w:hint="default"/>
                <w:sz w:val="16"/>
                <w:szCs w:val="16"/>
              </w:rPr>
              <w:t>上市公司普通</w:t>
            </w:r>
            <w:r>
              <w:rPr>
                <w:rFonts w:ascii="宋体" w:hAnsi="宋体" w:cs="宋体" w:eastAsia="宋体" w:hint="default"/>
                <w:w w:val="100"/>
                <w:sz w:val="16"/>
                <w:szCs w:val="16"/>
              </w:rPr>
              <w:t> </w:t>
            </w:r>
            <w:r>
              <w:rPr>
                <w:rFonts w:ascii="宋体" w:hAnsi="宋体" w:cs="宋体" w:eastAsia="宋体" w:hint="default"/>
                <w:sz w:val="16"/>
                <w:szCs w:val="16"/>
              </w:rPr>
              <w:t>股股东的净利</w:t>
            </w:r>
            <w:r>
              <w:rPr>
                <w:rFonts w:ascii="宋体" w:hAnsi="宋体" w:cs="宋体" w:eastAsia="宋体" w:hint="default"/>
                <w:w w:val="100"/>
                <w:sz w:val="16"/>
                <w:szCs w:val="16"/>
              </w:rPr>
              <w:t> </w:t>
            </w:r>
            <w:r>
              <w:rPr>
                <w:rFonts w:ascii="宋体" w:hAnsi="宋体" w:cs="宋体" w:eastAsia="宋体" w:hint="default"/>
                <w:sz w:val="16"/>
                <w:szCs w:val="16"/>
              </w:rPr>
              <w:t>润</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19" w:right="110"/>
              <w:jc w:val="center"/>
              <w:rPr>
                <w:rFonts w:ascii="宋体" w:hAnsi="宋体" w:cs="宋体" w:eastAsia="宋体" w:hint="default"/>
                <w:sz w:val="16"/>
                <w:szCs w:val="16"/>
              </w:rPr>
            </w:pPr>
            <w:r>
              <w:rPr>
                <w:rFonts w:ascii="宋体" w:hAnsi="宋体" w:cs="宋体" w:eastAsia="宋体" w:hint="default"/>
                <w:sz w:val="16"/>
                <w:szCs w:val="16"/>
              </w:rPr>
              <w:t>现金分红金额占</w:t>
            </w:r>
            <w:r>
              <w:rPr>
                <w:rFonts w:ascii="宋体" w:hAnsi="宋体" w:cs="宋体" w:eastAsia="宋体" w:hint="default"/>
                <w:w w:val="100"/>
                <w:sz w:val="16"/>
                <w:szCs w:val="16"/>
              </w:rPr>
              <w:t> </w:t>
            </w:r>
            <w:r>
              <w:rPr>
                <w:rFonts w:ascii="宋体" w:hAnsi="宋体" w:cs="宋体" w:eastAsia="宋体" w:hint="default"/>
                <w:sz w:val="16"/>
                <w:szCs w:val="16"/>
              </w:rPr>
              <w:t>合并报表中归属</w:t>
            </w:r>
            <w:r>
              <w:rPr>
                <w:rFonts w:ascii="宋体" w:hAnsi="宋体" w:cs="宋体" w:eastAsia="宋体" w:hint="default"/>
                <w:w w:val="100"/>
                <w:sz w:val="16"/>
                <w:szCs w:val="16"/>
              </w:rPr>
              <w:t> </w:t>
            </w:r>
            <w:r>
              <w:rPr>
                <w:rFonts w:ascii="宋体" w:hAnsi="宋体" w:cs="宋体" w:eastAsia="宋体" w:hint="default"/>
                <w:sz w:val="16"/>
                <w:szCs w:val="16"/>
              </w:rPr>
              <w:t>于上市公司普通</w:t>
            </w:r>
            <w:r>
              <w:rPr>
                <w:rFonts w:ascii="宋体" w:hAnsi="宋体" w:cs="宋体" w:eastAsia="宋体" w:hint="default"/>
                <w:w w:val="100"/>
                <w:sz w:val="16"/>
                <w:szCs w:val="16"/>
              </w:rPr>
              <w:t> </w:t>
            </w:r>
            <w:r>
              <w:rPr>
                <w:rFonts w:ascii="宋体" w:hAnsi="宋体" w:cs="宋体" w:eastAsia="宋体" w:hint="default"/>
                <w:sz w:val="16"/>
                <w:szCs w:val="16"/>
              </w:rPr>
              <w:t>股股东的净利润</w:t>
            </w:r>
            <w:r>
              <w:rPr>
                <w:rFonts w:ascii="宋体" w:hAnsi="宋体" w:cs="宋体" w:eastAsia="宋体" w:hint="default"/>
                <w:w w:val="100"/>
                <w:sz w:val="16"/>
                <w:szCs w:val="16"/>
              </w:rPr>
              <w:t> </w:t>
            </w:r>
            <w:r>
              <w:rPr>
                <w:rFonts w:ascii="宋体" w:hAnsi="宋体" w:cs="宋体" w:eastAsia="宋体" w:hint="default"/>
                <w:sz w:val="16"/>
                <w:szCs w:val="16"/>
              </w:rPr>
              <w:t>的比率</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34" w:right="129"/>
              <w:jc w:val="both"/>
              <w:rPr>
                <w:rFonts w:ascii="宋体" w:hAnsi="宋体" w:cs="宋体" w:eastAsia="宋体" w:hint="default"/>
                <w:sz w:val="16"/>
                <w:szCs w:val="16"/>
              </w:rPr>
            </w:pPr>
            <w:r>
              <w:rPr>
                <w:rFonts w:ascii="宋体" w:hAnsi="宋体" w:cs="宋体" w:eastAsia="宋体" w:hint="default"/>
                <w:sz w:val="16"/>
                <w:szCs w:val="16"/>
              </w:rPr>
              <w:t>以其他方</w:t>
            </w:r>
            <w:r>
              <w:rPr>
                <w:rFonts w:ascii="宋体" w:hAnsi="宋体" w:cs="宋体" w:eastAsia="宋体" w:hint="default"/>
                <w:spacing w:val="-77"/>
                <w:sz w:val="16"/>
                <w:szCs w:val="16"/>
              </w:rPr>
              <w:t> </w:t>
            </w:r>
            <w:r>
              <w:rPr>
                <w:rFonts w:ascii="宋体" w:hAnsi="宋体" w:cs="宋体" w:eastAsia="宋体" w:hint="default"/>
                <w:sz w:val="16"/>
                <w:szCs w:val="16"/>
              </w:rPr>
              <w:t>式（如回</w:t>
            </w:r>
            <w:r>
              <w:rPr>
                <w:rFonts w:ascii="宋体" w:hAnsi="宋体" w:cs="宋体" w:eastAsia="宋体" w:hint="default"/>
                <w:spacing w:val="-77"/>
                <w:sz w:val="16"/>
                <w:szCs w:val="16"/>
              </w:rPr>
              <w:t> </w:t>
            </w:r>
            <w:r>
              <w:rPr>
                <w:rFonts w:ascii="宋体" w:hAnsi="宋体" w:cs="宋体" w:eastAsia="宋体" w:hint="default"/>
                <w:sz w:val="16"/>
                <w:szCs w:val="16"/>
              </w:rPr>
              <w:t>购股份）</w:t>
            </w:r>
            <w:r>
              <w:rPr>
                <w:rFonts w:ascii="宋体" w:hAnsi="宋体" w:cs="宋体" w:eastAsia="宋体" w:hint="default"/>
                <w:spacing w:val="-77"/>
                <w:sz w:val="16"/>
                <w:szCs w:val="16"/>
              </w:rPr>
              <w:t> </w:t>
            </w:r>
            <w:r>
              <w:rPr>
                <w:rFonts w:ascii="宋体" w:hAnsi="宋体" w:cs="宋体" w:eastAsia="宋体" w:hint="default"/>
                <w:sz w:val="16"/>
                <w:szCs w:val="16"/>
              </w:rPr>
              <w:t>现金分红</w:t>
            </w:r>
            <w:r>
              <w:rPr>
                <w:rFonts w:ascii="宋体" w:hAnsi="宋体" w:cs="宋体" w:eastAsia="宋体" w:hint="default"/>
                <w:spacing w:val="-77"/>
                <w:sz w:val="16"/>
                <w:szCs w:val="16"/>
              </w:rPr>
              <w:t> </w:t>
            </w:r>
            <w:r>
              <w:rPr>
                <w:rFonts w:ascii="宋体" w:hAnsi="宋体" w:cs="宋体" w:eastAsia="宋体" w:hint="default"/>
                <w:sz w:val="16"/>
                <w:szCs w:val="16"/>
              </w:rPr>
              <w:t>的金额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34" w:right="125"/>
              <w:jc w:val="center"/>
              <w:rPr>
                <w:rFonts w:ascii="宋体" w:hAnsi="宋体" w:cs="宋体" w:eastAsia="宋体" w:hint="default"/>
                <w:sz w:val="16"/>
                <w:szCs w:val="16"/>
              </w:rPr>
            </w:pPr>
            <w:r>
              <w:rPr>
                <w:rFonts w:ascii="宋体" w:hAnsi="宋体" w:cs="宋体" w:eastAsia="宋体" w:hint="default"/>
                <w:spacing w:val="-1"/>
                <w:sz w:val="16"/>
                <w:szCs w:val="16"/>
              </w:rPr>
              <w:t>以其他方式现金分</w:t>
            </w:r>
            <w:r>
              <w:rPr>
                <w:rFonts w:ascii="宋体" w:hAnsi="宋体" w:cs="宋体" w:eastAsia="宋体" w:hint="default"/>
                <w:w w:val="100"/>
                <w:sz w:val="16"/>
                <w:szCs w:val="16"/>
              </w:rPr>
              <w:t> </w:t>
            </w:r>
            <w:r>
              <w:rPr>
                <w:rFonts w:ascii="宋体" w:hAnsi="宋体" w:cs="宋体" w:eastAsia="宋体" w:hint="default"/>
                <w:spacing w:val="-1"/>
                <w:sz w:val="16"/>
                <w:szCs w:val="16"/>
              </w:rPr>
              <w:t>红金额占合并报表</w:t>
            </w:r>
            <w:r>
              <w:rPr>
                <w:rFonts w:ascii="宋体" w:hAnsi="宋体" w:cs="宋体" w:eastAsia="宋体" w:hint="default"/>
                <w:w w:val="100"/>
                <w:sz w:val="16"/>
                <w:szCs w:val="16"/>
              </w:rPr>
              <w:t> </w:t>
            </w:r>
            <w:r>
              <w:rPr>
                <w:rFonts w:ascii="宋体" w:hAnsi="宋体" w:cs="宋体" w:eastAsia="宋体" w:hint="default"/>
                <w:spacing w:val="-1"/>
                <w:sz w:val="16"/>
                <w:szCs w:val="16"/>
              </w:rPr>
              <w:t>中归属于上市公司</w:t>
            </w:r>
            <w:r>
              <w:rPr>
                <w:rFonts w:ascii="宋体" w:hAnsi="宋体" w:cs="宋体" w:eastAsia="宋体" w:hint="default"/>
                <w:w w:val="100"/>
                <w:sz w:val="16"/>
                <w:szCs w:val="16"/>
              </w:rPr>
              <w:t> </w:t>
            </w:r>
            <w:r>
              <w:rPr>
                <w:rFonts w:ascii="宋体" w:hAnsi="宋体" w:cs="宋体" w:eastAsia="宋体" w:hint="default"/>
                <w:spacing w:val="-1"/>
                <w:sz w:val="16"/>
                <w:szCs w:val="16"/>
              </w:rPr>
              <w:t>普通股股东的净利</w:t>
            </w:r>
            <w:r>
              <w:rPr>
                <w:rFonts w:ascii="宋体" w:hAnsi="宋体" w:cs="宋体" w:eastAsia="宋体" w:hint="default"/>
                <w:w w:val="100"/>
                <w:sz w:val="16"/>
                <w:szCs w:val="16"/>
              </w:rPr>
              <w:t> </w:t>
            </w:r>
            <w:r>
              <w:rPr>
                <w:rFonts w:ascii="宋体" w:hAnsi="宋体" w:cs="宋体" w:eastAsia="宋体" w:hint="default"/>
                <w:sz w:val="16"/>
                <w:szCs w:val="16"/>
              </w:rPr>
              <w:t>润的比例</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left="146" w:right="0"/>
              <w:jc w:val="left"/>
              <w:rPr>
                <w:rFonts w:ascii="宋体" w:hAnsi="宋体" w:cs="宋体" w:eastAsia="宋体" w:hint="default"/>
                <w:sz w:val="16"/>
                <w:szCs w:val="16"/>
              </w:rPr>
            </w:pPr>
            <w:r>
              <w:rPr>
                <w:rFonts w:ascii="宋体" w:hAnsi="宋体" w:cs="宋体" w:eastAsia="宋体" w:hint="default"/>
                <w:sz w:val="16"/>
                <w:szCs w:val="16"/>
              </w:rPr>
              <w:t>现金分红总额</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（含其他方式）</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24" w:right="122"/>
              <w:jc w:val="center"/>
              <w:rPr>
                <w:rFonts w:ascii="宋体" w:hAnsi="宋体" w:cs="宋体" w:eastAsia="宋体" w:hint="default"/>
                <w:sz w:val="16"/>
                <w:szCs w:val="16"/>
              </w:rPr>
            </w:pPr>
            <w:r>
              <w:rPr>
                <w:rFonts w:ascii="宋体" w:hAnsi="宋体" w:cs="宋体" w:eastAsia="宋体" w:hint="default"/>
                <w:spacing w:val="-1"/>
                <w:sz w:val="16"/>
                <w:szCs w:val="16"/>
              </w:rPr>
              <w:t>现金分红总额（含</w:t>
            </w:r>
            <w:r>
              <w:rPr>
                <w:rFonts w:ascii="宋体" w:hAnsi="宋体" w:cs="宋体" w:eastAsia="宋体" w:hint="default"/>
                <w:w w:val="100"/>
                <w:sz w:val="16"/>
                <w:szCs w:val="16"/>
              </w:rPr>
              <w:t> </w:t>
            </w:r>
            <w:r>
              <w:rPr>
                <w:rFonts w:ascii="宋体" w:hAnsi="宋体" w:cs="宋体" w:eastAsia="宋体" w:hint="default"/>
                <w:spacing w:val="-1"/>
                <w:sz w:val="16"/>
                <w:szCs w:val="16"/>
              </w:rPr>
              <w:t>其他方式）占合并</w:t>
            </w:r>
            <w:r>
              <w:rPr>
                <w:rFonts w:ascii="宋体" w:hAnsi="宋体" w:cs="宋体" w:eastAsia="宋体" w:hint="default"/>
                <w:w w:val="100"/>
                <w:sz w:val="16"/>
                <w:szCs w:val="16"/>
              </w:rPr>
              <w:t> </w:t>
            </w:r>
            <w:r>
              <w:rPr>
                <w:rFonts w:ascii="宋体" w:hAnsi="宋体" w:cs="宋体" w:eastAsia="宋体" w:hint="default"/>
                <w:spacing w:val="-1"/>
                <w:sz w:val="16"/>
                <w:szCs w:val="16"/>
              </w:rPr>
              <w:t>报表中归属于上市</w:t>
            </w:r>
            <w:r>
              <w:rPr>
                <w:rFonts w:ascii="宋体" w:hAnsi="宋体" w:cs="宋体" w:eastAsia="宋体" w:hint="default"/>
                <w:w w:val="100"/>
                <w:sz w:val="16"/>
                <w:szCs w:val="16"/>
              </w:rPr>
              <w:t> </w:t>
            </w:r>
            <w:r>
              <w:rPr>
                <w:rFonts w:ascii="宋体" w:hAnsi="宋体" w:cs="宋体" w:eastAsia="宋体" w:hint="default"/>
                <w:spacing w:val="-1"/>
                <w:sz w:val="16"/>
                <w:szCs w:val="16"/>
              </w:rPr>
              <w:t>公司普通股股东的</w:t>
            </w:r>
            <w:r>
              <w:rPr>
                <w:rFonts w:ascii="宋体" w:hAnsi="宋体" w:cs="宋体" w:eastAsia="宋体" w:hint="default"/>
                <w:w w:val="100"/>
                <w:sz w:val="16"/>
                <w:szCs w:val="16"/>
              </w:rPr>
              <w:t> </w:t>
            </w:r>
            <w:r>
              <w:rPr>
                <w:rFonts w:ascii="宋体" w:hAnsi="宋体" w:cs="宋体" w:eastAsia="宋体" w:hint="default"/>
                <w:sz w:val="16"/>
                <w:szCs w:val="16"/>
              </w:rPr>
              <w:t>净利润的比率</w:t>
            </w:r>
          </w:p>
        </w:tc>
      </w:tr>
      <w:tr>
        <w:trPr>
          <w:trHeight w:val="403"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12,676,770.54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17.89%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12,676,770.54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17.89%</w:t>
            </w:r>
          </w:p>
        </w:tc>
      </w:tr>
      <w:tr>
        <w:trPr>
          <w:trHeight w:val="401"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12,000,000.00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23.44%</w:t>
            </w:r>
          </w:p>
        </w:tc>
      </w:tr>
      <w:tr>
        <w:trPr>
          <w:trHeight w:val="404"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42,930,074.35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27.95%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12,000,000.00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27.95%</w:t>
            </w:r>
          </w:p>
        </w:tc>
      </w:tr>
    </w:tbl>
    <w:p>
      <w:pPr>
        <w:pStyle w:val="BodyText"/>
        <w:spacing w:line="240" w:lineRule="auto" w:before="49"/>
        <w:ind w:left="372" w:right="0"/>
        <w:jc w:val="left"/>
      </w:pPr>
      <w:r>
        <w:rPr/>
        <w:t>公司报告期内盈利且母公司可供普通股股东分配利润为正但未提出普通股现金红利分配预案</w:t>
      </w:r>
    </w:p>
    <w:p>
      <w:pPr>
        <w:pStyle w:val="BodyText"/>
        <w:spacing w:line="240" w:lineRule="auto" w:before="115"/>
        <w:ind w:left="372"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left="372"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left="372"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372"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50"/>
        <w:gridCol w:w="1126"/>
        <w:gridCol w:w="996"/>
        <w:gridCol w:w="3144"/>
        <w:gridCol w:w="1023"/>
        <w:gridCol w:w="984"/>
        <w:gridCol w:w="977"/>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6"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13"/>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04" w:right="113"/>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105" w:right="188"/>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05" w:right="15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67"/>
              <w:ind w:left="105" w:right="17"/>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、自先进数通首次向社会公开发行的股票</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上市之日起三十六个月内，本人不转让或</w:t>
            </w:r>
            <w:r>
              <w:rPr>
                <w:rFonts w:ascii="宋体" w:hAnsi="宋体" w:cs="宋体" w:eastAsia="宋体" w:hint="default"/>
                <w:w w:val="100"/>
                <w:sz w:val="16"/>
                <w:szCs w:val="16"/>
              </w:rPr>
              <w:t> </w:t>
            </w:r>
            <w:r>
              <w:rPr>
                <w:rFonts w:ascii="宋体" w:hAnsi="宋体" w:cs="宋体" w:eastAsia="宋体" w:hint="default"/>
                <w:sz w:val="16"/>
                <w:szCs w:val="16"/>
              </w:rPr>
              <w:t>者委托他人管理本人所持有的公司股份，</w:t>
            </w:r>
            <w:r>
              <w:rPr>
                <w:rFonts w:ascii="宋体" w:hAnsi="宋体" w:cs="宋体" w:eastAsia="宋体" w:hint="default"/>
                <w:w w:val="100"/>
                <w:sz w:val="16"/>
                <w:szCs w:val="16"/>
              </w:rPr>
              <w:t> </w:t>
            </w:r>
            <w:r>
              <w:rPr>
                <w:rFonts w:ascii="宋体" w:hAnsi="宋体" w:cs="宋体" w:eastAsia="宋体" w:hint="default"/>
                <w:sz w:val="16"/>
                <w:szCs w:val="16"/>
              </w:rPr>
              <w:t>也不由公司回购本人所持有的股份。</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pacing w:val="-3"/>
                <w:sz w:val="16"/>
                <w:szCs w:val="16"/>
              </w:rPr>
              <w:t>前述锁定期满后，在本人仍担任公司董事、</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监事、高级管理人员期间，每年转让的股</w:t>
            </w:r>
            <w:r>
              <w:rPr>
                <w:rFonts w:ascii="宋体" w:hAnsi="宋体" w:cs="宋体" w:eastAsia="宋体" w:hint="default"/>
                <w:w w:val="100"/>
                <w:sz w:val="16"/>
                <w:szCs w:val="16"/>
              </w:rPr>
              <w:t> </w:t>
            </w:r>
            <w:r>
              <w:rPr>
                <w:rFonts w:ascii="宋体" w:hAnsi="宋体" w:cs="宋体" w:eastAsia="宋体" w:hint="default"/>
                <w:sz w:val="16"/>
                <w:szCs w:val="16"/>
              </w:rPr>
              <w:t>份不超过本人按照有关法律法规可以转让</w:t>
            </w:r>
            <w:r>
              <w:rPr>
                <w:rFonts w:ascii="宋体" w:hAnsi="宋体" w:cs="宋体" w:eastAsia="宋体" w:hint="default"/>
                <w:w w:val="100"/>
                <w:sz w:val="16"/>
                <w:szCs w:val="16"/>
              </w:rPr>
              <w:t> </w:t>
            </w:r>
            <w:r>
              <w:rPr>
                <w:rFonts w:ascii="宋体" w:hAnsi="宋体" w:cs="宋体" w:eastAsia="宋体" w:hint="default"/>
                <w:sz w:val="16"/>
                <w:szCs w:val="16"/>
              </w:rPr>
              <w:t>的所持公司股份总数的</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25%</w:t>
            </w:r>
            <w:r>
              <w:rPr>
                <w:rFonts w:ascii="宋体" w:hAnsi="宋体" w:cs="宋体" w:eastAsia="宋体" w:hint="default"/>
                <w:sz w:val="16"/>
                <w:szCs w:val="16"/>
              </w:rPr>
              <w:t>；在本人离职</w:t>
            </w:r>
            <w:r>
              <w:rPr>
                <w:rFonts w:ascii="宋体" w:hAnsi="宋体" w:cs="宋体" w:eastAsia="宋体" w:hint="default"/>
                <w:w w:val="100"/>
                <w:sz w:val="16"/>
                <w:szCs w:val="16"/>
              </w:rPr>
              <w:t> </w:t>
            </w:r>
            <w:r>
              <w:rPr>
                <w:rFonts w:ascii="宋体" w:hAnsi="宋体" w:cs="宋体" w:eastAsia="宋体" w:hint="default"/>
                <w:spacing w:val="-3"/>
                <w:sz w:val="16"/>
                <w:szCs w:val="16"/>
              </w:rPr>
              <w:t>后半年内，不转让本人所持有的公司股份；</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在申报离任六个月后的十二个月内通过证</w:t>
            </w:r>
            <w:r>
              <w:rPr>
                <w:rFonts w:ascii="宋体" w:hAnsi="宋体" w:cs="宋体" w:eastAsia="宋体" w:hint="default"/>
                <w:w w:val="100"/>
                <w:sz w:val="16"/>
                <w:szCs w:val="16"/>
              </w:rPr>
              <w:t> </w:t>
            </w:r>
            <w:r>
              <w:rPr>
                <w:rFonts w:ascii="宋体" w:hAnsi="宋体" w:cs="宋体" w:eastAsia="宋体" w:hint="default"/>
                <w:sz w:val="16"/>
                <w:szCs w:val="16"/>
              </w:rPr>
              <w:t>券交易所挂牌交易出售公司股票数量占本</w:t>
            </w:r>
            <w:r>
              <w:rPr>
                <w:rFonts w:ascii="宋体" w:hAnsi="宋体" w:cs="宋体" w:eastAsia="宋体" w:hint="default"/>
                <w:w w:val="100"/>
                <w:sz w:val="16"/>
                <w:szCs w:val="16"/>
              </w:rPr>
              <w:t> </w:t>
            </w:r>
            <w:r>
              <w:rPr>
                <w:rFonts w:ascii="宋体" w:hAnsi="宋体" w:cs="宋体" w:eastAsia="宋体" w:hint="default"/>
                <w:sz w:val="16"/>
                <w:szCs w:val="16"/>
              </w:rPr>
              <w:t>人所持有公司股票总数的比例不超过</w:t>
            </w:r>
            <w:r>
              <w:rPr>
                <w:rFonts w:ascii="宋体" w:hAnsi="宋体" w:cs="宋体" w:eastAsia="宋体" w:hint="default"/>
                <w:w w:val="100"/>
                <w:sz w:val="16"/>
                <w:szCs w:val="16"/>
              </w:rPr>
              <w:t> </w:t>
            </w:r>
            <w:r>
              <w:rPr>
                <w:rFonts w:ascii="Times New Roman" w:hAnsi="Times New Roman" w:cs="Times New Roman" w:eastAsia="Times New Roman" w:hint="default"/>
                <w:sz w:val="16"/>
                <w:szCs w:val="16"/>
              </w:rPr>
              <w:t>50%</w:t>
            </w:r>
            <w:r>
              <w:rPr>
                <w:rFonts w:ascii="宋体" w:hAnsi="宋体" w:cs="宋体" w:eastAsia="宋体" w:hint="default"/>
                <w:sz w:val="16"/>
                <w:szCs w:val="16"/>
              </w:rPr>
              <w:t>。若本人在首次公开发行股票上市之</w:t>
            </w:r>
            <w:r>
              <w:rPr>
                <w:rFonts w:ascii="宋体" w:hAnsi="宋体" w:cs="宋体" w:eastAsia="宋体" w:hint="default"/>
                <w:w w:val="100"/>
                <w:sz w:val="16"/>
                <w:szCs w:val="16"/>
              </w:rPr>
              <w:t> </w:t>
            </w:r>
            <w:r>
              <w:rPr>
                <w:rFonts w:ascii="宋体" w:hAnsi="宋体" w:cs="宋体" w:eastAsia="宋体" w:hint="default"/>
                <w:sz w:val="16"/>
                <w:szCs w:val="16"/>
              </w:rPr>
              <w:t>日起六个月内申报离职，自申报离职之日</w:t>
            </w:r>
            <w:r>
              <w:rPr>
                <w:rFonts w:ascii="宋体" w:hAnsi="宋体" w:cs="宋体" w:eastAsia="宋体" w:hint="default"/>
                <w:w w:val="100"/>
                <w:sz w:val="16"/>
                <w:szCs w:val="16"/>
              </w:rPr>
              <w:t> </w:t>
            </w:r>
            <w:r>
              <w:rPr>
                <w:rFonts w:ascii="宋体" w:hAnsi="宋体" w:cs="宋体" w:eastAsia="宋体" w:hint="default"/>
                <w:sz w:val="16"/>
                <w:szCs w:val="16"/>
              </w:rPr>
              <w:t>起十八个月内不转让其直接持有的公司股</w:t>
            </w:r>
            <w:r>
              <w:rPr>
                <w:rFonts w:ascii="宋体" w:hAnsi="宋体" w:cs="宋体" w:eastAsia="宋体" w:hint="default"/>
                <w:w w:val="100"/>
                <w:sz w:val="16"/>
                <w:szCs w:val="16"/>
              </w:rPr>
              <w:t> </w:t>
            </w:r>
            <w:r>
              <w:rPr>
                <w:rFonts w:ascii="宋体" w:hAnsi="宋体" w:cs="宋体" w:eastAsia="宋体" w:hint="default"/>
                <w:sz w:val="16"/>
                <w:szCs w:val="16"/>
              </w:rPr>
              <w:t>份；在首次公开发行股票上市之日起第七</w:t>
            </w:r>
            <w:r>
              <w:rPr>
                <w:rFonts w:ascii="宋体" w:hAnsi="宋体" w:cs="宋体" w:eastAsia="宋体" w:hint="default"/>
                <w:w w:val="100"/>
                <w:sz w:val="16"/>
                <w:szCs w:val="16"/>
              </w:rPr>
              <w:t> </w:t>
            </w:r>
            <w:r>
              <w:rPr>
                <w:rFonts w:ascii="宋体" w:hAnsi="宋体" w:cs="宋体" w:eastAsia="宋体" w:hint="default"/>
                <w:sz w:val="16"/>
                <w:szCs w:val="16"/>
              </w:rPr>
              <w:t>个月至第十二个月之间申报离职，自申报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9" w:lineRule="auto"/>
        <w:jc w:val="left"/>
        <w:rPr>
          <w:rFonts w:ascii="宋体" w:hAnsi="宋体" w:cs="宋体" w:eastAsia="宋体" w:hint="default"/>
          <w:sz w:val="18"/>
          <w:szCs w:val="18"/>
        </w:rPr>
        <w:sectPr>
          <w:type w:val="continuous"/>
          <w:pgSz w:w="11910" w:h="16840"/>
          <w:pgMar w:top="1100" w:bottom="1220" w:left="7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9"/>
      </w:tblGrid>
      <w:tr>
        <w:trPr>
          <w:trHeight w:val="5043" w:hRule="exact"/>
        </w:trPr>
        <w:tc>
          <w:tcPr>
            <w:tcW w:w="1850"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6"/>
              <w:ind w:left="105" w:right="96"/>
              <w:jc w:val="both"/>
              <w:rPr>
                <w:rFonts w:ascii="宋体" w:hAnsi="宋体" w:cs="宋体" w:eastAsia="宋体" w:hint="default"/>
                <w:sz w:val="16"/>
                <w:szCs w:val="16"/>
              </w:rPr>
            </w:pPr>
            <w:r>
              <w:rPr>
                <w:rFonts w:ascii="宋体" w:hAnsi="宋体" w:cs="宋体" w:eastAsia="宋体" w:hint="default"/>
                <w:sz w:val="16"/>
                <w:szCs w:val="16"/>
              </w:rPr>
              <w:t>离职之日起十二个月内不转让其直接持有</w:t>
            </w:r>
            <w:r>
              <w:rPr>
                <w:rFonts w:ascii="宋体" w:hAnsi="宋体" w:cs="宋体" w:eastAsia="宋体" w:hint="default"/>
                <w:w w:val="100"/>
                <w:sz w:val="16"/>
                <w:szCs w:val="16"/>
              </w:rPr>
              <w:t> </w:t>
            </w:r>
            <w:r>
              <w:rPr>
                <w:rFonts w:ascii="宋体" w:hAnsi="宋体" w:cs="宋体" w:eastAsia="宋体" w:hint="default"/>
                <w:sz w:val="16"/>
                <w:szCs w:val="16"/>
              </w:rPr>
              <w:t>的公司股份。</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3</w:t>
            </w:r>
            <w:r>
              <w:rPr>
                <w:rFonts w:ascii="宋体" w:hAnsi="宋体" w:cs="宋体" w:eastAsia="宋体" w:hint="default"/>
                <w:sz w:val="16"/>
                <w:szCs w:val="16"/>
              </w:rPr>
              <w:t>、本人所持公司股票在前</w:t>
            </w:r>
            <w:r>
              <w:rPr>
                <w:rFonts w:ascii="宋体" w:hAnsi="宋体" w:cs="宋体" w:eastAsia="宋体" w:hint="default"/>
                <w:w w:val="100"/>
                <w:sz w:val="16"/>
                <w:szCs w:val="16"/>
              </w:rPr>
              <w:t> </w:t>
            </w:r>
            <w:r>
              <w:rPr>
                <w:rFonts w:ascii="宋体" w:hAnsi="宋体" w:cs="宋体" w:eastAsia="宋体" w:hint="default"/>
                <w:sz w:val="16"/>
                <w:szCs w:val="16"/>
              </w:rPr>
              <w:t>述锁定期满后两年内减持的，其减持价格</w:t>
            </w:r>
            <w:r>
              <w:rPr>
                <w:rFonts w:ascii="宋体" w:hAnsi="宋体" w:cs="宋体" w:eastAsia="宋体" w:hint="default"/>
                <w:w w:val="100"/>
                <w:sz w:val="16"/>
                <w:szCs w:val="16"/>
              </w:rPr>
              <w:t> </w:t>
            </w:r>
            <w:r>
              <w:rPr>
                <w:rFonts w:ascii="宋体" w:hAnsi="宋体" w:cs="宋体" w:eastAsia="宋体" w:hint="default"/>
                <w:sz w:val="16"/>
                <w:szCs w:val="16"/>
              </w:rPr>
              <w:t>不低于发行价（自公司股票上市至本人减</w:t>
            </w:r>
            <w:r>
              <w:rPr>
                <w:rFonts w:ascii="宋体" w:hAnsi="宋体" w:cs="宋体" w:eastAsia="宋体" w:hint="default"/>
                <w:w w:val="100"/>
                <w:sz w:val="16"/>
                <w:szCs w:val="16"/>
              </w:rPr>
              <w:t> </w:t>
            </w:r>
            <w:r>
              <w:rPr>
                <w:rFonts w:ascii="宋体" w:hAnsi="宋体" w:cs="宋体" w:eastAsia="宋体" w:hint="default"/>
                <w:sz w:val="16"/>
                <w:szCs w:val="16"/>
              </w:rPr>
              <w:t>持期间，公司如有派息、送股、资本公积</w:t>
            </w:r>
            <w:r>
              <w:rPr>
                <w:rFonts w:ascii="宋体" w:hAnsi="宋体" w:cs="宋体" w:eastAsia="宋体" w:hint="default"/>
                <w:w w:val="100"/>
                <w:sz w:val="16"/>
                <w:szCs w:val="16"/>
              </w:rPr>
              <w:t> </w:t>
            </w:r>
            <w:r>
              <w:rPr>
                <w:rFonts w:ascii="宋体" w:hAnsi="宋体" w:cs="宋体" w:eastAsia="宋体" w:hint="default"/>
                <w:sz w:val="16"/>
                <w:szCs w:val="16"/>
              </w:rPr>
              <w:t>金转增股本、配股等除权除息事项，发行</w:t>
            </w:r>
            <w:r>
              <w:rPr>
                <w:rFonts w:ascii="宋体" w:hAnsi="宋体" w:cs="宋体" w:eastAsia="宋体" w:hint="default"/>
                <w:w w:val="100"/>
                <w:sz w:val="16"/>
                <w:szCs w:val="16"/>
              </w:rPr>
              <w:t> </w:t>
            </w:r>
            <w:r>
              <w:rPr>
                <w:rFonts w:ascii="宋体" w:hAnsi="宋体" w:cs="宋体" w:eastAsia="宋体" w:hint="default"/>
                <w:spacing w:val="-9"/>
                <w:w w:val="100"/>
                <w:sz w:val="16"/>
                <w:szCs w:val="16"/>
              </w:rPr>
              <w:t>价将相应进行调整）；公司上市后</w:t>
            </w:r>
            <w:r>
              <w:rPr>
                <w:rFonts w:ascii="宋体" w:hAnsi="宋体" w:cs="宋体" w:eastAsia="宋体" w:hint="default"/>
                <w:spacing w:val="-38"/>
                <w:w w:val="100"/>
                <w:sz w:val="16"/>
                <w:szCs w:val="16"/>
              </w:rPr>
              <w:t> </w:t>
            </w:r>
            <w:r>
              <w:rPr>
                <w:rFonts w:ascii="Times New Roman" w:hAnsi="Times New Roman" w:cs="Times New Roman" w:eastAsia="Times New Roman" w:hint="default"/>
                <w:w w:val="100"/>
                <w:sz w:val="16"/>
                <w:szCs w:val="16"/>
              </w:rPr>
              <w:t>6</w:t>
            </w:r>
            <w:r>
              <w:rPr>
                <w:rFonts w:ascii="Times New Roman" w:hAnsi="Times New Roman" w:cs="Times New Roman" w:eastAsia="Times New Roman" w:hint="default"/>
                <w:spacing w:val="3"/>
                <w:w w:val="100"/>
                <w:sz w:val="16"/>
                <w:szCs w:val="16"/>
              </w:rPr>
              <w:t> </w:t>
            </w:r>
            <w:r>
              <w:rPr>
                <w:rFonts w:ascii="宋体" w:hAnsi="宋体" w:cs="宋体" w:eastAsia="宋体" w:hint="default"/>
                <w:w w:val="100"/>
                <w:sz w:val="16"/>
                <w:szCs w:val="16"/>
              </w:rPr>
              <w:t>个月内</w:t>
            </w:r>
          </w:p>
          <w:p>
            <w:pPr>
              <w:pStyle w:val="TableParagraph"/>
              <w:spacing w:line="240" w:lineRule="auto" w:before="5"/>
              <w:ind w:left="105" w:right="0"/>
              <w:jc w:val="both"/>
              <w:rPr>
                <w:rFonts w:ascii="宋体" w:hAnsi="宋体" w:cs="宋体" w:eastAsia="宋体" w:hint="default"/>
                <w:sz w:val="16"/>
                <w:szCs w:val="16"/>
              </w:rPr>
            </w:pPr>
            <w:r>
              <w:rPr>
                <w:rFonts w:ascii="宋体" w:hAnsi="宋体" w:cs="宋体" w:eastAsia="宋体" w:hint="default"/>
                <w:sz w:val="16"/>
                <w:szCs w:val="16"/>
              </w:rPr>
              <w:t>如公司股票连续</w:t>
            </w:r>
            <w:r>
              <w:rPr>
                <w:rFonts w:ascii="宋体" w:hAnsi="宋体" w:cs="宋体" w:eastAsia="宋体" w:hint="default"/>
                <w:spacing w:val="-59"/>
                <w:sz w:val="16"/>
                <w:szCs w:val="16"/>
              </w:rPr>
              <w:t> </w:t>
            </w:r>
            <w:r>
              <w:rPr>
                <w:rFonts w:ascii="Times New Roman" w:hAnsi="Times New Roman" w:cs="Times New Roman" w:eastAsia="Times New Roman" w:hint="default"/>
                <w:sz w:val="16"/>
                <w:szCs w:val="16"/>
              </w:rPr>
              <w:t>20</w:t>
            </w:r>
            <w:r>
              <w:rPr>
                <w:rFonts w:ascii="Times New Roman" w:hAnsi="Times New Roman" w:cs="Times New Roman" w:eastAsia="Times New Roman" w:hint="default"/>
                <w:spacing w:val="-15"/>
                <w:sz w:val="16"/>
                <w:szCs w:val="16"/>
              </w:rPr>
              <w:t> </w:t>
            </w:r>
            <w:r>
              <w:rPr>
                <w:rFonts w:ascii="宋体" w:hAnsi="宋体" w:cs="宋体" w:eastAsia="宋体" w:hint="default"/>
                <w:sz w:val="16"/>
                <w:szCs w:val="16"/>
              </w:rPr>
              <w:t>个交易日的收盘价均低</w:t>
            </w:r>
          </w:p>
          <w:p>
            <w:pPr>
              <w:pStyle w:val="TableParagraph"/>
              <w:spacing w:line="350" w:lineRule="auto" w:before="90"/>
              <w:ind w:left="105" w:right="144"/>
              <w:jc w:val="both"/>
              <w:rPr>
                <w:rFonts w:ascii="宋体" w:hAnsi="宋体" w:cs="宋体" w:eastAsia="宋体" w:hint="default"/>
                <w:sz w:val="16"/>
                <w:szCs w:val="16"/>
              </w:rPr>
            </w:pPr>
            <w:r>
              <w:rPr>
                <w:rFonts w:ascii="宋体" w:hAnsi="宋体" w:cs="宋体" w:eastAsia="宋体" w:hint="default"/>
                <w:sz w:val="16"/>
                <w:szCs w:val="16"/>
              </w:rPr>
              <w:t>于发行价，或者上市后</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个月期末收盘价</w:t>
            </w:r>
            <w:r>
              <w:rPr>
                <w:rFonts w:ascii="宋体" w:hAnsi="宋体" w:cs="宋体" w:eastAsia="宋体" w:hint="default"/>
                <w:w w:val="100"/>
                <w:sz w:val="16"/>
                <w:szCs w:val="16"/>
              </w:rPr>
              <w:t> </w:t>
            </w:r>
            <w:r>
              <w:rPr>
                <w:rFonts w:ascii="宋体" w:hAnsi="宋体" w:cs="宋体" w:eastAsia="宋体" w:hint="default"/>
                <w:spacing w:val="-1"/>
                <w:sz w:val="16"/>
                <w:szCs w:val="16"/>
              </w:rPr>
              <w:t>低于发行价，则本人持有公司股票的锁定</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期限自动延长</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个月；本人承诺不因职务</w:t>
            </w:r>
            <w:r>
              <w:rPr>
                <w:rFonts w:ascii="宋体" w:hAnsi="宋体" w:cs="宋体" w:eastAsia="宋体" w:hint="default"/>
                <w:w w:val="100"/>
                <w:sz w:val="16"/>
                <w:szCs w:val="16"/>
              </w:rPr>
              <w:t> </w:t>
            </w:r>
            <w:r>
              <w:rPr>
                <w:rFonts w:ascii="宋体" w:hAnsi="宋体" w:cs="宋体" w:eastAsia="宋体" w:hint="default"/>
                <w:spacing w:val="-1"/>
                <w:sz w:val="16"/>
                <w:szCs w:val="16"/>
              </w:rPr>
              <w:t>变更、离职等原因不担任相关职务而放弃</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3"/>
                <w:w w:val="100"/>
                <w:sz w:val="16"/>
                <w:szCs w:val="16"/>
              </w:rPr>
              <w:t>前述承诺。</w:t>
            </w:r>
            <w:r>
              <w:rPr>
                <w:rFonts w:ascii="Times New Roman" w:hAnsi="Times New Roman" w:cs="Times New Roman" w:eastAsia="Times New Roman" w:hint="default"/>
                <w:spacing w:val="-13"/>
                <w:w w:val="100"/>
                <w:sz w:val="16"/>
                <w:szCs w:val="16"/>
              </w:rPr>
              <w:t>4</w:t>
            </w:r>
            <w:r>
              <w:rPr>
                <w:rFonts w:ascii="宋体" w:hAnsi="宋体" w:cs="宋体" w:eastAsia="宋体" w:hint="default"/>
                <w:spacing w:val="-13"/>
                <w:w w:val="100"/>
                <w:sz w:val="16"/>
                <w:szCs w:val="16"/>
              </w:rPr>
              <w:t>、如《公司法》、《证券法》、</w:t>
            </w:r>
            <w:r>
              <w:rPr>
                <w:rFonts w:ascii="宋体" w:hAnsi="宋体" w:cs="宋体" w:eastAsia="宋体" w:hint="default"/>
                <w:spacing w:val="-79"/>
                <w:w w:val="100"/>
                <w:sz w:val="16"/>
                <w:szCs w:val="16"/>
              </w:rPr>
              <w:t> </w:t>
            </w:r>
            <w:r>
              <w:rPr>
                <w:rFonts w:ascii="宋体" w:hAnsi="宋体" w:cs="宋体" w:eastAsia="宋体" w:hint="default"/>
                <w:spacing w:val="-79"/>
                <w:w w:val="100"/>
                <w:sz w:val="16"/>
                <w:szCs w:val="16"/>
              </w:rPr>
            </w:r>
            <w:r>
              <w:rPr>
                <w:rFonts w:ascii="宋体" w:hAnsi="宋体" w:cs="宋体" w:eastAsia="宋体" w:hint="default"/>
                <w:spacing w:val="-1"/>
                <w:sz w:val="16"/>
                <w:szCs w:val="16"/>
              </w:rPr>
              <w:t>中国证监会和证券交易所对本人持有的公</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司股份之锁定有更严格的要求的，本人将</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按此等要求执行。</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85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陈东辉</w:t>
            </w:r>
            <w:r>
              <w:rPr>
                <w:rFonts w:ascii="Times New Roman" w:hAnsi="Times New Roman" w:cs="Times New Roman" w:eastAsia="Times New Roman" w:hint="default"/>
                <w:sz w:val="18"/>
                <w:szCs w:val="18"/>
              </w:rPr>
              <w:t>;</w:t>
            </w:r>
            <w:r>
              <w:rPr>
                <w:rFonts w:ascii="宋体" w:hAnsi="宋体" w:cs="宋体" w:eastAsia="宋体" w:hint="default"/>
                <w:sz w:val="18"/>
                <w:szCs w:val="18"/>
              </w:rPr>
              <w:t>韩 燕婴</w:t>
            </w:r>
            <w:r>
              <w:rPr>
                <w:rFonts w:ascii="Times New Roman" w:hAnsi="Times New Roman" w:cs="Times New Roman" w:eastAsia="Times New Roman" w:hint="default"/>
                <w:sz w:val="18"/>
                <w:szCs w:val="18"/>
              </w:rPr>
              <w:t>;</w:t>
            </w:r>
            <w:r>
              <w:rPr>
                <w:rFonts w:ascii="宋体" w:hAnsi="宋体" w:cs="宋体" w:eastAsia="宋体" w:hint="default"/>
                <w:sz w:val="18"/>
                <w:szCs w:val="18"/>
              </w:rPr>
              <w:t>洪沈 平</w:t>
            </w:r>
            <w:r>
              <w:rPr>
                <w:rFonts w:ascii="Times New Roman" w:hAnsi="Times New Roman" w:cs="Times New Roman" w:eastAsia="Times New Roman" w:hint="default"/>
                <w:sz w:val="18"/>
                <w:szCs w:val="18"/>
              </w:rPr>
              <w:t>;</w:t>
            </w:r>
            <w:r>
              <w:rPr>
                <w:rFonts w:ascii="宋体" w:hAnsi="宋体" w:cs="宋体" w:eastAsia="宋体" w:hint="default"/>
                <w:sz w:val="18"/>
                <w:szCs w:val="18"/>
              </w:rPr>
              <w:t>王先进</w:t>
            </w:r>
            <w:r>
              <w:rPr>
                <w:rFonts w:ascii="Times New Roman" w:hAnsi="Times New Roman" w:cs="Times New Roman" w:eastAsia="Times New Roman" w:hint="default"/>
                <w:sz w:val="18"/>
                <w:szCs w:val="18"/>
              </w:rPr>
              <w:t>; </w:t>
            </w:r>
            <w:r>
              <w:rPr>
                <w:rFonts w:ascii="宋体" w:hAnsi="宋体" w:cs="宋体" w:eastAsia="宋体" w:hint="default"/>
                <w:sz w:val="18"/>
                <w:szCs w:val="18"/>
              </w:rPr>
              <w:t>谢智勇</w:t>
            </w:r>
            <w:r>
              <w:rPr>
                <w:rFonts w:ascii="Times New Roman" w:hAnsi="Times New Roman" w:cs="Times New Roman" w:eastAsia="Times New Roman" w:hint="default"/>
                <w:sz w:val="18"/>
                <w:szCs w:val="18"/>
              </w:rPr>
              <w:t>;</w:t>
            </w:r>
            <w:r>
              <w:rPr>
                <w:rFonts w:ascii="宋体" w:hAnsi="宋体" w:cs="宋体" w:eastAsia="宋体" w:hint="default"/>
                <w:sz w:val="18"/>
                <w:szCs w:val="18"/>
              </w:rPr>
              <w:t>北 京银汉创业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北京致 远天成科技 中心（有限 合伙）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15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40" w:lineRule="auto"/>
              <w:ind w:left="105" w:right="17"/>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、自先进数通首次向社会公开发行的股票</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上市之日起三十六个月内，本公司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本人不</w:t>
            </w:r>
            <w:r>
              <w:rPr>
                <w:rFonts w:ascii="宋体" w:hAnsi="宋体" w:cs="宋体" w:eastAsia="宋体" w:hint="default"/>
                <w:w w:val="100"/>
                <w:sz w:val="16"/>
                <w:szCs w:val="16"/>
              </w:rPr>
              <w:t> </w:t>
            </w:r>
            <w:r>
              <w:rPr>
                <w:rFonts w:ascii="宋体" w:hAnsi="宋体" w:cs="宋体" w:eastAsia="宋体" w:hint="default"/>
                <w:sz w:val="16"/>
                <w:szCs w:val="16"/>
              </w:rPr>
              <w:t>转让或者委托他人管理本公司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本人所持有</w:t>
            </w:r>
            <w:r>
              <w:rPr>
                <w:rFonts w:ascii="宋体" w:hAnsi="宋体" w:cs="宋体" w:eastAsia="宋体" w:hint="default"/>
                <w:w w:val="100"/>
                <w:sz w:val="16"/>
                <w:szCs w:val="16"/>
              </w:rPr>
              <w:t> </w:t>
            </w:r>
            <w:r>
              <w:rPr>
                <w:rFonts w:ascii="宋体" w:hAnsi="宋体" w:cs="宋体" w:eastAsia="宋体" w:hint="default"/>
                <w:sz w:val="16"/>
                <w:szCs w:val="16"/>
              </w:rPr>
              <w:t>的公司股份，也不由公司回购本公司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w:t>
            </w:r>
            <w:r>
              <w:rPr>
                <w:rFonts w:ascii="宋体" w:hAnsi="宋体" w:cs="宋体" w:eastAsia="宋体" w:hint="default"/>
                <w:w w:val="100"/>
                <w:sz w:val="16"/>
                <w:szCs w:val="16"/>
              </w:rPr>
              <w:t> </w:t>
            </w:r>
            <w:r>
              <w:rPr>
                <w:rFonts w:ascii="宋体" w:hAnsi="宋体" w:cs="宋体" w:eastAsia="宋体" w:hint="default"/>
                <w:spacing w:val="-21"/>
                <w:w w:val="100"/>
                <w:sz w:val="16"/>
                <w:szCs w:val="16"/>
              </w:rPr>
              <w:t>所持有的股份。</w:t>
            </w:r>
            <w:r>
              <w:rPr>
                <w:rFonts w:ascii="Times New Roman" w:hAnsi="Times New Roman" w:cs="Times New Roman" w:eastAsia="Times New Roman" w:hint="default"/>
                <w:spacing w:val="-21"/>
                <w:w w:val="100"/>
                <w:sz w:val="16"/>
                <w:szCs w:val="16"/>
              </w:rPr>
              <w:t>2</w:t>
            </w:r>
            <w:r>
              <w:rPr>
                <w:rFonts w:ascii="宋体" w:hAnsi="宋体" w:cs="宋体" w:eastAsia="宋体" w:hint="default"/>
                <w:spacing w:val="-21"/>
                <w:w w:val="100"/>
                <w:sz w:val="16"/>
                <w:szCs w:val="16"/>
              </w:rPr>
              <w:t>、如《公司法》、《证券法》、</w:t>
            </w:r>
            <w:r>
              <w:rPr>
                <w:rFonts w:ascii="宋体" w:hAnsi="宋体" w:cs="宋体" w:eastAsia="宋体" w:hint="default"/>
                <w:spacing w:val="-73"/>
                <w:w w:val="100"/>
                <w:sz w:val="16"/>
                <w:szCs w:val="16"/>
              </w:rPr>
              <w:t> </w:t>
            </w:r>
            <w:r>
              <w:rPr>
                <w:rFonts w:ascii="宋体" w:hAnsi="宋体" w:cs="宋体" w:eastAsia="宋体" w:hint="default"/>
                <w:spacing w:val="-73"/>
                <w:w w:val="100"/>
                <w:sz w:val="16"/>
                <w:szCs w:val="16"/>
              </w:rPr>
            </w:r>
            <w:r>
              <w:rPr>
                <w:rFonts w:ascii="宋体" w:hAnsi="宋体" w:cs="宋体" w:eastAsia="宋体" w:hint="default"/>
                <w:sz w:val="16"/>
                <w:szCs w:val="16"/>
              </w:rPr>
              <w:t>中国证监会和证券交易所对本公司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本人持</w:t>
            </w:r>
            <w:r>
              <w:rPr>
                <w:rFonts w:ascii="宋体" w:hAnsi="宋体" w:cs="宋体" w:eastAsia="宋体" w:hint="default"/>
                <w:w w:val="100"/>
                <w:sz w:val="16"/>
                <w:szCs w:val="16"/>
              </w:rPr>
              <w:t> </w:t>
            </w:r>
            <w:r>
              <w:rPr>
                <w:rFonts w:ascii="宋体" w:hAnsi="宋体" w:cs="宋体" w:eastAsia="宋体" w:hint="default"/>
                <w:sz w:val="16"/>
                <w:szCs w:val="16"/>
              </w:rPr>
              <w:t>有的公司股份之锁定有更严格的要求的，</w:t>
            </w:r>
            <w:r>
              <w:rPr>
                <w:rFonts w:ascii="宋体" w:hAnsi="宋体" w:cs="宋体" w:eastAsia="宋体" w:hint="default"/>
                <w:w w:val="100"/>
                <w:sz w:val="16"/>
                <w:szCs w:val="16"/>
              </w:rPr>
              <w:t> </w:t>
            </w:r>
            <w:r>
              <w:rPr>
                <w:rFonts w:ascii="宋体" w:hAnsi="宋体" w:cs="宋体" w:eastAsia="宋体" w:hint="default"/>
                <w:sz w:val="16"/>
                <w:szCs w:val="16"/>
              </w:rPr>
              <w:t>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本人将按此等要求执行。</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报告期 内，该承 诺事项已 履行完 毕。</w:t>
            </w:r>
          </w:p>
        </w:tc>
      </w:tr>
      <w:tr>
        <w:trPr>
          <w:trHeight w:val="5667"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1"/>
              <w:ind w:left="105" w:right="188"/>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105" w:right="15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67"/>
              <w:ind w:left="105" w:right="96"/>
              <w:jc w:val="both"/>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、本人将严格根据相关监管部门颁布的相</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关法律法规及规范性文件的有关规定以及</w:t>
            </w:r>
            <w:r>
              <w:rPr>
                <w:rFonts w:ascii="宋体" w:hAnsi="宋体" w:cs="宋体" w:eastAsia="宋体" w:hint="default"/>
                <w:w w:val="100"/>
                <w:sz w:val="16"/>
                <w:szCs w:val="16"/>
              </w:rPr>
              <w:t> </w:t>
            </w:r>
            <w:r>
              <w:rPr>
                <w:rFonts w:ascii="宋体" w:hAnsi="宋体" w:cs="宋体" w:eastAsia="宋体" w:hint="default"/>
                <w:sz w:val="16"/>
                <w:szCs w:val="16"/>
              </w:rPr>
              <w:t>本人就持股锁定事项出具的相关承诺执行</w:t>
            </w:r>
            <w:r>
              <w:rPr>
                <w:rFonts w:ascii="宋体" w:hAnsi="宋体" w:cs="宋体" w:eastAsia="宋体" w:hint="default"/>
                <w:w w:val="100"/>
                <w:sz w:val="16"/>
                <w:szCs w:val="16"/>
              </w:rPr>
              <w:t> </w:t>
            </w:r>
            <w:r>
              <w:rPr>
                <w:rFonts w:ascii="宋体" w:hAnsi="宋体" w:cs="宋体" w:eastAsia="宋体" w:hint="default"/>
                <w:sz w:val="16"/>
                <w:szCs w:val="16"/>
              </w:rPr>
              <w:t>有关股份限售事项，在本人所持股份的锁</w:t>
            </w:r>
            <w:r>
              <w:rPr>
                <w:rFonts w:ascii="宋体" w:hAnsi="宋体" w:cs="宋体" w:eastAsia="宋体" w:hint="default"/>
                <w:w w:val="100"/>
                <w:sz w:val="16"/>
                <w:szCs w:val="16"/>
              </w:rPr>
              <w:t> </w:t>
            </w:r>
            <w:r>
              <w:rPr>
                <w:rFonts w:ascii="宋体" w:hAnsi="宋体" w:cs="宋体" w:eastAsia="宋体" w:hint="default"/>
                <w:sz w:val="16"/>
                <w:szCs w:val="16"/>
              </w:rPr>
              <w:t>定期内，本人不会进行任何违反相关规定</w:t>
            </w:r>
            <w:r>
              <w:rPr>
                <w:rFonts w:ascii="宋体" w:hAnsi="宋体" w:cs="宋体" w:eastAsia="宋体" w:hint="default"/>
                <w:w w:val="100"/>
                <w:sz w:val="16"/>
                <w:szCs w:val="16"/>
              </w:rPr>
              <w:t> </w:t>
            </w:r>
            <w:r>
              <w:rPr>
                <w:rFonts w:ascii="宋体" w:hAnsi="宋体" w:cs="宋体" w:eastAsia="宋体" w:hint="default"/>
                <w:spacing w:val="-3"/>
                <w:sz w:val="16"/>
                <w:szCs w:val="16"/>
              </w:rPr>
              <w:t>及股份锁定承诺的股份减持行为。</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、除承</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诺自公司股票上市后三十六个月内不减持</w:t>
            </w:r>
            <w:r>
              <w:rPr>
                <w:rFonts w:ascii="宋体" w:hAnsi="宋体" w:cs="宋体" w:eastAsia="宋体" w:hint="default"/>
                <w:w w:val="100"/>
                <w:sz w:val="16"/>
                <w:szCs w:val="16"/>
              </w:rPr>
              <w:t> </w:t>
            </w:r>
            <w:r>
              <w:rPr>
                <w:rFonts w:ascii="宋体" w:hAnsi="宋体" w:cs="宋体" w:eastAsia="宋体" w:hint="default"/>
                <w:sz w:val="16"/>
                <w:szCs w:val="16"/>
              </w:rPr>
              <w:t>公司股票外，本人在前述锁定期满后两年</w:t>
            </w:r>
            <w:r>
              <w:rPr>
                <w:rFonts w:ascii="宋体" w:hAnsi="宋体" w:cs="宋体" w:eastAsia="宋体" w:hint="default"/>
                <w:w w:val="100"/>
                <w:sz w:val="16"/>
                <w:szCs w:val="16"/>
              </w:rPr>
              <w:t> </w:t>
            </w:r>
            <w:r>
              <w:rPr>
                <w:rFonts w:ascii="宋体" w:hAnsi="宋体" w:cs="宋体" w:eastAsia="宋体" w:hint="default"/>
                <w:sz w:val="16"/>
                <w:szCs w:val="16"/>
              </w:rPr>
              <w:t>内累计减持公司股票不超过上市时持有公</w:t>
            </w:r>
            <w:r>
              <w:rPr>
                <w:rFonts w:ascii="宋体" w:hAnsi="宋体" w:cs="宋体" w:eastAsia="宋体" w:hint="default"/>
                <w:w w:val="100"/>
                <w:sz w:val="16"/>
                <w:szCs w:val="16"/>
              </w:rPr>
              <w:t> </w:t>
            </w:r>
            <w:r>
              <w:rPr>
                <w:rFonts w:ascii="宋体" w:hAnsi="宋体" w:cs="宋体" w:eastAsia="宋体" w:hint="default"/>
                <w:sz w:val="16"/>
                <w:szCs w:val="16"/>
              </w:rPr>
              <w:t>司股票数量的</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25%</w:t>
            </w:r>
            <w:r>
              <w:rPr>
                <w:rFonts w:ascii="宋体" w:hAnsi="宋体" w:cs="宋体" w:eastAsia="宋体" w:hint="default"/>
                <w:sz w:val="16"/>
                <w:szCs w:val="16"/>
              </w:rPr>
              <w:t>，如本人确定依法减持</w:t>
            </w:r>
            <w:r>
              <w:rPr>
                <w:rFonts w:ascii="宋体" w:hAnsi="宋体" w:cs="宋体" w:eastAsia="宋体" w:hint="default"/>
                <w:w w:val="100"/>
                <w:sz w:val="16"/>
                <w:szCs w:val="16"/>
              </w:rPr>
              <w:t> </w:t>
            </w:r>
            <w:r>
              <w:rPr>
                <w:rFonts w:ascii="宋体" w:hAnsi="宋体" w:cs="宋体" w:eastAsia="宋体" w:hint="default"/>
                <w:sz w:val="16"/>
                <w:szCs w:val="16"/>
              </w:rPr>
              <w:t>公司股份的，将在满足以下条件后减持：</w:t>
            </w:r>
          </w:p>
          <w:p>
            <w:pPr>
              <w:pStyle w:val="TableParagraph"/>
              <w:spacing w:line="338" w:lineRule="auto" w:before="27"/>
              <w:ind w:left="105" w:right="96"/>
              <w:jc w:val="both"/>
              <w:rPr>
                <w:rFonts w:ascii="宋体" w:hAnsi="宋体" w:cs="宋体" w:eastAsia="宋体" w:hint="default"/>
                <w:sz w:val="16"/>
                <w:szCs w:val="16"/>
              </w:rPr>
            </w:pPr>
            <w:r>
              <w:rPr>
                <w:rFonts w:ascii="宋体" w:hAnsi="宋体" w:cs="宋体" w:eastAsia="宋体" w:hint="default"/>
                <w:spacing w:val="-3"/>
                <w:sz w:val="16"/>
                <w:szCs w:val="16"/>
              </w:rPr>
              <w:t>（</w:t>
            </w: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）公司股价不低于最近一期经审计的每</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6"/>
                <w:w w:val="100"/>
                <w:sz w:val="16"/>
                <w:szCs w:val="16"/>
              </w:rPr>
              <w:t>股净资产；（</w:t>
            </w:r>
            <w:r>
              <w:rPr>
                <w:rFonts w:ascii="Times New Roman" w:hAnsi="Times New Roman" w:cs="Times New Roman" w:eastAsia="Times New Roman" w:hint="default"/>
                <w:spacing w:val="-6"/>
                <w:w w:val="100"/>
                <w:sz w:val="16"/>
                <w:szCs w:val="16"/>
              </w:rPr>
              <w:t>2</w:t>
            </w:r>
            <w:r>
              <w:rPr>
                <w:rFonts w:ascii="宋体" w:hAnsi="宋体" w:cs="宋体" w:eastAsia="宋体" w:hint="default"/>
                <w:spacing w:val="-6"/>
                <w:w w:val="100"/>
                <w:sz w:val="16"/>
                <w:szCs w:val="16"/>
              </w:rPr>
              <w:t>）公司运营正常，减持公司</w:t>
            </w:r>
            <w:r>
              <w:rPr>
                <w:rFonts w:ascii="宋体" w:hAnsi="宋体" w:cs="宋体" w:eastAsia="宋体" w:hint="default"/>
                <w:spacing w:val="-64"/>
                <w:w w:val="100"/>
                <w:sz w:val="16"/>
                <w:szCs w:val="16"/>
              </w:rPr>
              <w:t> </w:t>
            </w:r>
            <w:r>
              <w:rPr>
                <w:rFonts w:ascii="宋体" w:hAnsi="宋体" w:cs="宋体" w:eastAsia="宋体" w:hint="default"/>
                <w:spacing w:val="-64"/>
                <w:w w:val="100"/>
                <w:sz w:val="16"/>
                <w:szCs w:val="16"/>
              </w:rPr>
            </w:r>
            <w:r>
              <w:rPr>
                <w:rFonts w:ascii="宋体" w:hAnsi="宋体" w:cs="宋体" w:eastAsia="宋体" w:hint="default"/>
                <w:sz w:val="16"/>
                <w:szCs w:val="16"/>
              </w:rPr>
              <w:t>股票对其二级市场价格不构成重大干扰；</w:t>
            </w:r>
          </w:p>
          <w:p>
            <w:pPr>
              <w:pStyle w:val="TableParagraph"/>
              <w:spacing w:line="350" w:lineRule="auto" w:before="37"/>
              <w:ind w:left="105" w:right="96"/>
              <w:jc w:val="both"/>
              <w:rPr>
                <w:rFonts w:ascii="宋体" w:hAnsi="宋体" w:cs="宋体" w:eastAsia="宋体" w:hint="default"/>
                <w:sz w:val="16"/>
                <w:szCs w:val="16"/>
              </w:rPr>
            </w:pPr>
            <w:r>
              <w:rPr>
                <w:rFonts w:ascii="宋体" w:hAnsi="宋体" w:cs="宋体" w:eastAsia="宋体" w:hint="default"/>
                <w:spacing w:val="-3"/>
                <w:sz w:val="16"/>
                <w:szCs w:val="16"/>
              </w:rPr>
              <w:t>（</w:t>
            </w:r>
            <w:r>
              <w:rPr>
                <w:rFonts w:ascii="Times New Roman" w:hAnsi="Times New Roman" w:cs="Times New Roman" w:eastAsia="Times New Roman" w:hint="default"/>
                <w:spacing w:val="-3"/>
                <w:sz w:val="16"/>
                <w:szCs w:val="16"/>
              </w:rPr>
              <w:t>3</w:t>
            </w:r>
            <w:r>
              <w:rPr>
                <w:rFonts w:ascii="宋体" w:hAnsi="宋体" w:cs="宋体" w:eastAsia="宋体" w:hint="default"/>
                <w:spacing w:val="-3"/>
                <w:sz w:val="16"/>
                <w:szCs w:val="16"/>
              </w:rPr>
              <w:t>）减持价格不低于发行价。自公司股票</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上市至本人减持期间，公司如有派息、送</w:t>
            </w:r>
            <w:r>
              <w:rPr>
                <w:rFonts w:ascii="宋体" w:hAnsi="宋体" w:cs="宋体" w:eastAsia="宋体" w:hint="default"/>
                <w:w w:val="100"/>
                <w:sz w:val="16"/>
                <w:szCs w:val="16"/>
              </w:rPr>
              <w:t> </w:t>
            </w:r>
            <w:r>
              <w:rPr>
                <w:rFonts w:ascii="宋体" w:hAnsi="宋体" w:cs="宋体" w:eastAsia="宋体" w:hint="default"/>
                <w:sz w:val="16"/>
                <w:szCs w:val="16"/>
              </w:rPr>
              <w:t>股、资本公积金转增股本、配股等除权除</w:t>
            </w:r>
            <w:r>
              <w:rPr>
                <w:rFonts w:ascii="宋体" w:hAnsi="宋体" w:cs="宋体" w:eastAsia="宋体" w:hint="default"/>
                <w:w w:val="100"/>
                <w:sz w:val="16"/>
                <w:szCs w:val="16"/>
              </w:rPr>
              <w:t> </w:t>
            </w:r>
            <w:r>
              <w:rPr>
                <w:rFonts w:ascii="宋体" w:hAnsi="宋体" w:cs="宋体" w:eastAsia="宋体" w:hint="default"/>
                <w:sz w:val="16"/>
                <w:szCs w:val="16"/>
              </w:rPr>
              <w:t>息事项，发行价和股份数量将相应进行调</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9" w:lineRule="auto"/>
        <w:jc w:val="left"/>
        <w:rPr>
          <w:rFonts w:ascii="宋体" w:hAnsi="宋体" w:cs="宋体" w:eastAsia="宋体" w:hint="default"/>
          <w:sz w:val="18"/>
          <w:szCs w:val="18"/>
        </w:rPr>
        <w:sectPr>
          <w:pgSz w:w="11910" w:h="16840"/>
          <w:pgMar w:header="906" w:footer="1021" w:top="1100" w:bottom="1220" w:left="7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9"/>
      </w:tblGrid>
      <w:tr>
        <w:trPr>
          <w:trHeight w:val="7540" w:hRule="exact"/>
        </w:trPr>
        <w:tc>
          <w:tcPr>
            <w:tcW w:w="1850"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105" w:right="17"/>
              <w:jc w:val="left"/>
              <w:rPr>
                <w:rFonts w:ascii="宋体" w:hAnsi="宋体" w:cs="宋体" w:eastAsia="宋体" w:hint="default"/>
                <w:sz w:val="16"/>
                <w:szCs w:val="16"/>
              </w:rPr>
            </w:pPr>
            <w:r>
              <w:rPr>
                <w:rFonts w:ascii="宋体" w:hAnsi="宋体" w:cs="宋体" w:eastAsia="宋体" w:hint="default"/>
                <w:spacing w:val="-3"/>
                <w:sz w:val="16"/>
                <w:szCs w:val="16"/>
              </w:rPr>
              <w:t>整。</w:t>
            </w:r>
            <w:r>
              <w:rPr>
                <w:rFonts w:ascii="Times New Roman" w:hAnsi="Times New Roman" w:cs="Times New Roman" w:eastAsia="Times New Roman" w:hint="default"/>
                <w:spacing w:val="-3"/>
                <w:sz w:val="16"/>
                <w:szCs w:val="16"/>
              </w:rPr>
              <w:t>3</w:t>
            </w:r>
            <w:r>
              <w:rPr>
                <w:rFonts w:ascii="宋体" w:hAnsi="宋体" w:cs="宋体" w:eastAsia="宋体" w:hint="default"/>
                <w:spacing w:val="-3"/>
                <w:sz w:val="16"/>
                <w:szCs w:val="16"/>
              </w:rPr>
              <w:t>、所持股票在锁定期满后，如本人确</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定依法减持公司股份的，将提前三个交易</w:t>
            </w:r>
            <w:r>
              <w:rPr>
                <w:rFonts w:ascii="宋体" w:hAnsi="宋体" w:cs="宋体" w:eastAsia="宋体" w:hint="default"/>
                <w:w w:val="100"/>
                <w:sz w:val="16"/>
                <w:szCs w:val="16"/>
              </w:rPr>
              <w:t> </w:t>
            </w:r>
            <w:r>
              <w:rPr>
                <w:rFonts w:ascii="宋体" w:hAnsi="宋体" w:cs="宋体" w:eastAsia="宋体" w:hint="default"/>
                <w:sz w:val="16"/>
                <w:szCs w:val="16"/>
              </w:rPr>
              <w:t>日公告减持计划。在遵守股份转让相关法</w:t>
            </w:r>
            <w:r>
              <w:rPr>
                <w:rFonts w:ascii="宋体" w:hAnsi="宋体" w:cs="宋体" w:eastAsia="宋体" w:hint="default"/>
                <w:w w:val="100"/>
                <w:sz w:val="16"/>
                <w:szCs w:val="16"/>
              </w:rPr>
              <w:t> </w:t>
            </w:r>
            <w:r>
              <w:rPr>
                <w:rFonts w:ascii="宋体" w:hAnsi="宋体" w:cs="宋体" w:eastAsia="宋体" w:hint="default"/>
                <w:sz w:val="16"/>
                <w:szCs w:val="16"/>
              </w:rPr>
              <w:t>律法规及证券交易所相关规定的条件下，</w:t>
            </w:r>
            <w:r>
              <w:rPr>
                <w:rFonts w:ascii="宋体" w:hAnsi="宋体" w:cs="宋体" w:eastAsia="宋体" w:hint="default"/>
                <w:w w:val="100"/>
                <w:sz w:val="16"/>
                <w:szCs w:val="16"/>
              </w:rPr>
              <w:t> </w:t>
            </w:r>
            <w:r>
              <w:rPr>
                <w:rFonts w:ascii="宋体" w:hAnsi="宋体" w:cs="宋体" w:eastAsia="宋体" w:hint="default"/>
                <w:sz w:val="16"/>
                <w:szCs w:val="16"/>
              </w:rPr>
              <w:t>本人将在减持公告中明确减持的具体数量</w:t>
            </w:r>
            <w:r>
              <w:rPr>
                <w:rFonts w:ascii="宋体" w:hAnsi="宋体" w:cs="宋体" w:eastAsia="宋体" w:hint="default"/>
                <w:w w:val="100"/>
                <w:sz w:val="16"/>
                <w:szCs w:val="16"/>
              </w:rPr>
              <w:t> </w:t>
            </w:r>
            <w:r>
              <w:rPr>
                <w:rFonts w:ascii="宋体" w:hAnsi="宋体" w:cs="宋体" w:eastAsia="宋体" w:hint="default"/>
                <w:sz w:val="16"/>
                <w:szCs w:val="16"/>
              </w:rPr>
              <w:t>或区间、减持的执行期限等信息；本人将</w:t>
            </w:r>
            <w:r>
              <w:rPr>
                <w:rFonts w:ascii="宋体" w:hAnsi="宋体" w:cs="宋体" w:eastAsia="宋体" w:hint="default"/>
                <w:w w:val="100"/>
                <w:sz w:val="16"/>
                <w:szCs w:val="16"/>
              </w:rPr>
              <w:t> </w:t>
            </w:r>
            <w:r>
              <w:rPr>
                <w:rFonts w:ascii="宋体" w:hAnsi="宋体" w:cs="宋体" w:eastAsia="宋体" w:hint="default"/>
                <w:sz w:val="16"/>
                <w:szCs w:val="16"/>
              </w:rPr>
              <w:t>在公告的减持期限内以相关监管部门允许</w:t>
            </w:r>
            <w:r>
              <w:rPr>
                <w:rFonts w:ascii="宋体" w:hAnsi="宋体" w:cs="宋体" w:eastAsia="宋体" w:hint="default"/>
                <w:w w:val="100"/>
                <w:sz w:val="16"/>
                <w:szCs w:val="16"/>
              </w:rPr>
              <w:t> </w:t>
            </w:r>
            <w:r>
              <w:rPr>
                <w:rFonts w:ascii="宋体" w:hAnsi="宋体" w:cs="宋体" w:eastAsia="宋体" w:hint="default"/>
                <w:sz w:val="16"/>
                <w:szCs w:val="16"/>
              </w:rPr>
              <w:t>的方式进行减持，具体方式包括但不限于</w:t>
            </w:r>
            <w:r>
              <w:rPr>
                <w:rFonts w:ascii="宋体" w:hAnsi="宋体" w:cs="宋体" w:eastAsia="宋体" w:hint="default"/>
                <w:w w:val="100"/>
                <w:sz w:val="16"/>
                <w:szCs w:val="16"/>
              </w:rPr>
              <w:t> </w:t>
            </w:r>
            <w:r>
              <w:rPr>
                <w:rFonts w:ascii="宋体" w:hAnsi="宋体" w:cs="宋体" w:eastAsia="宋体" w:hint="default"/>
                <w:spacing w:val="-3"/>
                <w:sz w:val="16"/>
                <w:szCs w:val="16"/>
              </w:rPr>
              <w:t>交易所集中竞价交易方式、大宗交易方式、</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3"/>
                <w:sz w:val="16"/>
                <w:szCs w:val="16"/>
              </w:rPr>
              <w:t>协议转让方式等。</w:t>
            </w:r>
            <w:r>
              <w:rPr>
                <w:rFonts w:ascii="Times New Roman" w:hAnsi="Times New Roman" w:cs="Times New Roman" w:eastAsia="Times New Roman" w:hint="default"/>
                <w:spacing w:val="-3"/>
                <w:sz w:val="16"/>
                <w:szCs w:val="16"/>
              </w:rPr>
              <w:t>4</w:t>
            </w:r>
            <w:r>
              <w:rPr>
                <w:rFonts w:ascii="宋体" w:hAnsi="宋体" w:cs="宋体" w:eastAsia="宋体" w:hint="default"/>
                <w:spacing w:val="-3"/>
                <w:sz w:val="16"/>
                <w:szCs w:val="16"/>
              </w:rPr>
              <w:t>、如本人未来依法发生</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任何增持或减持公司股份情形的，本人将</w:t>
            </w:r>
            <w:r>
              <w:rPr>
                <w:rFonts w:ascii="宋体" w:hAnsi="宋体" w:cs="宋体" w:eastAsia="宋体" w:hint="default"/>
                <w:w w:val="100"/>
                <w:sz w:val="16"/>
                <w:szCs w:val="16"/>
              </w:rPr>
              <w:t> </w:t>
            </w:r>
            <w:r>
              <w:rPr>
                <w:rFonts w:ascii="宋体" w:hAnsi="宋体" w:cs="宋体" w:eastAsia="宋体" w:hint="default"/>
                <w:sz w:val="16"/>
                <w:szCs w:val="16"/>
              </w:rPr>
              <w:t>严格按照相关监管部门颁布的相关法律法</w:t>
            </w:r>
            <w:r>
              <w:rPr>
                <w:rFonts w:ascii="宋体" w:hAnsi="宋体" w:cs="宋体" w:eastAsia="宋体" w:hint="default"/>
                <w:w w:val="100"/>
                <w:sz w:val="16"/>
                <w:szCs w:val="16"/>
              </w:rPr>
              <w:t> </w:t>
            </w:r>
            <w:r>
              <w:rPr>
                <w:rFonts w:ascii="宋体" w:hAnsi="宋体" w:cs="宋体" w:eastAsia="宋体" w:hint="default"/>
                <w:sz w:val="16"/>
                <w:szCs w:val="16"/>
              </w:rPr>
              <w:t>规及规范性文件的规定进行相应增持或减</w:t>
            </w:r>
            <w:r>
              <w:rPr>
                <w:rFonts w:ascii="宋体" w:hAnsi="宋体" w:cs="宋体" w:eastAsia="宋体" w:hint="default"/>
                <w:w w:val="100"/>
                <w:sz w:val="16"/>
                <w:szCs w:val="16"/>
              </w:rPr>
              <w:t> </w:t>
            </w:r>
            <w:r>
              <w:rPr>
                <w:rFonts w:ascii="宋体" w:hAnsi="宋体" w:cs="宋体" w:eastAsia="宋体" w:hint="default"/>
                <w:spacing w:val="-7"/>
                <w:sz w:val="16"/>
                <w:szCs w:val="16"/>
              </w:rPr>
              <w:t>持操作，并及时履行有关信息披露义务。</w:t>
            </w:r>
            <w:r>
              <w:rPr>
                <w:rFonts w:ascii="Times New Roman" w:hAnsi="Times New Roman" w:cs="Times New Roman" w:eastAsia="Times New Roman" w:hint="default"/>
                <w:spacing w:val="-7"/>
                <w:sz w:val="16"/>
                <w:szCs w:val="16"/>
              </w:rPr>
              <w:t>5</w:t>
            </w:r>
            <w:r>
              <w:rPr>
                <w:rFonts w:ascii="宋体" w:hAnsi="宋体" w:cs="宋体" w:eastAsia="宋体" w:hint="default"/>
                <w:spacing w:val="-7"/>
                <w:sz w:val="16"/>
                <w:szCs w:val="16"/>
              </w:rPr>
              <w:t>、</w:t>
            </w:r>
            <w:r>
              <w:rPr>
                <w:rFonts w:ascii="宋体" w:hAnsi="宋体" w:cs="宋体" w:eastAsia="宋体" w:hint="default"/>
                <w:spacing w:val="-56"/>
                <w:sz w:val="16"/>
                <w:szCs w:val="16"/>
              </w:rPr>
              <w:t> </w:t>
            </w:r>
            <w:r>
              <w:rPr>
                <w:rFonts w:ascii="宋体" w:hAnsi="宋体" w:cs="宋体" w:eastAsia="宋体" w:hint="default"/>
                <w:sz w:val="16"/>
                <w:szCs w:val="16"/>
              </w:rPr>
              <w:t>若本人未履行上述关于股份减持的承诺减</w:t>
            </w:r>
            <w:r>
              <w:rPr>
                <w:rFonts w:ascii="宋体" w:hAnsi="宋体" w:cs="宋体" w:eastAsia="宋体" w:hint="default"/>
                <w:w w:val="100"/>
                <w:sz w:val="16"/>
                <w:szCs w:val="16"/>
              </w:rPr>
              <w:t> </w:t>
            </w:r>
            <w:r>
              <w:rPr>
                <w:rFonts w:ascii="宋体" w:hAnsi="宋体" w:cs="宋体" w:eastAsia="宋体" w:hint="default"/>
                <w:sz w:val="16"/>
                <w:szCs w:val="16"/>
              </w:rPr>
              <w:t>持意向，则减持公司股份所得收益归先进</w:t>
            </w:r>
            <w:r>
              <w:rPr>
                <w:rFonts w:ascii="宋体" w:hAnsi="宋体" w:cs="宋体" w:eastAsia="宋体" w:hint="default"/>
                <w:w w:val="100"/>
                <w:sz w:val="16"/>
                <w:szCs w:val="16"/>
              </w:rPr>
              <w:t> </w:t>
            </w:r>
            <w:r>
              <w:rPr>
                <w:rFonts w:ascii="宋体" w:hAnsi="宋体" w:cs="宋体" w:eastAsia="宋体" w:hint="default"/>
                <w:sz w:val="16"/>
                <w:szCs w:val="16"/>
              </w:rPr>
              <w:t>数通所有，本人将在股东大会及相关监管</w:t>
            </w:r>
            <w:r>
              <w:rPr>
                <w:rFonts w:ascii="宋体" w:hAnsi="宋体" w:cs="宋体" w:eastAsia="宋体" w:hint="default"/>
                <w:w w:val="100"/>
                <w:sz w:val="16"/>
                <w:szCs w:val="16"/>
              </w:rPr>
              <w:t> </w:t>
            </w:r>
            <w:r>
              <w:rPr>
                <w:rFonts w:ascii="宋体" w:hAnsi="宋体" w:cs="宋体" w:eastAsia="宋体" w:hint="default"/>
                <w:sz w:val="16"/>
                <w:szCs w:val="16"/>
              </w:rPr>
              <w:t>部门指定的披露媒体上公开说明未履行承</w:t>
            </w:r>
            <w:r>
              <w:rPr>
                <w:rFonts w:ascii="宋体" w:hAnsi="宋体" w:cs="宋体" w:eastAsia="宋体" w:hint="default"/>
                <w:w w:val="100"/>
                <w:sz w:val="16"/>
                <w:szCs w:val="16"/>
              </w:rPr>
              <w:t> </w:t>
            </w:r>
            <w:r>
              <w:rPr>
                <w:rFonts w:ascii="宋体" w:hAnsi="宋体" w:cs="宋体" w:eastAsia="宋体" w:hint="default"/>
                <w:sz w:val="16"/>
                <w:szCs w:val="16"/>
              </w:rPr>
              <w:t>诺的具体原因并向公司股东和社会公众投</w:t>
            </w:r>
            <w:r>
              <w:rPr>
                <w:rFonts w:ascii="宋体" w:hAnsi="宋体" w:cs="宋体" w:eastAsia="宋体" w:hint="default"/>
                <w:w w:val="100"/>
                <w:sz w:val="16"/>
                <w:szCs w:val="16"/>
              </w:rPr>
              <w:t> </w:t>
            </w:r>
            <w:r>
              <w:rPr>
                <w:rFonts w:ascii="宋体" w:hAnsi="宋体" w:cs="宋体" w:eastAsia="宋体" w:hint="default"/>
                <w:sz w:val="16"/>
                <w:szCs w:val="16"/>
              </w:rPr>
              <w:t>资者道歉，并自愿接受相关监管部门依据</w:t>
            </w:r>
            <w:r>
              <w:rPr>
                <w:rFonts w:ascii="宋体" w:hAnsi="宋体" w:cs="宋体" w:eastAsia="宋体" w:hint="default"/>
                <w:w w:val="100"/>
                <w:sz w:val="16"/>
                <w:szCs w:val="16"/>
              </w:rPr>
              <w:t> </w:t>
            </w:r>
            <w:r>
              <w:rPr>
                <w:rFonts w:ascii="宋体" w:hAnsi="宋体" w:cs="宋体" w:eastAsia="宋体" w:hint="default"/>
                <w:spacing w:val="-3"/>
                <w:sz w:val="16"/>
                <w:szCs w:val="16"/>
              </w:rPr>
              <w:t>相关规定给予的监管措施或处罚。</w:t>
            </w:r>
            <w:r>
              <w:rPr>
                <w:rFonts w:ascii="Times New Roman" w:hAnsi="Times New Roman" w:cs="Times New Roman" w:eastAsia="Times New Roman" w:hint="default"/>
                <w:spacing w:val="-3"/>
                <w:sz w:val="16"/>
                <w:szCs w:val="16"/>
              </w:rPr>
              <w:t>6</w:t>
            </w:r>
            <w:r>
              <w:rPr>
                <w:rFonts w:ascii="宋体" w:hAnsi="宋体" w:cs="宋体" w:eastAsia="宋体" w:hint="default"/>
                <w:spacing w:val="-3"/>
                <w:sz w:val="16"/>
                <w:szCs w:val="16"/>
              </w:rPr>
              <w:t>、若本</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人未履行上述减持意向，本人持有的公司</w:t>
            </w:r>
            <w:r>
              <w:rPr>
                <w:rFonts w:ascii="宋体" w:hAnsi="宋体" w:cs="宋体" w:eastAsia="宋体" w:hint="default"/>
                <w:w w:val="100"/>
                <w:sz w:val="16"/>
                <w:szCs w:val="16"/>
              </w:rPr>
              <w:t> </w:t>
            </w:r>
            <w:r>
              <w:rPr>
                <w:rFonts w:ascii="宋体" w:hAnsi="宋体" w:cs="宋体" w:eastAsia="宋体" w:hint="default"/>
                <w:sz w:val="16"/>
                <w:szCs w:val="16"/>
              </w:rPr>
              <w:t>股份自本人未履行上述减持意向之日起</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个月内不得减持。</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2" w:lineRule="auto"/>
              <w:ind w:left="105" w:right="110"/>
              <w:jc w:val="left"/>
              <w:rPr>
                <w:rFonts w:ascii="宋体" w:hAnsi="宋体" w:cs="宋体" w:eastAsia="宋体" w:hint="default"/>
                <w:sz w:val="18"/>
                <w:szCs w:val="18"/>
              </w:rPr>
            </w:pPr>
            <w:r>
              <w:rPr>
                <w:rFonts w:ascii="宋体" w:hAnsi="宋体" w:cs="宋体" w:eastAsia="宋体" w:hint="default"/>
                <w:sz w:val="18"/>
                <w:szCs w:val="18"/>
              </w:rPr>
              <w:t>北京银汉创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陈东 辉</w:t>
            </w:r>
            <w:r>
              <w:rPr>
                <w:rFonts w:ascii="Times New Roman" w:hAnsi="Times New Roman" w:cs="Times New Roman" w:eastAsia="Times New Roman" w:hint="default"/>
                <w:sz w:val="18"/>
                <w:szCs w:val="18"/>
              </w:rPr>
              <w:t>;</w:t>
            </w:r>
            <w:r>
              <w:rPr>
                <w:rFonts w:ascii="宋体" w:hAnsi="宋体" w:cs="宋体" w:eastAsia="宋体" w:hint="default"/>
                <w:sz w:val="18"/>
                <w:szCs w:val="18"/>
              </w:rPr>
              <w:t>韩燕婴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105" w:right="15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7"/>
              <w:ind w:left="105" w:right="95"/>
              <w:jc w:val="both"/>
              <w:rPr>
                <w:rFonts w:ascii="宋体" w:hAnsi="宋体" w:cs="宋体" w:eastAsia="宋体" w:hint="default"/>
                <w:sz w:val="16"/>
                <w:szCs w:val="16"/>
              </w:rPr>
            </w:pPr>
            <w:r>
              <w:rPr>
                <w:rFonts w:ascii="Times New Roman" w:hAnsi="Times New Roman" w:cs="Times New Roman" w:eastAsia="Times New Roman" w:hint="default"/>
                <w:spacing w:val="-5"/>
                <w:w w:val="100"/>
                <w:sz w:val="16"/>
                <w:szCs w:val="16"/>
              </w:rPr>
              <w:t>1</w:t>
            </w:r>
            <w:r>
              <w:rPr>
                <w:rFonts w:ascii="宋体" w:hAnsi="宋体" w:cs="宋体" w:eastAsia="宋体" w:hint="default"/>
                <w:spacing w:val="-5"/>
                <w:w w:val="100"/>
                <w:sz w:val="16"/>
                <w:szCs w:val="16"/>
              </w:rPr>
              <w:t>、本公司</w:t>
            </w:r>
            <w:r>
              <w:rPr>
                <w:rFonts w:ascii="Times New Roman" w:hAnsi="Times New Roman" w:cs="Times New Roman" w:eastAsia="Times New Roman" w:hint="default"/>
                <w:spacing w:val="-5"/>
                <w:w w:val="100"/>
                <w:sz w:val="16"/>
                <w:szCs w:val="16"/>
              </w:rPr>
              <w:t>/</w:t>
            </w:r>
            <w:r>
              <w:rPr>
                <w:rFonts w:ascii="宋体" w:hAnsi="宋体" w:cs="宋体" w:eastAsia="宋体" w:hint="default"/>
                <w:spacing w:val="-5"/>
                <w:w w:val="100"/>
                <w:sz w:val="16"/>
                <w:szCs w:val="16"/>
              </w:rPr>
              <w:t>本人将严格根据相关监管部门颁</w:t>
            </w:r>
            <w:r>
              <w:rPr>
                <w:rFonts w:ascii="宋体" w:hAnsi="宋体" w:cs="宋体" w:eastAsia="宋体" w:hint="default"/>
                <w:spacing w:val="-74"/>
                <w:w w:val="100"/>
                <w:sz w:val="16"/>
                <w:szCs w:val="16"/>
              </w:rPr>
              <w:t> </w:t>
            </w:r>
            <w:r>
              <w:rPr>
                <w:rFonts w:ascii="宋体" w:hAnsi="宋体" w:cs="宋体" w:eastAsia="宋体" w:hint="default"/>
                <w:spacing w:val="-74"/>
                <w:w w:val="100"/>
                <w:sz w:val="16"/>
                <w:szCs w:val="16"/>
              </w:rPr>
            </w:r>
            <w:r>
              <w:rPr>
                <w:rFonts w:ascii="宋体" w:hAnsi="宋体" w:cs="宋体" w:eastAsia="宋体" w:hint="default"/>
                <w:sz w:val="16"/>
                <w:szCs w:val="16"/>
              </w:rPr>
              <w:t>布的相关法律法规及规范性文件的有关规</w:t>
            </w:r>
            <w:r>
              <w:rPr>
                <w:rFonts w:ascii="宋体" w:hAnsi="宋体" w:cs="宋体" w:eastAsia="宋体" w:hint="default"/>
                <w:w w:val="100"/>
                <w:sz w:val="16"/>
                <w:szCs w:val="16"/>
              </w:rPr>
              <w:t> </w:t>
            </w:r>
            <w:r>
              <w:rPr>
                <w:rFonts w:ascii="宋体" w:hAnsi="宋体" w:cs="宋体" w:eastAsia="宋体" w:hint="default"/>
                <w:spacing w:val="-1"/>
                <w:sz w:val="16"/>
                <w:szCs w:val="16"/>
              </w:rPr>
              <w:t>定以及本公司</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本人就持股锁定事项出具的</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相关承诺执行有关股份限售事项，在本公</w:t>
            </w:r>
            <w:r>
              <w:rPr>
                <w:rFonts w:ascii="宋体" w:hAnsi="宋体" w:cs="宋体" w:eastAsia="宋体" w:hint="default"/>
                <w:w w:val="100"/>
                <w:sz w:val="16"/>
                <w:szCs w:val="16"/>
              </w:rPr>
              <w:t> </w:t>
            </w:r>
            <w:r>
              <w:rPr>
                <w:rFonts w:ascii="宋体" w:hAnsi="宋体" w:cs="宋体" w:eastAsia="宋体" w:hint="default"/>
                <w:spacing w:val="-3"/>
                <w:sz w:val="16"/>
                <w:szCs w:val="16"/>
              </w:rPr>
              <w:t>司</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本人所持股份的锁定期内，本公司</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本人</w:t>
            </w:r>
            <w:r>
              <w:rPr>
                <w:rFonts w:ascii="宋体" w:hAnsi="宋体" w:cs="宋体" w:eastAsia="宋体" w:hint="default"/>
                <w:spacing w:val="-62"/>
                <w:sz w:val="16"/>
                <w:szCs w:val="16"/>
              </w:rPr>
              <w:t> </w:t>
            </w:r>
            <w:r>
              <w:rPr>
                <w:rFonts w:ascii="宋体" w:hAnsi="宋体" w:cs="宋体" w:eastAsia="宋体" w:hint="default"/>
                <w:sz w:val="16"/>
                <w:szCs w:val="16"/>
              </w:rPr>
              <w:t>不会进行任何违反相关规定及股份锁定承</w:t>
            </w:r>
            <w:r>
              <w:rPr>
                <w:rFonts w:ascii="宋体" w:hAnsi="宋体" w:cs="宋体" w:eastAsia="宋体" w:hint="default"/>
                <w:w w:val="100"/>
                <w:sz w:val="16"/>
                <w:szCs w:val="16"/>
              </w:rPr>
              <w:t> </w:t>
            </w:r>
            <w:r>
              <w:rPr>
                <w:rFonts w:ascii="宋体" w:hAnsi="宋体" w:cs="宋体" w:eastAsia="宋体" w:hint="default"/>
                <w:spacing w:val="-3"/>
                <w:sz w:val="16"/>
                <w:szCs w:val="16"/>
              </w:rPr>
              <w:t>诺的股份减持行为。</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、除承诺自先进数通</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股票上市后三十六个月内不减持公司股票</w:t>
            </w:r>
            <w:r>
              <w:rPr>
                <w:rFonts w:ascii="宋体" w:hAnsi="宋体" w:cs="宋体" w:eastAsia="宋体" w:hint="default"/>
                <w:w w:val="100"/>
                <w:sz w:val="16"/>
                <w:szCs w:val="16"/>
              </w:rPr>
              <w:t> </w:t>
            </w:r>
            <w:r>
              <w:rPr>
                <w:rFonts w:ascii="宋体" w:hAnsi="宋体" w:cs="宋体" w:eastAsia="宋体" w:hint="default"/>
                <w:spacing w:val="-1"/>
                <w:sz w:val="16"/>
                <w:szCs w:val="16"/>
              </w:rPr>
              <w:t>外，本公司</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本人在前述锁定期满后两年内</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减持价格不低于发行价的</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80%</w:t>
            </w:r>
            <w:r>
              <w:rPr>
                <w:rFonts w:ascii="宋体" w:hAnsi="宋体" w:cs="宋体" w:eastAsia="宋体" w:hint="default"/>
                <w:sz w:val="16"/>
                <w:szCs w:val="16"/>
              </w:rPr>
              <w:t>，两年内累</w:t>
            </w:r>
            <w:r>
              <w:rPr>
                <w:rFonts w:ascii="宋体" w:hAnsi="宋体" w:cs="宋体" w:eastAsia="宋体" w:hint="default"/>
                <w:w w:val="100"/>
                <w:sz w:val="16"/>
                <w:szCs w:val="16"/>
              </w:rPr>
              <w:t> </w:t>
            </w:r>
            <w:r>
              <w:rPr>
                <w:rFonts w:ascii="宋体" w:hAnsi="宋体" w:cs="宋体" w:eastAsia="宋体" w:hint="default"/>
                <w:sz w:val="16"/>
                <w:szCs w:val="16"/>
              </w:rPr>
              <w:t>计减持数量可能达到上市时持有的先进数</w:t>
            </w:r>
            <w:r>
              <w:rPr>
                <w:rFonts w:ascii="宋体" w:hAnsi="宋体" w:cs="宋体" w:eastAsia="宋体" w:hint="default"/>
                <w:w w:val="100"/>
                <w:sz w:val="16"/>
                <w:szCs w:val="16"/>
              </w:rPr>
              <w:t> </w:t>
            </w:r>
            <w:r>
              <w:rPr>
                <w:rFonts w:ascii="宋体" w:hAnsi="宋体" w:cs="宋体" w:eastAsia="宋体" w:hint="default"/>
                <w:sz w:val="16"/>
                <w:szCs w:val="16"/>
              </w:rPr>
              <w:t>通股票数量的</w:t>
            </w:r>
            <w:r>
              <w:rPr>
                <w:rFonts w:ascii="宋体" w:hAnsi="宋体" w:cs="宋体" w:eastAsia="宋体" w:hint="default"/>
                <w:spacing w:val="-28"/>
                <w:sz w:val="16"/>
                <w:szCs w:val="16"/>
              </w:rPr>
              <w:t> </w:t>
            </w:r>
            <w:r>
              <w:rPr>
                <w:rFonts w:ascii="Times New Roman" w:hAnsi="Times New Roman" w:cs="Times New Roman" w:eastAsia="Times New Roman" w:hint="default"/>
                <w:spacing w:val="-5"/>
                <w:sz w:val="16"/>
                <w:szCs w:val="16"/>
              </w:rPr>
              <w:t>100%</w:t>
            </w:r>
            <w:r>
              <w:rPr>
                <w:rFonts w:ascii="宋体" w:hAnsi="宋体" w:cs="宋体" w:eastAsia="宋体" w:hint="default"/>
                <w:spacing w:val="-5"/>
                <w:sz w:val="16"/>
                <w:szCs w:val="16"/>
              </w:rPr>
              <w:t>。自先进数通股票上市</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1"/>
                <w:sz w:val="16"/>
                <w:szCs w:val="16"/>
              </w:rPr>
              <w:t>至本公司</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本人减持期间，先进数通如有派</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息、送股、资本公积金转增股本、配股等</w:t>
            </w:r>
            <w:r>
              <w:rPr>
                <w:rFonts w:ascii="宋体" w:hAnsi="宋体" w:cs="宋体" w:eastAsia="宋体" w:hint="default"/>
                <w:w w:val="100"/>
                <w:sz w:val="16"/>
                <w:szCs w:val="16"/>
              </w:rPr>
              <w:t> </w:t>
            </w:r>
            <w:r>
              <w:rPr>
                <w:rFonts w:ascii="宋体" w:hAnsi="宋体" w:cs="宋体" w:eastAsia="宋体" w:hint="default"/>
                <w:sz w:val="16"/>
                <w:szCs w:val="16"/>
              </w:rPr>
              <w:t>除权除息事项，发行价和股份数量将相应</w:t>
            </w:r>
            <w:r>
              <w:rPr>
                <w:rFonts w:ascii="宋体" w:hAnsi="宋体" w:cs="宋体" w:eastAsia="宋体" w:hint="default"/>
                <w:w w:val="100"/>
                <w:sz w:val="16"/>
                <w:szCs w:val="16"/>
              </w:rPr>
              <w:t> </w:t>
            </w:r>
            <w:r>
              <w:rPr>
                <w:rFonts w:ascii="宋体" w:hAnsi="宋体" w:cs="宋体" w:eastAsia="宋体" w:hint="default"/>
                <w:spacing w:val="-3"/>
                <w:sz w:val="16"/>
                <w:szCs w:val="16"/>
              </w:rPr>
              <w:t>进行调整。</w:t>
            </w:r>
            <w:r>
              <w:rPr>
                <w:rFonts w:ascii="Times New Roman" w:hAnsi="Times New Roman" w:cs="Times New Roman" w:eastAsia="Times New Roman" w:hint="default"/>
                <w:spacing w:val="-3"/>
                <w:sz w:val="16"/>
                <w:szCs w:val="16"/>
              </w:rPr>
              <w:t>3</w:t>
            </w:r>
            <w:r>
              <w:rPr>
                <w:rFonts w:ascii="宋体" w:hAnsi="宋体" w:cs="宋体" w:eastAsia="宋体" w:hint="default"/>
                <w:spacing w:val="-3"/>
                <w:sz w:val="16"/>
                <w:szCs w:val="16"/>
              </w:rPr>
              <w:t>、所持股票在锁定期满后，如</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1"/>
                <w:sz w:val="16"/>
                <w:szCs w:val="16"/>
              </w:rPr>
              <w:t>本公司</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本人确定依法减持公司股份的，将</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提前三个交易日公告减持计划。在遵守股</w:t>
            </w:r>
            <w:r>
              <w:rPr>
                <w:rFonts w:ascii="宋体" w:hAnsi="宋体" w:cs="宋体" w:eastAsia="宋体" w:hint="default"/>
                <w:w w:val="100"/>
                <w:sz w:val="16"/>
                <w:szCs w:val="16"/>
              </w:rPr>
              <w:t> </w:t>
            </w:r>
            <w:r>
              <w:rPr>
                <w:rFonts w:ascii="宋体" w:hAnsi="宋体" w:cs="宋体" w:eastAsia="宋体" w:hint="default"/>
                <w:sz w:val="16"/>
                <w:szCs w:val="16"/>
              </w:rPr>
              <w:t>份转让相关法律法规及证券交易所相关规</w:t>
            </w:r>
            <w:r>
              <w:rPr>
                <w:rFonts w:ascii="宋体" w:hAnsi="宋体" w:cs="宋体" w:eastAsia="宋体" w:hint="default"/>
                <w:w w:val="100"/>
                <w:sz w:val="16"/>
                <w:szCs w:val="16"/>
              </w:rPr>
              <w:t> </w:t>
            </w:r>
            <w:r>
              <w:rPr>
                <w:rFonts w:ascii="宋体" w:hAnsi="宋体" w:cs="宋体" w:eastAsia="宋体" w:hint="default"/>
                <w:spacing w:val="-1"/>
                <w:sz w:val="16"/>
                <w:szCs w:val="16"/>
              </w:rPr>
              <w:t>定的条件下，本公司</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本人将在减持公告中</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6" w:lineRule="auto"/>
        <w:jc w:val="left"/>
        <w:rPr>
          <w:rFonts w:ascii="宋体" w:hAnsi="宋体" w:cs="宋体" w:eastAsia="宋体" w:hint="default"/>
          <w:sz w:val="18"/>
          <w:szCs w:val="18"/>
        </w:rPr>
        <w:sectPr>
          <w:pgSz w:w="11910" w:h="16840"/>
          <w:pgMar w:header="906" w:footer="1021" w:top="1100" w:bottom="1220" w:left="7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9"/>
      </w:tblGrid>
      <w:tr>
        <w:trPr>
          <w:trHeight w:val="6603" w:hRule="exact"/>
        </w:trPr>
        <w:tc>
          <w:tcPr>
            <w:tcW w:w="1850"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5" w:right="17"/>
              <w:jc w:val="left"/>
              <w:rPr>
                <w:rFonts w:ascii="宋体" w:hAnsi="宋体" w:cs="宋体" w:eastAsia="宋体" w:hint="default"/>
                <w:sz w:val="16"/>
                <w:szCs w:val="16"/>
              </w:rPr>
            </w:pPr>
            <w:r>
              <w:rPr>
                <w:rFonts w:ascii="宋体" w:hAnsi="宋体" w:cs="宋体" w:eastAsia="宋体" w:hint="default"/>
                <w:sz w:val="16"/>
                <w:szCs w:val="16"/>
              </w:rPr>
              <w:t>明确减持的具体数量或区间、减持的执行</w:t>
            </w:r>
            <w:r>
              <w:rPr>
                <w:rFonts w:ascii="宋体" w:hAnsi="宋体" w:cs="宋体" w:eastAsia="宋体" w:hint="default"/>
                <w:w w:val="100"/>
                <w:sz w:val="16"/>
                <w:szCs w:val="16"/>
              </w:rPr>
              <w:t> </w:t>
            </w:r>
            <w:r>
              <w:rPr>
                <w:rFonts w:ascii="宋体" w:hAnsi="宋体" w:cs="宋体" w:eastAsia="宋体" w:hint="default"/>
                <w:sz w:val="16"/>
                <w:szCs w:val="16"/>
              </w:rPr>
              <w:t>期限等信息；本公司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本人将在公告的减持</w:t>
            </w:r>
            <w:r>
              <w:rPr>
                <w:rFonts w:ascii="宋体" w:hAnsi="宋体" w:cs="宋体" w:eastAsia="宋体" w:hint="default"/>
                <w:w w:val="100"/>
                <w:sz w:val="16"/>
                <w:szCs w:val="16"/>
              </w:rPr>
              <w:t> </w:t>
            </w:r>
            <w:r>
              <w:rPr>
                <w:rFonts w:ascii="宋体" w:hAnsi="宋体" w:cs="宋体" w:eastAsia="宋体" w:hint="default"/>
                <w:sz w:val="16"/>
                <w:szCs w:val="16"/>
              </w:rPr>
              <w:t>期限内以相关监管部门允许的方式进行减</w:t>
            </w:r>
            <w:r>
              <w:rPr>
                <w:rFonts w:ascii="宋体" w:hAnsi="宋体" w:cs="宋体" w:eastAsia="宋体" w:hint="default"/>
                <w:w w:val="100"/>
                <w:sz w:val="16"/>
                <w:szCs w:val="16"/>
              </w:rPr>
              <w:t> </w:t>
            </w:r>
            <w:r>
              <w:rPr>
                <w:rFonts w:ascii="宋体" w:hAnsi="宋体" w:cs="宋体" w:eastAsia="宋体" w:hint="default"/>
                <w:sz w:val="16"/>
                <w:szCs w:val="16"/>
              </w:rPr>
              <w:t>持，具体方式包括但不限于交易所集中竞</w:t>
            </w:r>
            <w:r>
              <w:rPr>
                <w:rFonts w:ascii="宋体" w:hAnsi="宋体" w:cs="宋体" w:eastAsia="宋体" w:hint="default"/>
                <w:w w:val="100"/>
                <w:sz w:val="16"/>
                <w:szCs w:val="16"/>
              </w:rPr>
              <w:t> </w:t>
            </w:r>
            <w:r>
              <w:rPr>
                <w:rFonts w:ascii="宋体" w:hAnsi="宋体" w:cs="宋体" w:eastAsia="宋体" w:hint="default"/>
                <w:sz w:val="16"/>
                <w:szCs w:val="16"/>
              </w:rPr>
              <w:t>价交易方式、大宗交易方式、协议转让方</w:t>
            </w:r>
            <w:r>
              <w:rPr>
                <w:rFonts w:ascii="宋体" w:hAnsi="宋体" w:cs="宋体" w:eastAsia="宋体" w:hint="default"/>
                <w:w w:val="100"/>
                <w:sz w:val="16"/>
                <w:szCs w:val="16"/>
              </w:rPr>
              <w:t> </w:t>
            </w:r>
            <w:r>
              <w:rPr>
                <w:rFonts w:ascii="宋体" w:hAnsi="宋体" w:cs="宋体" w:eastAsia="宋体" w:hint="default"/>
                <w:spacing w:val="-5"/>
                <w:sz w:val="16"/>
                <w:szCs w:val="16"/>
              </w:rPr>
              <w:t>式等。</w:t>
            </w:r>
            <w:r>
              <w:rPr>
                <w:rFonts w:ascii="Times New Roman" w:hAnsi="Times New Roman" w:cs="Times New Roman" w:eastAsia="Times New Roman" w:hint="default"/>
                <w:spacing w:val="-5"/>
                <w:sz w:val="16"/>
                <w:szCs w:val="16"/>
              </w:rPr>
              <w:t>4</w:t>
            </w:r>
            <w:r>
              <w:rPr>
                <w:rFonts w:ascii="宋体" w:hAnsi="宋体" w:cs="宋体" w:eastAsia="宋体" w:hint="default"/>
                <w:spacing w:val="-5"/>
                <w:sz w:val="16"/>
                <w:szCs w:val="16"/>
              </w:rPr>
              <w:t>、如本公司</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本人未来依法发生任何</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增持或减持公司股份情形的，本公司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w:t>
            </w:r>
            <w:r>
              <w:rPr>
                <w:rFonts w:ascii="宋体" w:hAnsi="宋体" w:cs="宋体" w:eastAsia="宋体" w:hint="default"/>
                <w:w w:val="100"/>
                <w:sz w:val="16"/>
                <w:szCs w:val="16"/>
              </w:rPr>
              <w:t> </w:t>
            </w:r>
            <w:r>
              <w:rPr>
                <w:rFonts w:ascii="宋体" w:hAnsi="宋体" w:cs="宋体" w:eastAsia="宋体" w:hint="default"/>
                <w:sz w:val="16"/>
                <w:szCs w:val="16"/>
              </w:rPr>
              <w:t>将严格按照相关监管部门颁布的相关法律</w:t>
            </w:r>
            <w:r>
              <w:rPr>
                <w:rFonts w:ascii="宋体" w:hAnsi="宋体" w:cs="宋体" w:eastAsia="宋体" w:hint="default"/>
                <w:w w:val="100"/>
                <w:sz w:val="16"/>
                <w:szCs w:val="16"/>
              </w:rPr>
              <w:t> </w:t>
            </w:r>
            <w:r>
              <w:rPr>
                <w:rFonts w:ascii="宋体" w:hAnsi="宋体" w:cs="宋体" w:eastAsia="宋体" w:hint="default"/>
                <w:sz w:val="16"/>
                <w:szCs w:val="16"/>
              </w:rPr>
              <w:t>法规及规范性文件的规定进行相应增持或</w:t>
            </w:r>
            <w:r>
              <w:rPr>
                <w:rFonts w:ascii="宋体" w:hAnsi="宋体" w:cs="宋体" w:eastAsia="宋体" w:hint="default"/>
                <w:w w:val="100"/>
                <w:sz w:val="16"/>
                <w:szCs w:val="16"/>
              </w:rPr>
              <w:t> </w:t>
            </w:r>
            <w:r>
              <w:rPr>
                <w:rFonts w:ascii="宋体" w:hAnsi="宋体" w:cs="宋体" w:eastAsia="宋体" w:hint="default"/>
                <w:spacing w:val="-3"/>
                <w:sz w:val="16"/>
                <w:szCs w:val="16"/>
              </w:rPr>
              <w:t>减持操作，并及时履行有关信息披露义务。</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Times New Roman" w:hAnsi="Times New Roman" w:cs="Times New Roman" w:eastAsia="Times New Roman" w:hint="default"/>
                <w:spacing w:val="-5"/>
                <w:w w:val="100"/>
                <w:sz w:val="16"/>
                <w:szCs w:val="16"/>
              </w:rPr>
              <w:t>5</w:t>
            </w:r>
            <w:r>
              <w:rPr>
                <w:rFonts w:ascii="宋体" w:hAnsi="宋体" w:cs="宋体" w:eastAsia="宋体" w:hint="default"/>
                <w:spacing w:val="-5"/>
                <w:w w:val="100"/>
                <w:sz w:val="16"/>
                <w:szCs w:val="16"/>
              </w:rPr>
              <w:t>、若本公司</w:t>
            </w:r>
            <w:r>
              <w:rPr>
                <w:rFonts w:ascii="Times New Roman" w:hAnsi="Times New Roman" w:cs="Times New Roman" w:eastAsia="Times New Roman" w:hint="default"/>
                <w:spacing w:val="-5"/>
                <w:w w:val="100"/>
                <w:sz w:val="16"/>
                <w:szCs w:val="16"/>
              </w:rPr>
              <w:t>/</w:t>
            </w:r>
            <w:r>
              <w:rPr>
                <w:rFonts w:ascii="宋体" w:hAnsi="宋体" w:cs="宋体" w:eastAsia="宋体" w:hint="default"/>
                <w:spacing w:val="-5"/>
                <w:w w:val="100"/>
                <w:sz w:val="16"/>
                <w:szCs w:val="16"/>
              </w:rPr>
              <w:t>本人未履行上述关于股份减持</w:t>
            </w:r>
            <w:r>
              <w:rPr>
                <w:rFonts w:ascii="宋体" w:hAnsi="宋体" w:cs="宋体" w:eastAsia="宋体" w:hint="default"/>
                <w:spacing w:val="-75"/>
                <w:w w:val="100"/>
                <w:sz w:val="16"/>
                <w:szCs w:val="16"/>
              </w:rPr>
              <w:t> </w:t>
            </w:r>
            <w:r>
              <w:rPr>
                <w:rFonts w:ascii="宋体" w:hAnsi="宋体" w:cs="宋体" w:eastAsia="宋体" w:hint="default"/>
                <w:spacing w:val="-75"/>
                <w:w w:val="100"/>
                <w:sz w:val="16"/>
                <w:szCs w:val="16"/>
              </w:rPr>
            </w:r>
            <w:r>
              <w:rPr>
                <w:rFonts w:ascii="宋体" w:hAnsi="宋体" w:cs="宋体" w:eastAsia="宋体" w:hint="default"/>
                <w:sz w:val="16"/>
                <w:szCs w:val="16"/>
              </w:rPr>
              <w:t>的承诺减持意向，则减持先进数通股份所</w:t>
            </w:r>
            <w:r>
              <w:rPr>
                <w:rFonts w:ascii="宋体" w:hAnsi="宋体" w:cs="宋体" w:eastAsia="宋体" w:hint="default"/>
                <w:w w:val="100"/>
                <w:sz w:val="16"/>
                <w:szCs w:val="16"/>
              </w:rPr>
              <w:t> </w:t>
            </w:r>
            <w:r>
              <w:rPr>
                <w:rFonts w:ascii="宋体" w:hAnsi="宋体" w:cs="宋体" w:eastAsia="宋体" w:hint="default"/>
                <w:sz w:val="16"/>
                <w:szCs w:val="16"/>
              </w:rPr>
              <w:t>得收益归先进数通所有，本公司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本人将在</w:t>
            </w:r>
            <w:r>
              <w:rPr>
                <w:rFonts w:ascii="宋体" w:hAnsi="宋体" w:cs="宋体" w:eastAsia="宋体" w:hint="default"/>
                <w:w w:val="100"/>
                <w:sz w:val="16"/>
                <w:szCs w:val="16"/>
              </w:rPr>
              <w:t> </w:t>
            </w:r>
            <w:r>
              <w:rPr>
                <w:rFonts w:ascii="宋体" w:hAnsi="宋体" w:cs="宋体" w:eastAsia="宋体" w:hint="default"/>
                <w:sz w:val="16"/>
                <w:szCs w:val="16"/>
              </w:rPr>
              <w:t>股东大会及相关监管部门指定的披露媒体</w:t>
            </w:r>
            <w:r>
              <w:rPr>
                <w:rFonts w:ascii="宋体" w:hAnsi="宋体" w:cs="宋体" w:eastAsia="宋体" w:hint="default"/>
                <w:w w:val="100"/>
                <w:sz w:val="16"/>
                <w:szCs w:val="16"/>
              </w:rPr>
              <w:t> </w:t>
            </w:r>
            <w:r>
              <w:rPr>
                <w:rFonts w:ascii="宋体" w:hAnsi="宋体" w:cs="宋体" w:eastAsia="宋体" w:hint="default"/>
                <w:sz w:val="16"/>
                <w:szCs w:val="16"/>
              </w:rPr>
              <w:t>上公开说明未履行承诺的具体原因并向先</w:t>
            </w:r>
            <w:r>
              <w:rPr>
                <w:rFonts w:ascii="宋体" w:hAnsi="宋体" w:cs="宋体" w:eastAsia="宋体" w:hint="default"/>
                <w:w w:val="100"/>
                <w:sz w:val="16"/>
                <w:szCs w:val="16"/>
              </w:rPr>
              <w:t> </w:t>
            </w:r>
            <w:r>
              <w:rPr>
                <w:rFonts w:ascii="宋体" w:hAnsi="宋体" w:cs="宋体" w:eastAsia="宋体" w:hint="default"/>
                <w:sz w:val="16"/>
                <w:szCs w:val="16"/>
              </w:rPr>
              <w:t>进数通股东和社会公众投资者道歉，并自</w:t>
            </w:r>
            <w:r>
              <w:rPr>
                <w:rFonts w:ascii="宋体" w:hAnsi="宋体" w:cs="宋体" w:eastAsia="宋体" w:hint="default"/>
                <w:w w:val="100"/>
                <w:sz w:val="16"/>
                <w:szCs w:val="16"/>
              </w:rPr>
              <w:t> </w:t>
            </w:r>
            <w:r>
              <w:rPr>
                <w:rFonts w:ascii="宋体" w:hAnsi="宋体" w:cs="宋体" w:eastAsia="宋体" w:hint="default"/>
                <w:sz w:val="16"/>
                <w:szCs w:val="16"/>
              </w:rPr>
              <w:t>愿接受相关监管部门依据相关规定给予的</w:t>
            </w:r>
            <w:r>
              <w:rPr>
                <w:rFonts w:ascii="宋体" w:hAnsi="宋体" w:cs="宋体" w:eastAsia="宋体" w:hint="default"/>
                <w:w w:val="100"/>
                <w:sz w:val="16"/>
                <w:szCs w:val="16"/>
              </w:rPr>
              <w:t> </w:t>
            </w:r>
            <w:r>
              <w:rPr>
                <w:rFonts w:ascii="宋体" w:hAnsi="宋体" w:cs="宋体" w:eastAsia="宋体" w:hint="default"/>
                <w:spacing w:val="-5"/>
                <w:sz w:val="16"/>
                <w:szCs w:val="16"/>
              </w:rPr>
              <w:t>监管措施或处罚。</w:t>
            </w:r>
            <w:r>
              <w:rPr>
                <w:rFonts w:ascii="Times New Roman" w:hAnsi="Times New Roman" w:cs="Times New Roman" w:eastAsia="Times New Roman" w:hint="default"/>
                <w:spacing w:val="-5"/>
                <w:sz w:val="16"/>
                <w:szCs w:val="16"/>
              </w:rPr>
              <w:t>6</w:t>
            </w:r>
            <w:r>
              <w:rPr>
                <w:rFonts w:ascii="宋体" w:hAnsi="宋体" w:cs="宋体" w:eastAsia="宋体" w:hint="default"/>
                <w:spacing w:val="-5"/>
                <w:sz w:val="16"/>
                <w:szCs w:val="16"/>
              </w:rPr>
              <w:t>、若本公司</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本人未履行</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上述减持意向，本公司</w:t>
            </w:r>
            <w:r>
              <w:rPr>
                <w:rFonts w:ascii="Times New Roman" w:hAnsi="Times New Roman" w:cs="Times New Roman" w:eastAsia="Times New Roman" w:hint="default"/>
                <w:sz w:val="16"/>
                <w:szCs w:val="16"/>
              </w:rPr>
              <w:t>/</w:t>
            </w:r>
            <w:r>
              <w:rPr>
                <w:rFonts w:ascii="宋体" w:hAnsi="宋体" w:cs="宋体" w:eastAsia="宋体" w:hint="default"/>
                <w:sz w:val="16"/>
                <w:szCs w:val="16"/>
              </w:rPr>
              <w:t>本人持有的先进数</w:t>
            </w:r>
            <w:r>
              <w:rPr>
                <w:rFonts w:ascii="宋体" w:hAnsi="宋体" w:cs="宋体" w:eastAsia="宋体" w:hint="default"/>
                <w:w w:val="100"/>
                <w:sz w:val="16"/>
                <w:szCs w:val="16"/>
              </w:rPr>
              <w:t> </w:t>
            </w:r>
            <w:r>
              <w:rPr>
                <w:rFonts w:ascii="宋体" w:hAnsi="宋体" w:cs="宋体" w:eastAsia="宋体" w:hint="default"/>
                <w:sz w:val="16"/>
                <w:szCs w:val="16"/>
              </w:rPr>
              <w:t>通股份自未履行上述减持意向之日起</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w:t>
            </w:r>
            <w:r>
              <w:rPr>
                <w:rFonts w:ascii="宋体" w:hAnsi="宋体" w:cs="宋体" w:eastAsia="宋体" w:hint="default"/>
                <w:w w:val="100"/>
                <w:sz w:val="16"/>
                <w:szCs w:val="16"/>
              </w:rPr>
              <w:t> </w:t>
            </w:r>
            <w:r>
              <w:rPr>
                <w:rFonts w:ascii="宋体" w:hAnsi="宋体" w:cs="宋体" w:eastAsia="宋体" w:hint="default"/>
                <w:sz w:val="16"/>
                <w:szCs w:val="16"/>
              </w:rPr>
              <w:t>月内不得减持。</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105" w:right="110"/>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105" w:right="158"/>
              <w:jc w:val="left"/>
              <w:rPr>
                <w:rFonts w:ascii="宋体" w:hAnsi="宋体" w:cs="宋体" w:eastAsia="宋体" w:hint="default"/>
                <w:sz w:val="18"/>
                <w:szCs w:val="18"/>
              </w:rPr>
            </w:pPr>
            <w:r>
              <w:rPr>
                <w:rFonts w:ascii="宋体" w:hAnsi="宋体" w:cs="宋体" w:eastAsia="宋体" w:hint="default"/>
                <w:sz w:val="18"/>
                <w:szCs w:val="18"/>
              </w:rPr>
              <w:t>股份回购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7"/>
              <w:ind w:left="105" w:right="96"/>
              <w:jc w:val="both"/>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、公司关于股份回购的承诺。如果本公司</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招股说明书存在虚假记载、误导性陈述或</w:t>
            </w:r>
            <w:r>
              <w:rPr>
                <w:rFonts w:ascii="宋体" w:hAnsi="宋体" w:cs="宋体" w:eastAsia="宋体" w:hint="default"/>
                <w:w w:val="100"/>
                <w:sz w:val="16"/>
                <w:szCs w:val="16"/>
              </w:rPr>
              <w:t> </w:t>
            </w:r>
            <w:r>
              <w:rPr>
                <w:rFonts w:ascii="宋体" w:hAnsi="宋体" w:cs="宋体" w:eastAsia="宋体" w:hint="default"/>
                <w:sz w:val="16"/>
                <w:szCs w:val="16"/>
              </w:rPr>
              <w:t>者重大遗漏，对判断本公司是否符合法律</w:t>
            </w:r>
            <w:r>
              <w:rPr>
                <w:rFonts w:ascii="宋体" w:hAnsi="宋体" w:cs="宋体" w:eastAsia="宋体" w:hint="default"/>
                <w:w w:val="100"/>
                <w:sz w:val="16"/>
                <w:szCs w:val="16"/>
              </w:rPr>
              <w:t> </w:t>
            </w:r>
            <w:r>
              <w:rPr>
                <w:rFonts w:ascii="宋体" w:hAnsi="宋体" w:cs="宋体" w:eastAsia="宋体" w:hint="default"/>
                <w:sz w:val="16"/>
                <w:szCs w:val="16"/>
              </w:rPr>
              <w:t>规定的发行条件构成重大、实质影响的，</w:t>
            </w:r>
            <w:r>
              <w:rPr>
                <w:rFonts w:ascii="宋体" w:hAnsi="宋体" w:cs="宋体" w:eastAsia="宋体" w:hint="default"/>
                <w:w w:val="100"/>
                <w:sz w:val="16"/>
                <w:szCs w:val="16"/>
              </w:rPr>
              <w:t> </w:t>
            </w:r>
            <w:r>
              <w:rPr>
                <w:rFonts w:ascii="宋体" w:hAnsi="宋体" w:cs="宋体" w:eastAsia="宋体" w:hint="default"/>
                <w:sz w:val="16"/>
                <w:szCs w:val="16"/>
              </w:rPr>
              <w:t>本公司董事会将在证券监管部门依法对上</w:t>
            </w:r>
            <w:r>
              <w:rPr>
                <w:rFonts w:ascii="宋体" w:hAnsi="宋体" w:cs="宋体" w:eastAsia="宋体" w:hint="default"/>
                <w:w w:val="100"/>
                <w:sz w:val="16"/>
                <w:szCs w:val="16"/>
              </w:rPr>
              <w:t> </w:t>
            </w:r>
            <w:r>
              <w:rPr>
                <w:rFonts w:ascii="宋体" w:hAnsi="宋体" w:cs="宋体" w:eastAsia="宋体" w:hint="default"/>
                <w:sz w:val="16"/>
                <w:szCs w:val="16"/>
              </w:rPr>
              <w:t>述事实作出认定或处罚决定后十个工作日</w:t>
            </w:r>
            <w:r>
              <w:rPr>
                <w:rFonts w:ascii="宋体" w:hAnsi="宋体" w:cs="宋体" w:eastAsia="宋体" w:hint="default"/>
                <w:w w:val="100"/>
                <w:sz w:val="16"/>
                <w:szCs w:val="16"/>
              </w:rPr>
              <w:t> </w:t>
            </w:r>
            <w:r>
              <w:rPr>
                <w:rFonts w:ascii="宋体" w:hAnsi="宋体" w:cs="宋体" w:eastAsia="宋体" w:hint="default"/>
                <w:sz w:val="16"/>
                <w:szCs w:val="16"/>
              </w:rPr>
              <w:t>内，制订股份回购方案并提交股东大会审</w:t>
            </w:r>
            <w:r>
              <w:rPr>
                <w:rFonts w:ascii="宋体" w:hAnsi="宋体" w:cs="宋体" w:eastAsia="宋体" w:hint="default"/>
                <w:w w:val="100"/>
                <w:sz w:val="16"/>
                <w:szCs w:val="16"/>
              </w:rPr>
              <w:t> </w:t>
            </w:r>
            <w:r>
              <w:rPr>
                <w:rFonts w:ascii="宋体" w:hAnsi="宋体" w:cs="宋体" w:eastAsia="宋体" w:hint="default"/>
                <w:sz w:val="16"/>
                <w:szCs w:val="16"/>
              </w:rPr>
              <w:t>议批准，本公司将依法回购首次公开发行</w:t>
            </w:r>
            <w:r>
              <w:rPr>
                <w:rFonts w:ascii="宋体" w:hAnsi="宋体" w:cs="宋体" w:eastAsia="宋体" w:hint="default"/>
                <w:w w:val="100"/>
                <w:sz w:val="16"/>
                <w:szCs w:val="16"/>
              </w:rPr>
              <w:t> </w:t>
            </w:r>
            <w:r>
              <w:rPr>
                <w:rFonts w:ascii="宋体" w:hAnsi="宋体" w:cs="宋体" w:eastAsia="宋体" w:hint="default"/>
                <w:sz w:val="16"/>
                <w:szCs w:val="16"/>
              </w:rPr>
              <w:t>的全部新股，回购价格为发行价加上同期</w:t>
            </w:r>
            <w:r>
              <w:rPr>
                <w:rFonts w:ascii="宋体" w:hAnsi="宋体" w:cs="宋体" w:eastAsia="宋体" w:hint="default"/>
                <w:w w:val="100"/>
                <w:sz w:val="16"/>
                <w:szCs w:val="16"/>
              </w:rPr>
              <w:t> </w:t>
            </w:r>
            <w:r>
              <w:rPr>
                <w:rFonts w:ascii="宋体" w:hAnsi="宋体" w:cs="宋体" w:eastAsia="宋体" w:hint="default"/>
                <w:sz w:val="16"/>
                <w:szCs w:val="16"/>
              </w:rPr>
              <w:t>银行存款利息。自公司股票上市至回购期</w:t>
            </w:r>
            <w:r>
              <w:rPr>
                <w:rFonts w:ascii="宋体" w:hAnsi="宋体" w:cs="宋体" w:eastAsia="宋体" w:hint="default"/>
                <w:w w:val="100"/>
                <w:sz w:val="16"/>
                <w:szCs w:val="16"/>
              </w:rPr>
              <w:t> </w:t>
            </w:r>
            <w:r>
              <w:rPr>
                <w:rFonts w:ascii="宋体" w:hAnsi="宋体" w:cs="宋体" w:eastAsia="宋体" w:hint="default"/>
                <w:sz w:val="16"/>
                <w:szCs w:val="16"/>
              </w:rPr>
              <w:t>间，公司如有派息、送股、资本公积金转</w:t>
            </w:r>
            <w:r>
              <w:rPr>
                <w:rFonts w:ascii="宋体" w:hAnsi="宋体" w:cs="宋体" w:eastAsia="宋体" w:hint="default"/>
                <w:w w:val="100"/>
                <w:sz w:val="16"/>
                <w:szCs w:val="16"/>
              </w:rPr>
              <w:t> </w:t>
            </w:r>
            <w:r>
              <w:rPr>
                <w:rFonts w:ascii="宋体" w:hAnsi="宋体" w:cs="宋体" w:eastAsia="宋体" w:hint="default"/>
                <w:sz w:val="16"/>
                <w:szCs w:val="16"/>
              </w:rPr>
              <w:t>增股本、配股等除权除息事项，发行价将</w:t>
            </w:r>
            <w:r>
              <w:rPr>
                <w:rFonts w:ascii="宋体" w:hAnsi="宋体" w:cs="宋体" w:eastAsia="宋体" w:hint="default"/>
                <w:w w:val="100"/>
                <w:sz w:val="16"/>
                <w:szCs w:val="16"/>
              </w:rPr>
              <w:t> </w:t>
            </w:r>
            <w:r>
              <w:rPr>
                <w:rFonts w:ascii="宋体" w:hAnsi="宋体" w:cs="宋体" w:eastAsia="宋体" w:hint="default"/>
                <w:sz w:val="16"/>
                <w:szCs w:val="16"/>
              </w:rPr>
              <w:t>相应进行调整，回购的股份包括原限售股</w:t>
            </w:r>
            <w:r>
              <w:rPr>
                <w:rFonts w:ascii="宋体" w:hAnsi="宋体" w:cs="宋体" w:eastAsia="宋体" w:hint="default"/>
                <w:w w:val="100"/>
                <w:sz w:val="16"/>
                <w:szCs w:val="16"/>
              </w:rPr>
              <w:t> </w:t>
            </w:r>
            <w:r>
              <w:rPr>
                <w:rFonts w:ascii="宋体" w:hAnsi="宋体" w:cs="宋体" w:eastAsia="宋体" w:hint="default"/>
                <w:sz w:val="16"/>
                <w:szCs w:val="16"/>
              </w:rPr>
              <w:t>份及其派生股份。对于首次公开发行股票</w:t>
            </w:r>
            <w:r>
              <w:rPr>
                <w:rFonts w:ascii="宋体" w:hAnsi="宋体" w:cs="宋体" w:eastAsia="宋体" w:hint="default"/>
                <w:w w:val="100"/>
                <w:sz w:val="16"/>
                <w:szCs w:val="16"/>
              </w:rPr>
              <w:t> </w:t>
            </w:r>
            <w:r>
              <w:rPr>
                <w:rFonts w:ascii="宋体" w:hAnsi="宋体" w:cs="宋体" w:eastAsia="宋体" w:hint="default"/>
                <w:spacing w:val="-7"/>
                <w:w w:val="100"/>
                <w:sz w:val="16"/>
                <w:szCs w:val="16"/>
              </w:rPr>
              <w:t>时公司股东发售的原限售股份（如有），本</w:t>
            </w:r>
            <w:r>
              <w:rPr>
                <w:rFonts w:ascii="宋体" w:hAnsi="宋体" w:cs="宋体" w:eastAsia="宋体" w:hint="default"/>
                <w:spacing w:val="-77"/>
                <w:w w:val="100"/>
                <w:sz w:val="16"/>
                <w:szCs w:val="16"/>
              </w:rPr>
              <w:t> </w:t>
            </w:r>
            <w:r>
              <w:rPr>
                <w:rFonts w:ascii="宋体" w:hAnsi="宋体" w:cs="宋体" w:eastAsia="宋体" w:hint="default"/>
                <w:spacing w:val="-77"/>
                <w:w w:val="100"/>
                <w:sz w:val="16"/>
                <w:szCs w:val="16"/>
              </w:rPr>
            </w:r>
            <w:r>
              <w:rPr>
                <w:rFonts w:ascii="宋体" w:hAnsi="宋体" w:cs="宋体" w:eastAsia="宋体" w:hint="default"/>
                <w:sz w:val="16"/>
                <w:szCs w:val="16"/>
              </w:rPr>
              <w:t>公司将在证券监管部门依法对上述事实作</w:t>
            </w:r>
            <w:r>
              <w:rPr>
                <w:rFonts w:ascii="宋体" w:hAnsi="宋体" w:cs="宋体" w:eastAsia="宋体" w:hint="default"/>
                <w:w w:val="100"/>
                <w:sz w:val="16"/>
                <w:szCs w:val="16"/>
              </w:rPr>
              <w:t> </w:t>
            </w:r>
            <w:r>
              <w:rPr>
                <w:rFonts w:ascii="宋体" w:hAnsi="宋体" w:cs="宋体" w:eastAsia="宋体" w:hint="default"/>
                <w:sz w:val="16"/>
                <w:szCs w:val="16"/>
              </w:rPr>
              <w:t>出认定或处罚决定后五个工作日内，要求</w:t>
            </w:r>
            <w:r>
              <w:rPr>
                <w:rFonts w:ascii="宋体" w:hAnsi="宋体" w:cs="宋体" w:eastAsia="宋体" w:hint="default"/>
                <w:w w:val="100"/>
                <w:sz w:val="16"/>
                <w:szCs w:val="16"/>
              </w:rPr>
              <w:t> </w:t>
            </w:r>
            <w:r>
              <w:rPr>
                <w:rFonts w:ascii="宋体" w:hAnsi="宋体" w:cs="宋体" w:eastAsia="宋体" w:hint="default"/>
                <w:sz w:val="16"/>
                <w:szCs w:val="16"/>
              </w:rPr>
              <w:t>相关股东制订股份回购方案并予以公告。</w:t>
            </w:r>
            <w:r>
              <w:rPr>
                <w:rFonts w:ascii="宋体" w:hAnsi="宋体" w:cs="宋体" w:eastAsia="宋体" w:hint="default"/>
                <w:w w:val="100"/>
                <w:sz w:val="16"/>
                <w:szCs w:val="16"/>
              </w:rPr>
              <w:t> </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、发行前担任董事、监事、高级管理人员</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的股东关于股份回购的承诺。如果先进数</w:t>
            </w:r>
            <w:r>
              <w:rPr>
                <w:rFonts w:ascii="宋体" w:hAnsi="宋体" w:cs="宋体" w:eastAsia="宋体" w:hint="default"/>
                <w:w w:val="100"/>
                <w:sz w:val="16"/>
                <w:szCs w:val="16"/>
              </w:rPr>
              <w:t> </w:t>
            </w:r>
            <w:r>
              <w:rPr>
                <w:rFonts w:ascii="宋体" w:hAnsi="宋体" w:cs="宋体" w:eastAsia="宋体" w:hint="default"/>
                <w:sz w:val="16"/>
                <w:szCs w:val="16"/>
              </w:rPr>
              <w:t>通的招股说明书存在虚假记载、误导性陈</w:t>
            </w:r>
            <w:r>
              <w:rPr>
                <w:rFonts w:ascii="宋体" w:hAnsi="宋体" w:cs="宋体" w:eastAsia="宋体" w:hint="default"/>
                <w:w w:val="100"/>
                <w:sz w:val="16"/>
                <w:szCs w:val="16"/>
              </w:rPr>
              <w:t> </w:t>
            </w:r>
            <w:r>
              <w:rPr>
                <w:rFonts w:ascii="宋体" w:hAnsi="宋体" w:cs="宋体" w:eastAsia="宋体" w:hint="default"/>
                <w:sz w:val="16"/>
                <w:szCs w:val="16"/>
              </w:rPr>
              <w:t>述或者重大遗漏，对判断先进数通是否符</w:t>
            </w:r>
            <w:r>
              <w:rPr>
                <w:rFonts w:ascii="宋体" w:hAnsi="宋体" w:cs="宋体" w:eastAsia="宋体" w:hint="default"/>
                <w:w w:val="100"/>
                <w:sz w:val="16"/>
                <w:szCs w:val="16"/>
              </w:rPr>
              <w:t> </w:t>
            </w:r>
            <w:r>
              <w:rPr>
                <w:rFonts w:ascii="宋体" w:hAnsi="宋体" w:cs="宋体" w:eastAsia="宋体" w:hint="default"/>
                <w:sz w:val="16"/>
                <w:szCs w:val="16"/>
              </w:rPr>
              <w:t>合法律规定的发行条件构成重大、实质影</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103" w:right="144"/>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6" w:lineRule="auto"/>
        <w:jc w:val="left"/>
        <w:rPr>
          <w:rFonts w:ascii="宋体" w:hAnsi="宋体" w:cs="宋体" w:eastAsia="宋体" w:hint="default"/>
          <w:sz w:val="18"/>
          <w:szCs w:val="18"/>
        </w:rPr>
        <w:sectPr>
          <w:pgSz w:w="11910" w:h="16840"/>
          <w:pgMar w:header="906" w:footer="1021" w:top="1100" w:bottom="1220" w:left="7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7"/>
      </w:tblGrid>
      <w:tr>
        <w:trPr>
          <w:trHeight w:val="987" w:hRule="exact"/>
        </w:trPr>
        <w:tc>
          <w:tcPr>
            <w:tcW w:w="1850"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5" w:right="144"/>
              <w:jc w:val="both"/>
              <w:rPr>
                <w:rFonts w:ascii="宋体" w:hAnsi="宋体" w:cs="宋体" w:eastAsia="宋体" w:hint="default"/>
                <w:sz w:val="16"/>
                <w:szCs w:val="16"/>
              </w:rPr>
            </w:pPr>
            <w:r>
              <w:rPr>
                <w:rFonts w:ascii="宋体" w:hAnsi="宋体" w:cs="宋体" w:eastAsia="宋体" w:hint="default"/>
                <w:spacing w:val="-1"/>
                <w:sz w:val="16"/>
                <w:szCs w:val="16"/>
              </w:rPr>
              <w:t>响的，本人作为先进数通的股东，将督促</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先进数通依法回购首次公开发行的全部新</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股。</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85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4" w:lineRule="auto"/>
              <w:ind w:left="105" w:right="110"/>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2"/>
              <w:ind w:left="105"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7"/>
              <w:ind w:left="105" w:right="17"/>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、公司关于稳定公司股价的承诺。在本公</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司上市后三年内股价达到《关于稳定北京</w:t>
            </w:r>
            <w:r>
              <w:rPr>
                <w:rFonts w:ascii="宋体" w:hAnsi="宋体" w:cs="宋体" w:eastAsia="宋体" w:hint="default"/>
                <w:w w:val="100"/>
                <w:sz w:val="16"/>
                <w:szCs w:val="16"/>
              </w:rPr>
              <w:t> </w:t>
            </w:r>
            <w:r>
              <w:rPr>
                <w:rFonts w:ascii="宋体" w:hAnsi="宋体" w:cs="宋体" w:eastAsia="宋体" w:hint="default"/>
                <w:sz w:val="16"/>
                <w:szCs w:val="16"/>
              </w:rPr>
              <w:t>先进数通信息技术股份公司股价的预案》</w:t>
            </w:r>
            <w:r>
              <w:rPr>
                <w:rFonts w:ascii="宋体" w:hAnsi="宋体" w:cs="宋体" w:eastAsia="宋体" w:hint="default"/>
                <w:w w:val="100"/>
                <w:sz w:val="16"/>
                <w:szCs w:val="16"/>
              </w:rPr>
              <w:t> </w:t>
            </w:r>
            <w:r>
              <w:rPr>
                <w:rFonts w:ascii="宋体" w:hAnsi="宋体" w:cs="宋体" w:eastAsia="宋体" w:hint="default"/>
                <w:sz w:val="16"/>
                <w:szCs w:val="16"/>
              </w:rPr>
              <w:t>规定的启动股价稳定措施的具体条件后，</w:t>
            </w:r>
            <w:r>
              <w:rPr>
                <w:rFonts w:ascii="宋体" w:hAnsi="宋体" w:cs="宋体" w:eastAsia="宋体" w:hint="default"/>
                <w:w w:val="100"/>
                <w:sz w:val="16"/>
                <w:szCs w:val="16"/>
              </w:rPr>
              <w:t> </w:t>
            </w:r>
            <w:r>
              <w:rPr>
                <w:rFonts w:ascii="宋体" w:hAnsi="宋体" w:cs="宋体" w:eastAsia="宋体" w:hint="default"/>
                <w:sz w:val="16"/>
                <w:szCs w:val="16"/>
              </w:rPr>
              <w:t>将遵守本公司董事会作出的稳定股价的具</w:t>
            </w:r>
            <w:r>
              <w:rPr>
                <w:rFonts w:ascii="宋体" w:hAnsi="宋体" w:cs="宋体" w:eastAsia="宋体" w:hint="default"/>
                <w:w w:val="100"/>
                <w:sz w:val="16"/>
                <w:szCs w:val="16"/>
              </w:rPr>
              <w:t> </w:t>
            </w:r>
            <w:r>
              <w:rPr>
                <w:rFonts w:ascii="宋体" w:hAnsi="宋体" w:cs="宋体" w:eastAsia="宋体" w:hint="default"/>
                <w:sz w:val="16"/>
                <w:szCs w:val="16"/>
              </w:rPr>
              <w:t>体实施方案，并根据该具体实施方案采取</w:t>
            </w:r>
            <w:r>
              <w:rPr>
                <w:rFonts w:ascii="宋体" w:hAnsi="宋体" w:cs="宋体" w:eastAsia="宋体" w:hint="default"/>
                <w:w w:val="100"/>
                <w:sz w:val="16"/>
                <w:szCs w:val="16"/>
              </w:rPr>
              <w:t> </w:t>
            </w:r>
            <w:r>
              <w:rPr>
                <w:rFonts w:ascii="宋体" w:hAnsi="宋体" w:cs="宋体" w:eastAsia="宋体" w:hint="default"/>
                <w:sz w:val="16"/>
                <w:szCs w:val="16"/>
              </w:rPr>
              <w:t>包括但不限于回购本公司股票或董事会作</w:t>
            </w:r>
            <w:r>
              <w:rPr>
                <w:rFonts w:ascii="宋体" w:hAnsi="宋体" w:cs="宋体" w:eastAsia="宋体" w:hint="default"/>
                <w:w w:val="100"/>
                <w:sz w:val="16"/>
                <w:szCs w:val="16"/>
              </w:rPr>
              <w:t> </w:t>
            </w:r>
            <w:r>
              <w:rPr>
                <w:rFonts w:ascii="宋体" w:hAnsi="宋体" w:cs="宋体" w:eastAsia="宋体" w:hint="default"/>
                <w:spacing w:val="-3"/>
                <w:sz w:val="16"/>
                <w:szCs w:val="16"/>
              </w:rPr>
              <w:t>出的其他稳定股价的具体实施措施。同时，</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对于本承诺出具之后新聘的董事、高级管</w:t>
            </w:r>
            <w:r>
              <w:rPr>
                <w:rFonts w:ascii="宋体" w:hAnsi="宋体" w:cs="宋体" w:eastAsia="宋体" w:hint="default"/>
                <w:w w:val="100"/>
                <w:sz w:val="16"/>
                <w:szCs w:val="16"/>
              </w:rPr>
              <w:t> </w:t>
            </w:r>
            <w:r>
              <w:rPr>
                <w:rFonts w:ascii="宋体" w:hAnsi="宋体" w:cs="宋体" w:eastAsia="宋体" w:hint="default"/>
                <w:sz w:val="16"/>
                <w:szCs w:val="16"/>
              </w:rPr>
              <w:t>理人员，本公司将要求该等新聘的董事、</w:t>
            </w:r>
            <w:r>
              <w:rPr>
                <w:rFonts w:ascii="宋体" w:hAnsi="宋体" w:cs="宋体" w:eastAsia="宋体" w:hint="default"/>
                <w:w w:val="100"/>
                <w:sz w:val="16"/>
                <w:szCs w:val="16"/>
              </w:rPr>
              <w:t> </w:t>
            </w:r>
            <w:r>
              <w:rPr>
                <w:rFonts w:ascii="宋体" w:hAnsi="宋体" w:cs="宋体" w:eastAsia="宋体" w:hint="default"/>
                <w:sz w:val="16"/>
                <w:szCs w:val="16"/>
              </w:rPr>
              <w:t>高级管理人员履行《关于稳定北京先进数</w:t>
            </w:r>
            <w:r>
              <w:rPr>
                <w:rFonts w:ascii="宋体" w:hAnsi="宋体" w:cs="宋体" w:eastAsia="宋体" w:hint="default"/>
                <w:w w:val="100"/>
                <w:sz w:val="16"/>
                <w:szCs w:val="16"/>
              </w:rPr>
              <w:t> </w:t>
            </w:r>
            <w:r>
              <w:rPr>
                <w:rFonts w:ascii="宋体" w:hAnsi="宋体" w:cs="宋体" w:eastAsia="宋体" w:hint="default"/>
                <w:sz w:val="16"/>
                <w:szCs w:val="16"/>
              </w:rPr>
              <w:t>通信息技术股份公司股价的预案》中应由</w:t>
            </w:r>
            <w:r>
              <w:rPr>
                <w:rFonts w:ascii="宋体" w:hAnsi="宋体" w:cs="宋体" w:eastAsia="宋体" w:hint="default"/>
                <w:w w:val="100"/>
                <w:sz w:val="16"/>
                <w:szCs w:val="16"/>
              </w:rPr>
              <w:t> </w:t>
            </w:r>
            <w:r>
              <w:rPr>
                <w:rFonts w:ascii="宋体" w:hAnsi="宋体" w:cs="宋体" w:eastAsia="宋体" w:hint="default"/>
                <w:sz w:val="16"/>
                <w:szCs w:val="16"/>
              </w:rPr>
              <w:t>“新聘的董事、高管”作出的相应承诺要</w:t>
            </w:r>
            <w:r>
              <w:rPr>
                <w:rFonts w:ascii="宋体" w:hAnsi="宋体" w:cs="宋体" w:eastAsia="宋体" w:hint="default"/>
                <w:w w:val="100"/>
                <w:sz w:val="16"/>
                <w:szCs w:val="16"/>
              </w:rPr>
              <w:t> </w:t>
            </w:r>
            <w:r>
              <w:rPr>
                <w:rFonts w:ascii="宋体" w:hAnsi="宋体" w:cs="宋体" w:eastAsia="宋体" w:hint="default"/>
                <w:spacing w:val="-3"/>
                <w:sz w:val="16"/>
                <w:szCs w:val="16"/>
              </w:rPr>
              <w:t>求。</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、发行前担任董事、监事和高级管理</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人员的股东关于稳定公司股价的承诺。在</w:t>
            </w:r>
            <w:r>
              <w:rPr>
                <w:rFonts w:ascii="宋体" w:hAnsi="宋体" w:cs="宋体" w:eastAsia="宋体" w:hint="default"/>
                <w:w w:val="100"/>
                <w:sz w:val="16"/>
                <w:szCs w:val="16"/>
              </w:rPr>
              <w:t> </w:t>
            </w:r>
            <w:r>
              <w:rPr>
                <w:rFonts w:ascii="宋体" w:hAnsi="宋体" w:cs="宋体" w:eastAsia="宋体" w:hint="default"/>
                <w:sz w:val="16"/>
                <w:szCs w:val="16"/>
              </w:rPr>
              <w:t>公司上市后三年内股价达到《关于稳定北</w:t>
            </w:r>
            <w:r>
              <w:rPr>
                <w:rFonts w:ascii="宋体" w:hAnsi="宋体" w:cs="宋体" w:eastAsia="宋体" w:hint="default"/>
                <w:w w:val="100"/>
                <w:sz w:val="16"/>
                <w:szCs w:val="16"/>
              </w:rPr>
              <w:t> </w:t>
            </w:r>
            <w:r>
              <w:rPr>
                <w:rFonts w:ascii="宋体" w:hAnsi="宋体" w:cs="宋体" w:eastAsia="宋体" w:hint="default"/>
                <w:sz w:val="16"/>
                <w:szCs w:val="16"/>
              </w:rPr>
              <w:t>京先进数通信息技术股份公司股价的预</w:t>
            </w:r>
            <w:r>
              <w:rPr>
                <w:rFonts w:ascii="宋体" w:hAnsi="宋体" w:cs="宋体" w:eastAsia="宋体" w:hint="default"/>
                <w:w w:val="100"/>
                <w:sz w:val="16"/>
                <w:szCs w:val="16"/>
              </w:rPr>
              <w:t> </w:t>
            </w:r>
            <w:r>
              <w:rPr>
                <w:rFonts w:ascii="宋体" w:hAnsi="宋体" w:cs="宋体" w:eastAsia="宋体" w:hint="default"/>
                <w:sz w:val="16"/>
                <w:szCs w:val="16"/>
              </w:rPr>
              <w:t>案》规定的启动股价稳定措施的具体条件</w:t>
            </w:r>
            <w:r>
              <w:rPr>
                <w:rFonts w:ascii="宋体" w:hAnsi="宋体" w:cs="宋体" w:eastAsia="宋体" w:hint="default"/>
                <w:w w:val="100"/>
                <w:sz w:val="16"/>
                <w:szCs w:val="16"/>
              </w:rPr>
              <w:t> </w:t>
            </w:r>
            <w:r>
              <w:rPr>
                <w:rFonts w:ascii="宋体" w:hAnsi="宋体" w:cs="宋体" w:eastAsia="宋体" w:hint="default"/>
                <w:sz w:val="16"/>
                <w:szCs w:val="16"/>
              </w:rPr>
              <w:t>后，本人将遵守公司董事会作出的稳定股</w:t>
            </w:r>
            <w:r>
              <w:rPr>
                <w:rFonts w:ascii="宋体" w:hAnsi="宋体" w:cs="宋体" w:eastAsia="宋体" w:hint="default"/>
                <w:w w:val="100"/>
                <w:sz w:val="16"/>
                <w:szCs w:val="16"/>
              </w:rPr>
              <w:t> </w:t>
            </w:r>
            <w:r>
              <w:rPr>
                <w:rFonts w:ascii="宋体" w:hAnsi="宋体" w:cs="宋体" w:eastAsia="宋体" w:hint="default"/>
                <w:sz w:val="16"/>
                <w:szCs w:val="16"/>
              </w:rPr>
              <w:t>价的具体实施方案，该具体实施方案涉及</w:t>
            </w:r>
            <w:r>
              <w:rPr>
                <w:rFonts w:ascii="宋体" w:hAnsi="宋体" w:cs="宋体" w:eastAsia="宋体" w:hint="default"/>
                <w:w w:val="100"/>
                <w:sz w:val="16"/>
                <w:szCs w:val="16"/>
              </w:rPr>
              <w:t> </w:t>
            </w:r>
            <w:r>
              <w:rPr>
                <w:rFonts w:ascii="宋体" w:hAnsi="宋体" w:cs="宋体" w:eastAsia="宋体" w:hint="default"/>
                <w:sz w:val="16"/>
                <w:szCs w:val="16"/>
              </w:rPr>
              <w:t>股东大会表决的，在股东大会表决时投赞</w:t>
            </w:r>
            <w:r>
              <w:rPr>
                <w:rFonts w:ascii="宋体" w:hAnsi="宋体" w:cs="宋体" w:eastAsia="宋体" w:hint="default"/>
                <w:w w:val="100"/>
                <w:sz w:val="16"/>
                <w:szCs w:val="16"/>
              </w:rPr>
              <w:t> </w:t>
            </w:r>
            <w:r>
              <w:rPr>
                <w:rFonts w:ascii="宋体" w:hAnsi="宋体" w:cs="宋体" w:eastAsia="宋体" w:hint="default"/>
                <w:sz w:val="16"/>
                <w:szCs w:val="16"/>
              </w:rPr>
              <w:t>成票，并采取包括但不限于增持公司股票</w:t>
            </w:r>
            <w:r>
              <w:rPr>
                <w:rFonts w:ascii="宋体" w:hAnsi="宋体" w:cs="宋体" w:eastAsia="宋体" w:hint="default"/>
                <w:w w:val="100"/>
                <w:sz w:val="16"/>
                <w:szCs w:val="16"/>
              </w:rPr>
              <w:t> </w:t>
            </w:r>
            <w:r>
              <w:rPr>
                <w:rFonts w:ascii="宋体" w:hAnsi="宋体" w:cs="宋体" w:eastAsia="宋体" w:hint="default"/>
                <w:sz w:val="16"/>
                <w:szCs w:val="16"/>
              </w:rPr>
              <w:t>或董事会作出的其他稳定股价的具体实施</w:t>
            </w:r>
            <w:r>
              <w:rPr>
                <w:rFonts w:ascii="宋体" w:hAnsi="宋体" w:cs="宋体" w:eastAsia="宋体" w:hint="default"/>
                <w:w w:val="100"/>
                <w:sz w:val="16"/>
                <w:szCs w:val="16"/>
              </w:rPr>
              <w:t> </w:t>
            </w:r>
            <w:r>
              <w:rPr>
                <w:rFonts w:ascii="宋体" w:hAnsi="宋体" w:cs="宋体" w:eastAsia="宋体" w:hint="default"/>
                <w:sz w:val="16"/>
                <w:szCs w:val="16"/>
              </w:rPr>
              <w:t>措施，每年度用于增持公司股份的货币资</w:t>
            </w:r>
            <w:r>
              <w:rPr>
                <w:rFonts w:ascii="宋体" w:hAnsi="宋体" w:cs="宋体" w:eastAsia="宋体" w:hint="default"/>
                <w:w w:val="100"/>
                <w:sz w:val="16"/>
                <w:szCs w:val="16"/>
              </w:rPr>
              <w:t> </w:t>
            </w:r>
            <w:r>
              <w:rPr>
                <w:rFonts w:ascii="宋体" w:hAnsi="宋体" w:cs="宋体" w:eastAsia="宋体" w:hint="default"/>
                <w:sz w:val="16"/>
                <w:szCs w:val="16"/>
              </w:rPr>
              <w:t>金累计不少于其上年度从公司直接获取的</w:t>
            </w:r>
            <w:r>
              <w:rPr>
                <w:rFonts w:ascii="宋体" w:hAnsi="宋体" w:cs="宋体" w:eastAsia="宋体" w:hint="default"/>
                <w:w w:val="100"/>
                <w:sz w:val="16"/>
                <w:szCs w:val="16"/>
              </w:rPr>
              <w:t> </w:t>
            </w:r>
            <w:r>
              <w:rPr>
                <w:rFonts w:ascii="宋体" w:hAnsi="宋体" w:cs="宋体" w:eastAsia="宋体" w:hint="default"/>
                <w:sz w:val="16"/>
                <w:szCs w:val="16"/>
              </w:rPr>
              <w:t>税后薪酬及税后现金分红总额的</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30%</w:t>
            </w:r>
            <w:r>
              <w:rPr>
                <w:rFonts w:ascii="宋体" w:hAnsi="宋体" w:cs="宋体" w:eastAsia="宋体" w:hint="default"/>
                <w:sz w:val="16"/>
                <w:szCs w:val="16"/>
              </w:rPr>
              <w:t>，但</w:t>
            </w:r>
            <w:r>
              <w:rPr>
                <w:rFonts w:ascii="宋体" w:hAnsi="宋体" w:cs="宋体" w:eastAsia="宋体" w:hint="default"/>
                <w:w w:val="100"/>
                <w:sz w:val="16"/>
                <w:szCs w:val="16"/>
              </w:rPr>
              <w:t> </w:t>
            </w:r>
            <w:r>
              <w:rPr>
                <w:rFonts w:ascii="宋体" w:hAnsi="宋体" w:cs="宋体" w:eastAsia="宋体" w:hint="default"/>
                <w:sz w:val="16"/>
                <w:szCs w:val="16"/>
              </w:rPr>
              <w:t>以增持股票不导致公司不满足法定上市条</w:t>
            </w:r>
            <w:r>
              <w:rPr>
                <w:rFonts w:ascii="宋体" w:hAnsi="宋体" w:cs="宋体" w:eastAsia="宋体" w:hint="default"/>
                <w:w w:val="100"/>
                <w:sz w:val="16"/>
                <w:szCs w:val="16"/>
              </w:rPr>
              <w:t> </w:t>
            </w:r>
            <w:r>
              <w:rPr>
                <w:rFonts w:ascii="宋体" w:hAnsi="宋体" w:cs="宋体" w:eastAsia="宋体" w:hint="default"/>
                <w:sz w:val="16"/>
                <w:szCs w:val="16"/>
              </w:rPr>
              <w:t>件为限，增持计划完成的</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个月内将不出</w:t>
            </w:r>
            <w:r>
              <w:rPr>
                <w:rFonts w:ascii="宋体" w:hAnsi="宋体" w:cs="宋体" w:eastAsia="宋体" w:hint="default"/>
                <w:w w:val="100"/>
                <w:sz w:val="16"/>
                <w:szCs w:val="16"/>
              </w:rPr>
              <w:t> </w:t>
            </w:r>
            <w:r>
              <w:rPr>
                <w:rFonts w:ascii="宋体" w:hAnsi="宋体" w:cs="宋体" w:eastAsia="宋体" w:hint="default"/>
                <w:sz w:val="16"/>
                <w:szCs w:val="16"/>
              </w:rPr>
              <w:t>售所增持的股份。</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诺事项已 履行完 毕。</w:t>
            </w:r>
          </w:p>
        </w:tc>
      </w:tr>
      <w:tr>
        <w:trPr>
          <w:trHeight w:val="3795"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5"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单怀光</w:t>
            </w:r>
            <w:r>
              <w:rPr>
                <w:rFonts w:ascii="Times New Roman" w:hAnsi="Times New Roman" w:cs="Times New Roman" w:eastAsia="Times New Roman" w:hint="default"/>
                <w:sz w:val="18"/>
                <w:szCs w:val="18"/>
              </w:rPr>
              <w:t>;</w:t>
            </w:r>
            <w:r>
              <w:rPr>
                <w:rFonts w:ascii="宋体" w:hAnsi="宋体" w:cs="宋体" w:eastAsia="宋体" w:hint="default"/>
                <w:sz w:val="18"/>
                <w:szCs w:val="18"/>
              </w:rPr>
              <w:t>肖 淑芳</w:t>
            </w:r>
            <w:r>
              <w:rPr>
                <w:rFonts w:ascii="Times New Roman" w:hAnsi="Times New Roman" w:cs="Times New Roman" w:eastAsia="Times New Roman" w:hint="default"/>
                <w:sz w:val="18"/>
                <w:szCs w:val="18"/>
              </w:rPr>
              <w:t>;</w:t>
            </w:r>
            <w:r>
              <w:rPr>
                <w:rFonts w:ascii="宋体" w:hAnsi="宋体" w:cs="宋体" w:eastAsia="宋体" w:hint="default"/>
                <w:sz w:val="18"/>
                <w:szCs w:val="18"/>
              </w:rPr>
              <w:t>李纪 军</w:t>
            </w:r>
            <w:r>
              <w:rPr>
                <w:rFonts w:ascii="Times New Roman" w:hAnsi="Times New Roman" w:cs="Times New Roman" w:eastAsia="Times New Roman" w:hint="default"/>
                <w:sz w:val="18"/>
                <w:szCs w:val="18"/>
              </w:rPr>
              <w:t>;</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 </w:t>
            </w:r>
            <w:r>
              <w:rPr>
                <w:rFonts w:ascii="宋体" w:hAnsi="宋体" w:cs="宋体" w:eastAsia="宋体" w:hint="default"/>
                <w:sz w:val="18"/>
                <w:szCs w:val="18"/>
              </w:rPr>
              <w:t>赵宏亮</w:t>
            </w:r>
            <w:r>
              <w:rPr>
                <w:rFonts w:ascii="Times New Roman" w:hAnsi="Times New Roman" w:cs="Times New Roman" w:eastAsia="Times New Roman" w:hint="default"/>
                <w:sz w:val="18"/>
                <w:szCs w:val="18"/>
              </w:rPr>
              <w:t>;</w:t>
            </w:r>
            <w:r>
              <w:rPr>
                <w:rFonts w:ascii="宋体" w:hAnsi="宋体" w:cs="宋体" w:eastAsia="宋体" w:hint="default"/>
                <w:sz w:val="18"/>
                <w:szCs w:val="18"/>
              </w:rPr>
              <w:t>李 宏亮</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67"/>
              <w:ind w:left="105" w:right="17"/>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、公司关于依法承担赔偿或者补偿责任的</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承诺。如果本公司招股意向书存在虚假记</w:t>
            </w:r>
            <w:r>
              <w:rPr>
                <w:rFonts w:ascii="宋体" w:hAnsi="宋体" w:cs="宋体" w:eastAsia="宋体" w:hint="default"/>
                <w:w w:val="100"/>
                <w:sz w:val="16"/>
                <w:szCs w:val="16"/>
              </w:rPr>
              <w:t> </w:t>
            </w:r>
            <w:r>
              <w:rPr>
                <w:rFonts w:ascii="宋体" w:hAnsi="宋体" w:cs="宋体" w:eastAsia="宋体" w:hint="default"/>
                <w:sz w:val="16"/>
                <w:szCs w:val="16"/>
              </w:rPr>
              <w:t>载、误导性陈述或者重大遗漏，致使投资</w:t>
            </w:r>
            <w:r>
              <w:rPr>
                <w:rFonts w:ascii="宋体" w:hAnsi="宋体" w:cs="宋体" w:eastAsia="宋体" w:hint="default"/>
                <w:w w:val="100"/>
                <w:sz w:val="16"/>
                <w:szCs w:val="16"/>
              </w:rPr>
              <w:t> </w:t>
            </w:r>
            <w:r>
              <w:rPr>
                <w:rFonts w:ascii="宋体" w:hAnsi="宋体" w:cs="宋体" w:eastAsia="宋体" w:hint="default"/>
                <w:sz w:val="16"/>
                <w:szCs w:val="16"/>
              </w:rPr>
              <w:t>者在证券交易中遭受损失的，将依法赔偿</w:t>
            </w:r>
            <w:r>
              <w:rPr>
                <w:rFonts w:ascii="宋体" w:hAnsi="宋体" w:cs="宋体" w:eastAsia="宋体" w:hint="default"/>
                <w:w w:val="100"/>
                <w:sz w:val="16"/>
                <w:szCs w:val="16"/>
              </w:rPr>
              <w:t> </w:t>
            </w:r>
            <w:r>
              <w:rPr>
                <w:rFonts w:ascii="宋体" w:hAnsi="宋体" w:cs="宋体" w:eastAsia="宋体" w:hint="default"/>
                <w:spacing w:val="-3"/>
                <w:sz w:val="16"/>
                <w:szCs w:val="16"/>
              </w:rPr>
              <w:t>投资者损失，按照司法程序履行相关义务。</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、公司董事、监事、高级管理人员关于依</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法承担赔偿或者补偿责任的承诺。如果先</w:t>
            </w:r>
            <w:r>
              <w:rPr>
                <w:rFonts w:ascii="宋体" w:hAnsi="宋体" w:cs="宋体" w:eastAsia="宋体" w:hint="default"/>
                <w:w w:val="100"/>
                <w:sz w:val="16"/>
                <w:szCs w:val="16"/>
              </w:rPr>
              <w:t> </w:t>
            </w:r>
            <w:r>
              <w:rPr>
                <w:rFonts w:ascii="宋体" w:hAnsi="宋体" w:cs="宋体" w:eastAsia="宋体" w:hint="default"/>
                <w:sz w:val="16"/>
                <w:szCs w:val="16"/>
              </w:rPr>
              <w:t>进数通的招股意向书存在虚假记载、误导</w:t>
            </w:r>
            <w:r>
              <w:rPr>
                <w:rFonts w:ascii="宋体" w:hAnsi="宋体" w:cs="宋体" w:eastAsia="宋体" w:hint="default"/>
                <w:w w:val="100"/>
                <w:sz w:val="16"/>
                <w:szCs w:val="16"/>
              </w:rPr>
              <w:t> </w:t>
            </w:r>
            <w:r>
              <w:rPr>
                <w:rFonts w:ascii="宋体" w:hAnsi="宋体" w:cs="宋体" w:eastAsia="宋体" w:hint="default"/>
                <w:sz w:val="16"/>
                <w:szCs w:val="16"/>
              </w:rPr>
              <w:t>性陈述或者重大遗漏，致使投资者在证券</w:t>
            </w:r>
            <w:r>
              <w:rPr>
                <w:rFonts w:ascii="宋体" w:hAnsi="宋体" w:cs="宋体" w:eastAsia="宋体" w:hint="default"/>
                <w:w w:val="100"/>
                <w:sz w:val="16"/>
                <w:szCs w:val="16"/>
              </w:rPr>
              <w:t> </w:t>
            </w:r>
            <w:r>
              <w:rPr>
                <w:rFonts w:ascii="宋体" w:hAnsi="宋体" w:cs="宋体" w:eastAsia="宋体" w:hint="default"/>
                <w:sz w:val="16"/>
                <w:szCs w:val="16"/>
              </w:rPr>
              <w:t>交易中遭受损失的，本人将依法赔偿投资</w:t>
            </w:r>
            <w:r>
              <w:rPr>
                <w:rFonts w:ascii="宋体" w:hAnsi="宋体" w:cs="宋体" w:eastAsia="宋体" w:hint="default"/>
                <w:w w:val="100"/>
                <w:sz w:val="16"/>
                <w:szCs w:val="16"/>
              </w:rPr>
              <w:t> </w:t>
            </w:r>
            <w:r>
              <w:rPr>
                <w:rFonts w:ascii="宋体" w:hAnsi="宋体" w:cs="宋体" w:eastAsia="宋体" w:hint="default"/>
                <w:sz w:val="16"/>
                <w:szCs w:val="16"/>
              </w:rPr>
              <w:t>者损失，按照司法程序履行相关义务。</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保荐人及证券服务机构作出的重要承诺。</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6" w:lineRule="auto"/>
        <w:jc w:val="left"/>
        <w:rPr>
          <w:rFonts w:ascii="宋体" w:hAnsi="宋体" w:cs="宋体" w:eastAsia="宋体" w:hint="default"/>
          <w:sz w:val="18"/>
          <w:szCs w:val="18"/>
        </w:rPr>
        <w:sectPr>
          <w:pgSz w:w="11910" w:h="16840"/>
          <w:pgMar w:header="906" w:footer="1021" w:top="1100" w:bottom="1220" w:left="7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7"/>
      </w:tblGrid>
      <w:tr>
        <w:trPr>
          <w:trHeight w:val="10972" w:hRule="exact"/>
        </w:trPr>
        <w:tc>
          <w:tcPr>
            <w:tcW w:w="1850"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5" w:right="110"/>
              <w:jc w:val="left"/>
              <w:rPr>
                <w:rFonts w:ascii="宋体" w:hAnsi="宋体" w:cs="宋体" w:eastAsia="宋体" w:hint="default"/>
                <w:sz w:val="18"/>
                <w:szCs w:val="18"/>
              </w:rPr>
            </w:pPr>
            <w:r>
              <w:rPr>
                <w:rFonts w:ascii="宋体" w:hAnsi="宋体" w:cs="宋体" w:eastAsia="宋体" w:hint="default"/>
                <w:sz w:val="18"/>
                <w:szCs w:val="18"/>
              </w:rPr>
              <w:t>吴文胜</w:t>
            </w:r>
            <w:r>
              <w:rPr>
                <w:rFonts w:ascii="Times New Roman" w:hAnsi="Times New Roman" w:cs="Times New Roman" w:eastAsia="Times New Roman" w:hint="default"/>
                <w:sz w:val="18"/>
                <w:szCs w:val="18"/>
              </w:rPr>
              <w:t>;</w:t>
            </w:r>
            <w:r>
              <w:rPr>
                <w:rFonts w:ascii="宋体" w:hAnsi="宋体" w:cs="宋体" w:eastAsia="宋体" w:hint="default"/>
                <w:sz w:val="18"/>
                <w:szCs w:val="18"/>
              </w:rPr>
              <w:t>国 泰君安证券 股份有限公 司；北京市 天元律师事 务所</w:t>
            </w:r>
            <w:r>
              <w:rPr>
                <w:rFonts w:ascii="Times New Roman" w:hAnsi="Times New Roman" w:cs="Times New Roman" w:eastAsia="Times New Roman" w:hint="default"/>
                <w:sz w:val="18"/>
                <w:szCs w:val="18"/>
              </w:rPr>
              <w:t>;</w:t>
            </w:r>
            <w:r>
              <w:rPr>
                <w:rFonts w:ascii="宋体" w:hAnsi="宋体" w:cs="宋体" w:eastAsia="宋体" w:hint="default"/>
                <w:sz w:val="18"/>
                <w:szCs w:val="18"/>
              </w:rPr>
              <w:t>大信 会计师事务 所（特殊普 通合伙）</w:t>
            </w:r>
            <w:r>
              <w:rPr>
                <w:rFonts w:ascii="Times New Roman" w:hAnsi="Times New Roman" w:cs="Times New Roman" w:eastAsia="Times New Roman" w:hint="default"/>
                <w:sz w:val="18"/>
                <w:szCs w:val="18"/>
              </w:rPr>
              <w:t>; </w:t>
            </w:r>
            <w:r>
              <w:rPr>
                <w:rFonts w:ascii="宋体" w:hAnsi="宋体" w:cs="宋体" w:eastAsia="宋体" w:hint="default"/>
                <w:sz w:val="18"/>
                <w:szCs w:val="18"/>
              </w:rPr>
              <w:t>中京民信</w:t>
            </w:r>
          </w:p>
          <w:p>
            <w:pPr>
              <w:pStyle w:val="TableParagraph"/>
              <w:spacing w:line="314" w:lineRule="auto" w:before="22"/>
              <w:ind w:left="105" w:right="110"/>
              <w:jc w:val="left"/>
              <w:rPr>
                <w:rFonts w:ascii="宋体" w:hAnsi="宋体" w:cs="宋体" w:eastAsia="宋体" w:hint="default"/>
                <w:sz w:val="18"/>
                <w:szCs w:val="18"/>
              </w:rPr>
            </w:pPr>
            <w:r>
              <w:rPr>
                <w:rFonts w:ascii="宋体" w:hAnsi="宋体" w:cs="宋体" w:eastAsia="宋体" w:hint="default"/>
                <w:sz w:val="18"/>
                <w:szCs w:val="18"/>
              </w:rPr>
              <w:t>（北京）资 产评估有限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 科勤会计师 事务所有限 责任公司</w:t>
            </w: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5" w:right="17"/>
              <w:jc w:val="left"/>
              <w:rPr>
                <w:rFonts w:ascii="宋体" w:hAnsi="宋体" w:cs="宋体" w:eastAsia="宋体" w:hint="default"/>
                <w:sz w:val="16"/>
                <w:szCs w:val="16"/>
              </w:rPr>
            </w:pPr>
            <w:r>
              <w:rPr>
                <w:rFonts w:ascii="宋体" w:hAnsi="宋体" w:cs="宋体" w:eastAsia="宋体" w:hint="default"/>
                <w:sz w:val="16"/>
                <w:szCs w:val="16"/>
              </w:rPr>
              <w:t>国泰君安证券股份有限公司承诺：由于本</w:t>
            </w:r>
            <w:r>
              <w:rPr>
                <w:rFonts w:ascii="宋体" w:hAnsi="宋体" w:cs="宋体" w:eastAsia="宋体" w:hint="default"/>
                <w:w w:val="100"/>
                <w:sz w:val="16"/>
                <w:szCs w:val="16"/>
              </w:rPr>
              <w:t> </w:t>
            </w:r>
            <w:r>
              <w:rPr>
                <w:rFonts w:ascii="宋体" w:hAnsi="宋体" w:cs="宋体" w:eastAsia="宋体" w:hint="default"/>
                <w:sz w:val="16"/>
                <w:szCs w:val="16"/>
              </w:rPr>
              <w:t>公司为发行人首次公开发行并在创业板上</w:t>
            </w:r>
            <w:r>
              <w:rPr>
                <w:rFonts w:ascii="宋体" w:hAnsi="宋体" w:cs="宋体" w:eastAsia="宋体" w:hint="default"/>
                <w:w w:val="100"/>
                <w:sz w:val="16"/>
                <w:szCs w:val="16"/>
              </w:rPr>
              <w:t> </w:t>
            </w:r>
            <w:r>
              <w:rPr>
                <w:rFonts w:ascii="宋体" w:hAnsi="宋体" w:cs="宋体" w:eastAsia="宋体" w:hint="default"/>
                <w:sz w:val="16"/>
                <w:szCs w:val="16"/>
              </w:rPr>
              <w:t>市制作、出具的文件有虚假记载、误导性</w:t>
            </w:r>
            <w:r>
              <w:rPr>
                <w:rFonts w:ascii="宋体" w:hAnsi="宋体" w:cs="宋体" w:eastAsia="宋体" w:hint="default"/>
                <w:w w:val="100"/>
                <w:sz w:val="16"/>
                <w:szCs w:val="16"/>
              </w:rPr>
              <w:t> </w:t>
            </w:r>
            <w:r>
              <w:rPr>
                <w:rFonts w:ascii="宋体" w:hAnsi="宋体" w:cs="宋体" w:eastAsia="宋体" w:hint="default"/>
                <w:spacing w:val="-3"/>
                <w:sz w:val="16"/>
                <w:szCs w:val="16"/>
              </w:rPr>
              <w:t>陈述或者重大遗漏，给投资者造成损失的，</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本公司将依法赔偿投资者损失，但本公司</w:t>
            </w:r>
            <w:r>
              <w:rPr>
                <w:rFonts w:ascii="宋体" w:hAnsi="宋体" w:cs="宋体" w:eastAsia="宋体" w:hint="default"/>
                <w:w w:val="100"/>
                <w:sz w:val="16"/>
                <w:szCs w:val="16"/>
              </w:rPr>
              <w:t> </w:t>
            </w:r>
            <w:r>
              <w:rPr>
                <w:rFonts w:ascii="宋体" w:hAnsi="宋体" w:cs="宋体" w:eastAsia="宋体" w:hint="default"/>
                <w:sz w:val="16"/>
                <w:szCs w:val="16"/>
              </w:rPr>
              <w:t>没有过错的除外。保荐人承诺因其为发行</w:t>
            </w:r>
            <w:r>
              <w:rPr>
                <w:rFonts w:ascii="宋体" w:hAnsi="宋体" w:cs="宋体" w:eastAsia="宋体" w:hint="default"/>
                <w:w w:val="100"/>
                <w:sz w:val="16"/>
                <w:szCs w:val="16"/>
              </w:rPr>
              <w:t> </w:t>
            </w:r>
            <w:r>
              <w:rPr>
                <w:rFonts w:ascii="宋体" w:hAnsi="宋体" w:cs="宋体" w:eastAsia="宋体" w:hint="default"/>
                <w:sz w:val="16"/>
                <w:szCs w:val="16"/>
              </w:rPr>
              <w:t>人首次公开发行股票制作、出具的文件有</w:t>
            </w:r>
            <w:r>
              <w:rPr>
                <w:rFonts w:ascii="宋体" w:hAnsi="宋体" w:cs="宋体" w:eastAsia="宋体" w:hint="default"/>
                <w:w w:val="100"/>
                <w:sz w:val="16"/>
                <w:szCs w:val="16"/>
              </w:rPr>
              <w:t> </w:t>
            </w:r>
            <w:r>
              <w:rPr>
                <w:rFonts w:ascii="宋体" w:hAnsi="宋体" w:cs="宋体" w:eastAsia="宋体" w:hint="default"/>
                <w:sz w:val="16"/>
                <w:szCs w:val="16"/>
              </w:rPr>
              <w:t>虚假记载、误导性陈述或者重大遗漏，给</w:t>
            </w:r>
            <w:r>
              <w:rPr>
                <w:rFonts w:ascii="宋体" w:hAnsi="宋体" w:cs="宋体" w:eastAsia="宋体" w:hint="default"/>
                <w:w w:val="100"/>
                <w:sz w:val="16"/>
                <w:szCs w:val="16"/>
              </w:rPr>
              <w:t> </w:t>
            </w:r>
            <w:r>
              <w:rPr>
                <w:rFonts w:ascii="宋体" w:hAnsi="宋体" w:cs="宋体" w:eastAsia="宋体" w:hint="default"/>
                <w:sz w:val="16"/>
                <w:szCs w:val="16"/>
              </w:rPr>
              <w:t>投资者造成损失的，将先行赔偿投资者损</w:t>
            </w:r>
            <w:r>
              <w:rPr>
                <w:rFonts w:ascii="宋体" w:hAnsi="宋体" w:cs="宋体" w:eastAsia="宋体" w:hint="default"/>
                <w:w w:val="100"/>
                <w:sz w:val="16"/>
                <w:szCs w:val="16"/>
              </w:rPr>
              <w:t> </w:t>
            </w:r>
            <w:r>
              <w:rPr>
                <w:rFonts w:ascii="宋体" w:hAnsi="宋体" w:cs="宋体" w:eastAsia="宋体" w:hint="default"/>
                <w:sz w:val="16"/>
                <w:szCs w:val="16"/>
              </w:rPr>
              <w:t>失。北京市天元律师事务所承诺：如因本</w:t>
            </w:r>
            <w:r>
              <w:rPr>
                <w:rFonts w:ascii="宋体" w:hAnsi="宋体" w:cs="宋体" w:eastAsia="宋体" w:hint="default"/>
                <w:w w:val="100"/>
                <w:sz w:val="16"/>
                <w:szCs w:val="16"/>
              </w:rPr>
              <w:t> </w:t>
            </w:r>
            <w:r>
              <w:rPr>
                <w:rFonts w:ascii="宋体" w:hAnsi="宋体" w:cs="宋体" w:eastAsia="宋体" w:hint="default"/>
                <w:sz w:val="16"/>
                <w:szCs w:val="16"/>
              </w:rPr>
              <w:t>律师事务所为北京先进数通信息技术股份</w:t>
            </w:r>
            <w:r>
              <w:rPr>
                <w:rFonts w:ascii="宋体" w:hAnsi="宋体" w:cs="宋体" w:eastAsia="宋体" w:hint="default"/>
                <w:w w:val="100"/>
                <w:sz w:val="16"/>
                <w:szCs w:val="16"/>
              </w:rPr>
              <w:t> </w:t>
            </w:r>
            <w:r>
              <w:rPr>
                <w:rFonts w:ascii="宋体" w:hAnsi="宋体" w:cs="宋体" w:eastAsia="宋体" w:hint="default"/>
                <w:sz w:val="16"/>
                <w:szCs w:val="16"/>
              </w:rPr>
              <w:t>公司首次公开发行股票并在创业板上市而</w:t>
            </w:r>
            <w:r>
              <w:rPr>
                <w:rFonts w:ascii="宋体" w:hAnsi="宋体" w:cs="宋体" w:eastAsia="宋体" w:hint="default"/>
                <w:w w:val="100"/>
                <w:sz w:val="16"/>
                <w:szCs w:val="16"/>
              </w:rPr>
              <w:t> </w:t>
            </w:r>
            <w:r>
              <w:rPr>
                <w:rFonts w:ascii="宋体" w:hAnsi="宋体" w:cs="宋体" w:eastAsia="宋体" w:hint="default"/>
                <w:sz w:val="16"/>
                <w:szCs w:val="16"/>
              </w:rPr>
              <w:t>制作、出具的文件有虚假记载、误导性陈</w:t>
            </w:r>
            <w:r>
              <w:rPr>
                <w:rFonts w:ascii="宋体" w:hAnsi="宋体" w:cs="宋体" w:eastAsia="宋体" w:hint="default"/>
                <w:w w:val="100"/>
                <w:sz w:val="16"/>
                <w:szCs w:val="16"/>
              </w:rPr>
              <w:t> </w:t>
            </w:r>
            <w:r>
              <w:rPr>
                <w:rFonts w:ascii="宋体" w:hAnsi="宋体" w:cs="宋体" w:eastAsia="宋体" w:hint="default"/>
                <w:sz w:val="16"/>
                <w:szCs w:val="16"/>
              </w:rPr>
              <w:t>述或者重大遗漏，给投资者造成损失的，</w:t>
            </w:r>
            <w:r>
              <w:rPr>
                <w:rFonts w:ascii="宋体" w:hAnsi="宋体" w:cs="宋体" w:eastAsia="宋体" w:hint="default"/>
                <w:w w:val="100"/>
                <w:sz w:val="16"/>
                <w:szCs w:val="16"/>
              </w:rPr>
              <w:t> </w:t>
            </w:r>
            <w:r>
              <w:rPr>
                <w:rFonts w:ascii="宋体" w:hAnsi="宋体" w:cs="宋体" w:eastAsia="宋体" w:hint="default"/>
                <w:sz w:val="16"/>
                <w:szCs w:val="16"/>
              </w:rPr>
              <w:t>将依法赔偿投资者损失，按照司法程序履</w:t>
            </w:r>
            <w:r>
              <w:rPr>
                <w:rFonts w:ascii="宋体" w:hAnsi="宋体" w:cs="宋体" w:eastAsia="宋体" w:hint="default"/>
                <w:w w:val="100"/>
                <w:sz w:val="16"/>
                <w:szCs w:val="16"/>
              </w:rPr>
              <w:t> </w:t>
            </w:r>
            <w:r>
              <w:rPr>
                <w:rFonts w:ascii="宋体" w:hAnsi="宋体" w:cs="宋体" w:eastAsia="宋体" w:hint="default"/>
                <w:sz w:val="16"/>
                <w:szCs w:val="16"/>
              </w:rPr>
              <w:t>行相关义务。大信会计师事务所（特殊普</w:t>
            </w:r>
            <w:r>
              <w:rPr>
                <w:rFonts w:ascii="宋体" w:hAnsi="宋体" w:cs="宋体" w:eastAsia="宋体" w:hint="default"/>
                <w:w w:val="100"/>
                <w:sz w:val="16"/>
                <w:szCs w:val="16"/>
              </w:rPr>
              <w:t> </w:t>
            </w:r>
            <w:r>
              <w:rPr>
                <w:rFonts w:ascii="宋体" w:hAnsi="宋体" w:cs="宋体" w:eastAsia="宋体" w:hint="default"/>
                <w:sz w:val="16"/>
                <w:szCs w:val="16"/>
              </w:rPr>
              <w:t>通合伙）承诺：如因本会计师事务所为北</w:t>
            </w:r>
            <w:r>
              <w:rPr>
                <w:rFonts w:ascii="宋体" w:hAnsi="宋体" w:cs="宋体" w:eastAsia="宋体" w:hint="default"/>
                <w:w w:val="100"/>
                <w:sz w:val="16"/>
                <w:szCs w:val="16"/>
              </w:rPr>
              <w:t> </w:t>
            </w:r>
            <w:r>
              <w:rPr>
                <w:rFonts w:ascii="宋体" w:hAnsi="宋体" w:cs="宋体" w:eastAsia="宋体" w:hint="default"/>
                <w:sz w:val="16"/>
                <w:szCs w:val="16"/>
              </w:rPr>
              <w:t>京先进数通信息技术股份公司首次公开发</w:t>
            </w:r>
            <w:r>
              <w:rPr>
                <w:rFonts w:ascii="宋体" w:hAnsi="宋体" w:cs="宋体" w:eastAsia="宋体" w:hint="default"/>
                <w:w w:val="100"/>
                <w:sz w:val="16"/>
                <w:szCs w:val="16"/>
              </w:rPr>
              <w:t> </w:t>
            </w:r>
            <w:r>
              <w:rPr>
                <w:rFonts w:ascii="宋体" w:hAnsi="宋体" w:cs="宋体" w:eastAsia="宋体" w:hint="default"/>
                <w:sz w:val="16"/>
                <w:szCs w:val="16"/>
              </w:rPr>
              <w:t>行股票并在创业板上市而制作、出具的文</w:t>
            </w:r>
            <w:r>
              <w:rPr>
                <w:rFonts w:ascii="宋体" w:hAnsi="宋体" w:cs="宋体" w:eastAsia="宋体" w:hint="default"/>
                <w:w w:val="100"/>
                <w:sz w:val="16"/>
                <w:szCs w:val="16"/>
              </w:rPr>
              <w:t> </w:t>
            </w:r>
            <w:r>
              <w:rPr>
                <w:rFonts w:ascii="宋体" w:hAnsi="宋体" w:cs="宋体" w:eastAsia="宋体" w:hint="default"/>
                <w:spacing w:val="-3"/>
                <w:sz w:val="16"/>
                <w:szCs w:val="16"/>
              </w:rPr>
              <w:t>件有虚假记载、误导性陈述或者重大遗漏，</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给投资者造成损失的，将依法赔偿投资者</w:t>
            </w:r>
            <w:r>
              <w:rPr>
                <w:rFonts w:ascii="宋体" w:hAnsi="宋体" w:cs="宋体" w:eastAsia="宋体" w:hint="default"/>
                <w:w w:val="100"/>
                <w:sz w:val="16"/>
                <w:szCs w:val="16"/>
              </w:rPr>
              <w:t> </w:t>
            </w:r>
            <w:r>
              <w:rPr>
                <w:rFonts w:ascii="宋体" w:hAnsi="宋体" w:cs="宋体" w:eastAsia="宋体" w:hint="default"/>
                <w:sz w:val="16"/>
                <w:szCs w:val="16"/>
              </w:rPr>
              <w:t>损失，按照司法程序履行相关义务。中京</w:t>
            </w:r>
            <w:r>
              <w:rPr>
                <w:rFonts w:ascii="宋体" w:hAnsi="宋体" w:cs="宋体" w:eastAsia="宋体" w:hint="default"/>
                <w:w w:val="100"/>
                <w:sz w:val="16"/>
                <w:szCs w:val="16"/>
              </w:rPr>
              <w:t> </w:t>
            </w:r>
            <w:r>
              <w:rPr>
                <w:rFonts w:ascii="宋体" w:hAnsi="宋体" w:cs="宋体" w:eastAsia="宋体" w:hint="default"/>
                <w:sz w:val="16"/>
                <w:szCs w:val="16"/>
              </w:rPr>
              <w:t>民信（北京）资产评估有限公司承诺：如</w:t>
            </w:r>
            <w:r>
              <w:rPr>
                <w:rFonts w:ascii="宋体" w:hAnsi="宋体" w:cs="宋体" w:eastAsia="宋体" w:hint="default"/>
                <w:w w:val="100"/>
                <w:sz w:val="16"/>
                <w:szCs w:val="16"/>
              </w:rPr>
              <w:t> </w:t>
            </w:r>
            <w:r>
              <w:rPr>
                <w:rFonts w:ascii="宋体" w:hAnsi="宋体" w:cs="宋体" w:eastAsia="宋体" w:hint="default"/>
                <w:sz w:val="16"/>
                <w:szCs w:val="16"/>
              </w:rPr>
              <w:t>因本公司为北京先进数通信息技术股份公</w:t>
            </w:r>
            <w:r>
              <w:rPr>
                <w:rFonts w:ascii="宋体" w:hAnsi="宋体" w:cs="宋体" w:eastAsia="宋体" w:hint="default"/>
                <w:w w:val="100"/>
                <w:sz w:val="16"/>
                <w:szCs w:val="16"/>
              </w:rPr>
              <w:t> </w:t>
            </w:r>
            <w:r>
              <w:rPr>
                <w:rFonts w:ascii="宋体" w:hAnsi="宋体" w:cs="宋体" w:eastAsia="宋体" w:hint="default"/>
                <w:sz w:val="16"/>
                <w:szCs w:val="16"/>
              </w:rPr>
              <w:t>司首次公开发行股票并在创业板上市而制</w:t>
            </w:r>
            <w:r>
              <w:rPr>
                <w:rFonts w:ascii="宋体" w:hAnsi="宋体" w:cs="宋体" w:eastAsia="宋体" w:hint="default"/>
                <w:w w:val="100"/>
                <w:sz w:val="16"/>
                <w:szCs w:val="16"/>
              </w:rPr>
              <w:t> </w:t>
            </w:r>
            <w:r>
              <w:rPr>
                <w:rFonts w:ascii="宋体" w:hAnsi="宋体" w:cs="宋体" w:eastAsia="宋体" w:hint="default"/>
                <w:sz w:val="16"/>
                <w:szCs w:val="16"/>
              </w:rPr>
              <w:t>作、出具的文件有虚假记载、误导性陈述</w:t>
            </w:r>
            <w:r>
              <w:rPr>
                <w:rFonts w:ascii="宋体" w:hAnsi="宋体" w:cs="宋体" w:eastAsia="宋体" w:hint="default"/>
                <w:w w:val="100"/>
                <w:sz w:val="16"/>
                <w:szCs w:val="16"/>
              </w:rPr>
              <w:t> </w:t>
            </w:r>
            <w:r>
              <w:rPr>
                <w:rFonts w:ascii="宋体" w:hAnsi="宋体" w:cs="宋体" w:eastAsia="宋体" w:hint="default"/>
                <w:sz w:val="16"/>
                <w:szCs w:val="16"/>
              </w:rPr>
              <w:t>或者重大遗漏，给投资者造成损失的，将</w:t>
            </w:r>
            <w:r>
              <w:rPr>
                <w:rFonts w:ascii="宋体" w:hAnsi="宋体" w:cs="宋体" w:eastAsia="宋体" w:hint="default"/>
                <w:w w:val="100"/>
                <w:sz w:val="16"/>
                <w:szCs w:val="16"/>
              </w:rPr>
              <w:t> </w:t>
            </w:r>
            <w:r>
              <w:rPr>
                <w:rFonts w:ascii="宋体" w:hAnsi="宋体" w:cs="宋体" w:eastAsia="宋体" w:hint="default"/>
                <w:sz w:val="16"/>
                <w:szCs w:val="16"/>
              </w:rPr>
              <w:t>依法赔偿投资者损失，按照司法程序履行</w:t>
            </w:r>
            <w:r>
              <w:rPr>
                <w:rFonts w:ascii="宋体" w:hAnsi="宋体" w:cs="宋体" w:eastAsia="宋体" w:hint="default"/>
                <w:w w:val="100"/>
                <w:sz w:val="16"/>
                <w:szCs w:val="16"/>
              </w:rPr>
              <w:t> </w:t>
            </w:r>
            <w:r>
              <w:rPr>
                <w:rFonts w:ascii="宋体" w:hAnsi="宋体" w:cs="宋体" w:eastAsia="宋体" w:hint="default"/>
                <w:sz w:val="16"/>
                <w:szCs w:val="16"/>
              </w:rPr>
              <w:t>相关义务。北京科勤会计师事务所有限责</w:t>
            </w:r>
            <w:r>
              <w:rPr>
                <w:rFonts w:ascii="宋体" w:hAnsi="宋体" w:cs="宋体" w:eastAsia="宋体" w:hint="default"/>
                <w:w w:val="100"/>
                <w:sz w:val="16"/>
                <w:szCs w:val="16"/>
              </w:rPr>
              <w:t> </w:t>
            </w:r>
            <w:r>
              <w:rPr>
                <w:rFonts w:ascii="宋体" w:hAnsi="宋体" w:cs="宋体" w:eastAsia="宋体" w:hint="default"/>
                <w:sz w:val="16"/>
                <w:szCs w:val="16"/>
              </w:rPr>
              <w:t>任公司承诺：如因本会计师事务所为北京</w:t>
            </w:r>
            <w:r>
              <w:rPr>
                <w:rFonts w:ascii="宋体" w:hAnsi="宋体" w:cs="宋体" w:eastAsia="宋体" w:hint="default"/>
                <w:w w:val="100"/>
                <w:sz w:val="16"/>
                <w:szCs w:val="16"/>
              </w:rPr>
              <w:t> </w:t>
            </w:r>
            <w:r>
              <w:rPr>
                <w:rFonts w:ascii="宋体" w:hAnsi="宋体" w:cs="宋体" w:eastAsia="宋体" w:hint="default"/>
                <w:sz w:val="16"/>
                <w:szCs w:val="16"/>
              </w:rPr>
              <w:t>先进数通信息技术股份公司首次公开发行</w:t>
            </w:r>
            <w:r>
              <w:rPr>
                <w:rFonts w:ascii="宋体" w:hAnsi="宋体" w:cs="宋体" w:eastAsia="宋体" w:hint="default"/>
                <w:w w:val="100"/>
                <w:sz w:val="16"/>
                <w:szCs w:val="16"/>
              </w:rPr>
              <w:t> </w:t>
            </w:r>
            <w:r>
              <w:rPr>
                <w:rFonts w:ascii="宋体" w:hAnsi="宋体" w:cs="宋体" w:eastAsia="宋体" w:hint="default"/>
                <w:sz w:val="16"/>
                <w:szCs w:val="16"/>
              </w:rPr>
              <w:t>股票并在创业板上市而制作、出具的文件</w:t>
            </w:r>
            <w:r>
              <w:rPr>
                <w:rFonts w:ascii="宋体" w:hAnsi="宋体" w:cs="宋体" w:eastAsia="宋体" w:hint="default"/>
                <w:w w:val="100"/>
                <w:sz w:val="16"/>
                <w:szCs w:val="16"/>
              </w:rPr>
              <w:t> </w:t>
            </w:r>
            <w:r>
              <w:rPr>
                <w:rFonts w:ascii="宋体" w:hAnsi="宋体" w:cs="宋体" w:eastAsia="宋体" w:hint="default"/>
                <w:sz w:val="16"/>
                <w:szCs w:val="16"/>
              </w:rPr>
              <w:t>有虚假记载、误导性陈述或者重大遗漏，</w:t>
            </w:r>
            <w:r>
              <w:rPr>
                <w:rFonts w:ascii="宋体" w:hAnsi="宋体" w:cs="宋体" w:eastAsia="宋体" w:hint="default"/>
                <w:w w:val="100"/>
                <w:sz w:val="16"/>
                <w:szCs w:val="16"/>
              </w:rPr>
              <w:t> </w:t>
            </w:r>
            <w:r>
              <w:rPr>
                <w:rFonts w:ascii="宋体" w:hAnsi="宋体" w:cs="宋体" w:eastAsia="宋体" w:hint="default"/>
                <w:sz w:val="16"/>
                <w:szCs w:val="16"/>
              </w:rPr>
              <w:t>给投资者造成损失的，将依法赔偿投资者</w:t>
            </w:r>
            <w:r>
              <w:rPr>
                <w:rFonts w:ascii="宋体" w:hAnsi="宋体" w:cs="宋体" w:eastAsia="宋体" w:hint="default"/>
                <w:w w:val="100"/>
                <w:sz w:val="16"/>
                <w:szCs w:val="16"/>
              </w:rPr>
              <w:t> </w:t>
            </w:r>
            <w:r>
              <w:rPr>
                <w:rFonts w:ascii="宋体" w:hAnsi="宋体" w:cs="宋体" w:eastAsia="宋体" w:hint="default"/>
                <w:sz w:val="16"/>
                <w:szCs w:val="16"/>
              </w:rPr>
              <w:t>损失，按照司法程序履行相关义务。</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r>
              <w:rPr>
                <w:rFonts w:ascii="宋体" w:hAnsi="宋体" w:cs="宋体" w:eastAsia="宋体" w:hint="default"/>
                <w:sz w:val="18"/>
                <w:szCs w:val="18"/>
              </w:rPr>
              <w:t>苏 文力</w:t>
            </w:r>
            <w:r>
              <w:rPr>
                <w:rFonts w:ascii="Times New Roman" w:hAnsi="Times New Roman" w:cs="Times New Roman" w:eastAsia="Times New Roman" w:hint="default"/>
                <w:sz w:val="18"/>
                <w:szCs w:val="18"/>
              </w:rPr>
              <w:t>;</w:t>
            </w:r>
            <w:r>
              <w:rPr>
                <w:rFonts w:ascii="宋体" w:hAnsi="宋体" w:cs="宋体" w:eastAsia="宋体" w:hint="default"/>
                <w:sz w:val="18"/>
                <w:szCs w:val="18"/>
              </w:rPr>
              <w:t>肖红 英</w:t>
            </w:r>
            <w:r>
              <w:rPr>
                <w:rFonts w:ascii="Times New Roman" w:hAnsi="Times New Roman" w:cs="Times New Roman" w:eastAsia="Times New Roman" w:hint="default"/>
                <w:sz w:val="18"/>
                <w:szCs w:val="18"/>
              </w:rPr>
              <w:t>;</w:t>
            </w:r>
            <w:r>
              <w:rPr>
                <w:rFonts w:ascii="宋体" w:hAnsi="宋体" w:cs="宋体" w:eastAsia="宋体" w:hint="default"/>
                <w:sz w:val="18"/>
                <w:szCs w:val="18"/>
              </w:rPr>
              <w:t>蔡瑾</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8"/>
              <w:ind w:left="105" w:right="96"/>
              <w:jc w:val="both"/>
              <w:rPr>
                <w:rFonts w:ascii="宋体" w:hAnsi="宋体" w:cs="宋体" w:eastAsia="宋体" w:hint="default"/>
                <w:sz w:val="16"/>
                <w:szCs w:val="16"/>
              </w:rPr>
            </w:pPr>
            <w:r>
              <w:rPr>
                <w:rFonts w:ascii="宋体" w:hAnsi="宋体" w:cs="宋体" w:eastAsia="宋体" w:hint="default"/>
                <w:sz w:val="16"/>
                <w:szCs w:val="16"/>
              </w:rPr>
              <w:t>本次发行完成后，本公司股本和净资产都</w:t>
            </w:r>
            <w:r>
              <w:rPr>
                <w:rFonts w:ascii="宋体" w:hAnsi="宋体" w:cs="宋体" w:eastAsia="宋体" w:hint="default"/>
                <w:w w:val="100"/>
                <w:sz w:val="16"/>
                <w:szCs w:val="16"/>
              </w:rPr>
              <w:t> </w:t>
            </w:r>
            <w:r>
              <w:rPr>
                <w:rFonts w:ascii="宋体" w:hAnsi="宋体" w:cs="宋体" w:eastAsia="宋体" w:hint="default"/>
                <w:sz w:val="16"/>
                <w:szCs w:val="16"/>
              </w:rPr>
              <w:t>将大幅增加，但鉴于募集资金投资项目有</w:t>
            </w:r>
            <w:r>
              <w:rPr>
                <w:rFonts w:ascii="宋体" w:hAnsi="宋体" w:cs="宋体" w:eastAsia="宋体" w:hint="default"/>
                <w:w w:val="100"/>
                <w:sz w:val="16"/>
                <w:szCs w:val="16"/>
              </w:rPr>
              <w:t> </w:t>
            </w:r>
            <w:r>
              <w:rPr>
                <w:rFonts w:ascii="宋体" w:hAnsi="宋体" w:cs="宋体" w:eastAsia="宋体" w:hint="default"/>
                <w:sz w:val="16"/>
                <w:szCs w:val="16"/>
              </w:rPr>
              <w:t>一定的实施周期，净利润可能不会同步大</w:t>
            </w:r>
            <w:r>
              <w:rPr>
                <w:rFonts w:ascii="宋体" w:hAnsi="宋体" w:cs="宋体" w:eastAsia="宋体" w:hint="default"/>
                <w:w w:val="100"/>
                <w:sz w:val="16"/>
                <w:szCs w:val="16"/>
              </w:rPr>
              <w:t> </w:t>
            </w:r>
            <w:r>
              <w:rPr>
                <w:rFonts w:ascii="宋体" w:hAnsi="宋体" w:cs="宋体" w:eastAsia="宋体" w:hint="default"/>
                <w:sz w:val="16"/>
                <w:szCs w:val="16"/>
              </w:rPr>
              <w:t>幅增长，可能导致本公司每股收益、净资</w:t>
            </w:r>
            <w:r>
              <w:rPr>
                <w:rFonts w:ascii="宋体" w:hAnsi="宋体" w:cs="宋体" w:eastAsia="宋体" w:hint="default"/>
                <w:w w:val="100"/>
                <w:sz w:val="16"/>
                <w:szCs w:val="16"/>
              </w:rPr>
              <w:t> </w:t>
            </w:r>
            <w:r>
              <w:rPr>
                <w:rFonts w:ascii="宋体" w:hAnsi="宋体" w:cs="宋体" w:eastAsia="宋体" w:hint="default"/>
                <w:sz w:val="16"/>
                <w:szCs w:val="16"/>
              </w:rPr>
              <w:t>产收益率等指标下降，投资者面临本公司</w:t>
            </w:r>
            <w:r>
              <w:rPr>
                <w:rFonts w:ascii="宋体" w:hAnsi="宋体" w:cs="宋体" w:eastAsia="宋体" w:hint="default"/>
                <w:w w:val="100"/>
                <w:sz w:val="16"/>
                <w:szCs w:val="16"/>
              </w:rPr>
              <w:t> </w:t>
            </w:r>
            <w:r>
              <w:rPr>
                <w:rFonts w:ascii="宋体" w:hAnsi="宋体" w:cs="宋体" w:eastAsia="宋体" w:hint="default"/>
                <w:sz w:val="16"/>
                <w:szCs w:val="16"/>
              </w:rPr>
              <w:t>首次公开发行并在创业板上市后即期回报</w:t>
            </w:r>
            <w:r>
              <w:rPr>
                <w:rFonts w:ascii="宋体" w:hAnsi="宋体" w:cs="宋体" w:eastAsia="宋体" w:hint="default"/>
                <w:w w:val="100"/>
                <w:sz w:val="16"/>
                <w:szCs w:val="16"/>
              </w:rPr>
              <w:t> </w:t>
            </w:r>
            <w:r>
              <w:rPr>
                <w:rFonts w:ascii="宋体" w:hAnsi="宋体" w:cs="宋体" w:eastAsia="宋体" w:hint="default"/>
                <w:spacing w:val="-3"/>
                <w:sz w:val="16"/>
                <w:szCs w:val="16"/>
              </w:rPr>
              <w:t>被摊薄的风险。</w:t>
            </w: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、公司拟采取的措施及承</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诺。①加强现有业务的风险管控；②提高</w:t>
            </w:r>
            <w:r>
              <w:rPr>
                <w:rFonts w:ascii="宋体" w:hAnsi="宋体" w:cs="宋体" w:eastAsia="宋体" w:hint="default"/>
                <w:w w:val="100"/>
                <w:sz w:val="16"/>
                <w:szCs w:val="16"/>
              </w:rPr>
              <w:t> </w:t>
            </w:r>
            <w:r>
              <w:rPr>
                <w:rFonts w:ascii="宋体" w:hAnsi="宋体" w:cs="宋体" w:eastAsia="宋体" w:hint="default"/>
                <w:sz w:val="16"/>
                <w:szCs w:val="16"/>
              </w:rPr>
              <w:t>日常运营效率，降低运营成本；③加快募</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bl>
    <w:p>
      <w:pPr>
        <w:spacing w:after="0" w:line="316" w:lineRule="auto"/>
        <w:jc w:val="left"/>
        <w:rPr>
          <w:rFonts w:ascii="宋体" w:hAnsi="宋体" w:cs="宋体" w:eastAsia="宋体" w:hint="default"/>
          <w:sz w:val="18"/>
          <w:szCs w:val="18"/>
        </w:rPr>
        <w:sectPr>
          <w:pgSz w:w="11910" w:h="16840"/>
          <w:pgMar w:header="906" w:footer="1021" w:top="1100" w:bottom="1220" w:left="7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850"/>
        <w:gridCol w:w="1126"/>
        <w:gridCol w:w="996"/>
        <w:gridCol w:w="3144"/>
        <w:gridCol w:w="1023"/>
        <w:gridCol w:w="984"/>
        <w:gridCol w:w="977"/>
      </w:tblGrid>
      <w:tr>
        <w:trPr>
          <w:trHeight w:val="3795"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文胜</w:t>
            </w: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6"/>
              <w:ind w:left="105" w:right="65"/>
              <w:jc w:val="left"/>
              <w:rPr>
                <w:rFonts w:ascii="宋体" w:hAnsi="宋体" w:cs="宋体" w:eastAsia="宋体" w:hint="default"/>
                <w:sz w:val="16"/>
                <w:szCs w:val="16"/>
              </w:rPr>
            </w:pPr>
            <w:r>
              <w:rPr>
                <w:rFonts w:ascii="宋体" w:hAnsi="宋体" w:cs="宋体" w:eastAsia="宋体" w:hint="default"/>
                <w:sz w:val="16"/>
                <w:szCs w:val="16"/>
              </w:rPr>
              <w:t>投项目实施进度，加强募集资金管理；④</w:t>
            </w:r>
            <w:r>
              <w:rPr>
                <w:rFonts w:ascii="宋体" w:hAnsi="宋体" w:cs="宋体" w:eastAsia="宋体" w:hint="default"/>
                <w:w w:val="100"/>
                <w:sz w:val="16"/>
                <w:szCs w:val="16"/>
              </w:rPr>
              <w:t> </w:t>
            </w:r>
            <w:r>
              <w:rPr>
                <w:rFonts w:ascii="宋体" w:hAnsi="宋体" w:cs="宋体" w:eastAsia="宋体" w:hint="default"/>
                <w:spacing w:val="-1"/>
                <w:sz w:val="16"/>
                <w:szCs w:val="16"/>
              </w:rPr>
              <w:t>完善利润分配政策，强化投资者回报。</w:t>
            </w: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r>
              <w:rPr>
                <w:rFonts w:ascii="宋体" w:hAnsi="宋体" w:cs="宋体" w:eastAsia="宋体" w:hint="default"/>
                <w:spacing w:val="-64"/>
                <w:sz w:val="16"/>
                <w:szCs w:val="16"/>
              </w:rPr>
              <w:t> </w:t>
            </w:r>
            <w:r>
              <w:rPr>
                <w:rFonts w:ascii="宋体" w:hAnsi="宋体" w:cs="宋体" w:eastAsia="宋体" w:hint="default"/>
                <w:sz w:val="16"/>
                <w:szCs w:val="16"/>
              </w:rPr>
              <w:t>公司董事、高级管理人员的承诺。①承诺</w:t>
            </w:r>
            <w:r>
              <w:rPr>
                <w:rFonts w:ascii="宋体" w:hAnsi="宋体" w:cs="宋体" w:eastAsia="宋体" w:hint="default"/>
                <w:w w:val="100"/>
                <w:sz w:val="16"/>
                <w:szCs w:val="16"/>
              </w:rPr>
              <w:t> </w:t>
            </w:r>
            <w:r>
              <w:rPr>
                <w:rFonts w:ascii="宋体" w:hAnsi="宋体" w:cs="宋体" w:eastAsia="宋体" w:hint="default"/>
                <w:sz w:val="16"/>
                <w:szCs w:val="16"/>
              </w:rPr>
              <w:t>不无偿或以不公平条件向其他单位或者个</w:t>
            </w:r>
            <w:r>
              <w:rPr>
                <w:rFonts w:ascii="宋体" w:hAnsi="宋体" w:cs="宋体" w:eastAsia="宋体" w:hint="default"/>
                <w:w w:val="100"/>
                <w:sz w:val="16"/>
                <w:szCs w:val="16"/>
              </w:rPr>
              <w:t> </w:t>
            </w:r>
            <w:r>
              <w:rPr>
                <w:rFonts w:ascii="宋体" w:hAnsi="宋体" w:cs="宋体" w:eastAsia="宋体" w:hint="default"/>
                <w:sz w:val="16"/>
                <w:szCs w:val="16"/>
              </w:rPr>
              <w:t>人输送利益，也不采用其他方式损害公司</w:t>
            </w:r>
            <w:r>
              <w:rPr>
                <w:rFonts w:ascii="宋体" w:hAnsi="宋体" w:cs="宋体" w:eastAsia="宋体" w:hint="default"/>
                <w:w w:val="100"/>
                <w:sz w:val="16"/>
                <w:szCs w:val="16"/>
              </w:rPr>
              <w:t> </w:t>
            </w:r>
            <w:r>
              <w:rPr>
                <w:rFonts w:ascii="宋体" w:hAnsi="宋体" w:cs="宋体" w:eastAsia="宋体" w:hint="default"/>
                <w:sz w:val="16"/>
                <w:szCs w:val="16"/>
              </w:rPr>
              <w:t>利益；②承诺对本人的职务消费行为进行</w:t>
            </w:r>
            <w:r>
              <w:rPr>
                <w:rFonts w:ascii="宋体" w:hAnsi="宋体" w:cs="宋体" w:eastAsia="宋体" w:hint="default"/>
                <w:w w:val="100"/>
                <w:sz w:val="16"/>
                <w:szCs w:val="16"/>
              </w:rPr>
              <w:t> </w:t>
            </w:r>
            <w:r>
              <w:rPr>
                <w:rFonts w:ascii="宋体" w:hAnsi="宋体" w:cs="宋体" w:eastAsia="宋体" w:hint="default"/>
                <w:sz w:val="16"/>
                <w:szCs w:val="16"/>
              </w:rPr>
              <w:t>约束；③承诺不动用公司资产从事与本人</w:t>
            </w:r>
            <w:r>
              <w:rPr>
                <w:rFonts w:ascii="宋体" w:hAnsi="宋体" w:cs="宋体" w:eastAsia="宋体" w:hint="default"/>
                <w:w w:val="100"/>
                <w:sz w:val="16"/>
                <w:szCs w:val="16"/>
              </w:rPr>
              <w:t> </w:t>
            </w:r>
            <w:r>
              <w:rPr>
                <w:rFonts w:ascii="宋体" w:hAnsi="宋体" w:cs="宋体" w:eastAsia="宋体" w:hint="default"/>
                <w:sz w:val="16"/>
                <w:szCs w:val="16"/>
              </w:rPr>
              <w:t>履行职责无关的投资、消费活动；④承诺</w:t>
            </w:r>
            <w:r>
              <w:rPr>
                <w:rFonts w:ascii="宋体" w:hAnsi="宋体" w:cs="宋体" w:eastAsia="宋体" w:hint="default"/>
                <w:w w:val="100"/>
                <w:sz w:val="16"/>
                <w:szCs w:val="16"/>
              </w:rPr>
              <w:t> </w:t>
            </w:r>
            <w:r>
              <w:rPr>
                <w:rFonts w:ascii="宋体" w:hAnsi="宋体" w:cs="宋体" w:eastAsia="宋体" w:hint="default"/>
                <w:sz w:val="16"/>
                <w:szCs w:val="16"/>
              </w:rPr>
              <w:t>由董事会或薪酬委员会制定的薪酬制度与</w:t>
            </w:r>
            <w:r>
              <w:rPr>
                <w:rFonts w:ascii="宋体" w:hAnsi="宋体" w:cs="宋体" w:eastAsia="宋体" w:hint="default"/>
                <w:w w:val="100"/>
                <w:sz w:val="16"/>
                <w:szCs w:val="16"/>
              </w:rPr>
              <w:t> </w:t>
            </w:r>
            <w:r>
              <w:rPr>
                <w:rFonts w:ascii="宋体" w:hAnsi="宋体" w:cs="宋体" w:eastAsia="宋体" w:hint="default"/>
                <w:sz w:val="16"/>
                <w:szCs w:val="16"/>
              </w:rPr>
              <w:t>公司填补回报措施的执行情况相挂钩；⑤</w:t>
            </w:r>
            <w:r>
              <w:rPr>
                <w:rFonts w:ascii="宋体" w:hAnsi="宋体" w:cs="宋体" w:eastAsia="宋体" w:hint="default"/>
                <w:w w:val="100"/>
                <w:sz w:val="16"/>
                <w:szCs w:val="16"/>
              </w:rPr>
              <w:t> </w:t>
            </w:r>
            <w:r>
              <w:rPr>
                <w:rFonts w:ascii="宋体" w:hAnsi="宋体" w:cs="宋体" w:eastAsia="宋体" w:hint="default"/>
                <w:sz w:val="16"/>
                <w:szCs w:val="16"/>
              </w:rPr>
              <w:t>承诺拟公布的公司股权激励的行权条件与</w:t>
            </w:r>
            <w:r>
              <w:rPr>
                <w:rFonts w:ascii="宋体" w:hAnsi="宋体" w:cs="宋体" w:eastAsia="宋体" w:hint="default"/>
                <w:w w:val="100"/>
                <w:sz w:val="16"/>
                <w:szCs w:val="16"/>
              </w:rPr>
              <w:t> </w:t>
            </w:r>
            <w:r>
              <w:rPr>
                <w:rFonts w:ascii="宋体" w:hAnsi="宋体" w:cs="宋体" w:eastAsia="宋体" w:hint="default"/>
                <w:sz w:val="16"/>
                <w:szCs w:val="16"/>
              </w:rPr>
              <w:t>公司填补回报措施的执行情况相挂钩。</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10"/>
              <w:jc w:val="both"/>
              <w:rPr>
                <w:rFonts w:ascii="宋体" w:hAnsi="宋体" w:cs="宋体" w:eastAsia="宋体" w:hint="default"/>
                <w:sz w:val="18"/>
                <w:szCs w:val="18"/>
              </w:rPr>
            </w:pPr>
            <w:r>
              <w:rPr>
                <w:rFonts w:ascii="宋体" w:hAnsi="宋体" w:cs="宋体" w:eastAsia="宋体" w:hint="default"/>
                <w:sz w:val="18"/>
                <w:szCs w:val="18"/>
              </w:rPr>
              <w:t>北京先进数 通信息技术 股份公司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5" w:right="158"/>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50" w:lineRule="auto"/>
              <w:ind w:left="105" w:right="103"/>
              <w:jc w:val="both"/>
              <w:rPr>
                <w:rFonts w:ascii="宋体" w:hAnsi="宋体" w:cs="宋体" w:eastAsia="宋体" w:hint="default"/>
                <w:sz w:val="16"/>
                <w:szCs w:val="16"/>
              </w:rPr>
            </w:pPr>
            <w:r>
              <w:rPr>
                <w:rFonts w:ascii="宋体" w:hAnsi="宋体" w:cs="宋体" w:eastAsia="宋体" w:hint="default"/>
                <w:sz w:val="16"/>
                <w:szCs w:val="16"/>
              </w:rPr>
              <w:t>不为激励对象依《</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年限制性股票激励</w:t>
            </w:r>
            <w:r>
              <w:rPr>
                <w:rFonts w:ascii="宋体" w:hAnsi="宋体" w:cs="宋体" w:eastAsia="宋体" w:hint="default"/>
                <w:w w:val="100"/>
                <w:sz w:val="16"/>
                <w:szCs w:val="16"/>
              </w:rPr>
              <w:t> </w:t>
            </w:r>
            <w:r>
              <w:rPr>
                <w:rFonts w:ascii="宋体" w:hAnsi="宋体" w:cs="宋体" w:eastAsia="宋体" w:hint="default"/>
                <w:sz w:val="16"/>
                <w:szCs w:val="16"/>
              </w:rPr>
              <w:t>计划》获取有关限制性股票提供贷款以及</w:t>
            </w:r>
            <w:r>
              <w:rPr>
                <w:rFonts w:ascii="宋体" w:hAnsi="宋体" w:cs="宋体" w:eastAsia="宋体" w:hint="default"/>
                <w:w w:val="100"/>
                <w:sz w:val="16"/>
                <w:szCs w:val="16"/>
              </w:rPr>
              <w:t> </w:t>
            </w:r>
            <w:r>
              <w:rPr>
                <w:rFonts w:ascii="宋体" w:hAnsi="宋体" w:cs="宋体" w:eastAsia="宋体" w:hint="default"/>
                <w:sz w:val="16"/>
                <w:szCs w:val="16"/>
              </w:rPr>
              <w:t>其他任何形式的财务资助，包括为其贷款</w:t>
            </w:r>
            <w:r>
              <w:rPr>
                <w:rFonts w:ascii="宋体" w:hAnsi="宋体" w:cs="宋体" w:eastAsia="宋体" w:hint="default"/>
                <w:w w:val="100"/>
                <w:sz w:val="16"/>
                <w:szCs w:val="16"/>
              </w:rPr>
              <w:t> </w:t>
            </w:r>
            <w:r>
              <w:rPr>
                <w:rFonts w:ascii="宋体" w:hAnsi="宋体" w:cs="宋体" w:eastAsia="宋体" w:hint="default"/>
                <w:sz w:val="16"/>
                <w:szCs w:val="16"/>
              </w:rPr>
              <w:t>提供担保。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r>
        <w:trPr>
          <w:trHeight w:val="1963"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4"/>
              <w:ind w:left="105"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 励对象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58"/>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105" w:right="144"/>
              <w:jc w:val="both"/>
              <w:rPr>
                <w:rFonts w:ascii="宋体" w:hAnsi="宋体" w:cs="宋体" w:eastAsia="宋体" w:hint="default"/>
                <w:sz w:val="16"/>
                <w:szCs w:val="16"/>
              </w:rPr>
            </w:pPr>
            <w:r>
              <w:rPr>
                <w:rFonts w:ascii="宋体" w:hAnsi="宋体" w:cs="宋体" w:eastAsia="宋体" w:hint="default"/>
                <w:spacing w:val="-1"/>
                <w:sz w:val="16"/>
                <w:szCs w:val="16"/>
              </w:rPr>
              <w:t>若公司因信息披露文件中有虚假记载、误</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导性陈述或者重大遗漏，导致不符合授予</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权益或行使权益安排的，激励对象自相关</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信息披露文件被确认存在虚假记载、误导</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1"/>
                <w:sz w:val="16"/>
                <w:szCs w:val="16"/>
              </w:rPr>
              <w:t>性陈述或者重大遗漏后，将由股权激励计</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划所获得的全部利益返还公司。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 中。</w:t>
            </w:r>
          </w:p>
        </w:tc>
      </w:tr>
      <w:tr>
        <w:trPr>
          <w:trHeight w:val="71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13"/>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2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left="352"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352"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left="352"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352" w:right="4994"/>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3"/>
        <w:spacing w:line="240" w:lineRule="auto"/>
        <w:ind w:left="352"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52" w:right="0"/>
        <w:jc w:val="left"/>
      </w:pPr>
      <w:r>
        <w:rPr/>
        <w:t>□ 适用 √</w:t>
      </w:r>
      <w:r>
        <w:rPr>
          <w:spacing w:val="3"/>
        </w:rPr>
        <w:t> </w:t>
      </w:r>
      <w:r>
        <w:rPr/>
        <w:t>不适用</w:t>
      </w:r>
    </w:p>
    <w:p>
      <w:pPr>
        <w:spacing w:after="0" w:line="240" w:lineRule="auto"/>
        <w:jc w:val="left"/>
        <w:sectPr>
          <w:pgSz w:w="11910" w:h="16840"/>
          <w:pgMar w:header="906" w:footer="1021" w:top="1100" w:bottom="1220" w:left="780" w:right="0"/>
        </w:sectPr>
      </w:pPr>
    </w:p>
    <w:p>
      <w:pPr>
        <w:spacing w:line="240" w:lineRule="auto" w:before="9"/>
        <w:rPr>
          <w:rFonts w:ascii="宋体" w:hAnsi="宋体" w:cs="宋体" w:eastAsia="宋体" w:hint="default"/>
          <w:sz w:val="20"/>
          <w:szCs w:val="20"/>
        </w:rPr>
      </w:pPr>
    </w:p>
    <w:p>
      <w:pPr>
        <w:pStyle w:val="Heading3"/>
        <w:spacing w:line="240" w:lineRule="auto" w:before="26"/>
        <w:ind w:right="111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73" w:right="1123" w:hanging="361"/>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9</w:t>
      </w:r>
      <w:r>
        <w:rPr/>
        <w:t>日召开了第三届董事会</w:t>
      </w:r>
      <w:r>
        <w:rPr>
          <w:rFonts w:ascii="宋体" w:hAnsi="宋体" w:cs="宋体" w:eastAsia="宋体" w:hint="default"/>
        </w:rPr>
        <w:t>2019</w:t>
      </w:r>
      <w:r>
        <w:rPr/>
        <w:t>年第一次定期会议、第三届监事会</w:t>
      </w:r>
      <w:r>
        <w:rPr>
          <w:rFonts w:ascii="宋体" w:hAnsi="宋体" w:cs="宋体" w:eastAsia="宋体" w:hint="default"/>
        </w:rPr>
        <w:t>2019</w:t>
      </w:r>
      <w:r>
        <w:rPr/>
        <w:t>年第一次定期会议，审议通过了《关</w:t>
      </w:r>
    </w:p>
    <w:p>
      <w:pPr>
        <w:pStyle w:val="BodyText"/>
        <w:spacing w:line="224" w:lineRule="exact"/>
        <w:ind w:right="1133"/>
        <w:jc w:val="left"/>
      </w:pPr>
      <w:r>
        <w:rPr/>
        <w:t>于会计政策变更的议案</w:t>
      </w:r>
      <w:r>
        <w:rPr>
          <w:spacing w:val="-92"/>
        </w:rPr>
        <w:t>》</w:t>
      </w:r>
      <w:r>
        <w:rPr/>
        <w:t>。</w:t>
      </w:r>
    </w:p>
    <w:p>
      <w:pPr>
        <w:pStyle w:val="BodyText"/>
        <w:spacing w:line="319" w:lineRule="auto" w:before="76"/>
        <w:ind w:right="1128" w:firstLine="360"/>
        <w:jc w:val="both"/>
      </w:pPr>
      <w:r>
        <w:rPr>
          <w:spacing w:val="-6"/>
        </w:rPr>
        <w:t>财政部</w:t>
      </w:r>
      <w:r>
        <w:rPr>
          <w:rFonts w:ascii="宋体" w:hAnsi="宋体" w:cs="宋体" w:eastAsia="宋体" w:hint="default"/>
          <w:spacing w:val="-6"/>
        </w:rPr>
        <w:t>2017</w:t>
      </w:r>
      <w:r>
        <w:rPr>
          <w:spacing w:val="-6"/>
        </w:rPr>
        <w:t>颁布的《企业会计准则第</w:t>
      </w:r>
      <w:r>
        <w:rPr>
          <w:rFonts w:ascii="宋体" w:hAnsi="宋体" w:cs="宋体" w:eastAsia="宋体" w:hint="default"/>
          <w:spacing w:val="-6"/>
        </w:rPr>
        <w:t>22</w:t>
      </w:r>
      <w:r>
        <w:rPr>
          <w:spacing w:val="-6"/>
        </w:rPr>
        <w:t>号——金融工具确认和计量》（财会</w:t>
      </w:r>
      <w:r>
        <w:rPr>
          <w:rFonts w:ascii="宋体" w:hAnsi="宋体" w:cs="宋体" w:eastAsia="宋体" w:hint="default"/>
          <w:spacing w:val="-6"/>
        </w:rPr>
        <w:t>[2017]7</w:t>
      </w:r>
      <w:r>
        <w:rPr>
          <w:spacing w:val="-6"/>
        </w:rPr>
        <w:t>号）、《企业会计准则第</w:t>
      </w:r>
      <w:r>
        <w:rPr>
          <w:rFonts w:ascii="宋体" w:hAnsi="宋体" w:cs="宋体" w:eastAsia="宋体" w:hint="default"/>
          <w:spacing w:val="-6"/>
        </w:rPr>
        <w:t>23</w:t>
      </w:r>
      <w:r>
        <w:rPr>
          <w:spacing w:val="-6"/>
        </w:rPr>
        <w:t>号——金融</w:t>
      </w:r>
      <w:r>
        <w:rPr/>
        <w:t> </w:t>
      </w:r>
      <w:r>
        <w:rPr>
          <w:spacing w:val="-10"/>
        </w:rPr>
        <w:t>资产转移》（财会</w:t>
      </w:r>
      <w:r>
        <w:rPr>
          <w:rFonts w:ascii="宋体" w:hAnsi="宋体" w:cs="宋体" w:eastAsia="宋体" w:hint="default"/>
          <w:spacing w:val="-10"/>
        </w:rPr>
        <w:t>[2017]8</w:t>
      </w:r>
      <w:r>
        <w:rPr>
          <w:spacing w:val="-10"/>
        </w:rPr>
        <w:t>号）、《企业会计准则第</w:t>
      </w:r>
      <w:r>
        <w:rPr>
          <w:rFonts w:ascii="宋体" w:hAnsi="宋体" w:cs="宋体" w:eastAsia="宋体" w:hint="default"/>
          <w:spacing w:val="-10"/>
        </w:rPr>
        <w:t>24</w:t>
      </w:r>
      <w:r>
        <w:rPr>
          <w:spacing w:val="-10"/>
        </w:rPr>
        <w:t>号——套期会计》（财会</w:t>
      </w:r>
      <w:r>
        <w:rPr>
          <w:rFonts w:ascii="宋体" w:hAnsi="宋体" w:cs="宋体" w:eastAsia="宋体" w:hint="default"/>
          <w:spacing w:val="-10"/>
        </w:rPr>
        <w:t>[2017]9</w:t>
      </w:r>
      <w:r>
        <w:rPr>
          <w:spacing w:val="-10"/>
        </w:rPr>
        <w:t>号）、《企业会计准则第</w:t>
      </w:r>
      <w:r>
        <w:rPr>
          <w:rFonts w:ascii="宋体" w:hAnsi="宋体" w:cs="宋体" w:eastAsia="宋体" w:hint="default"/>
          <w:spacing w:val="-10"/>
        </w:rPr>
        <w:t>37</w:t>
      </w:r>
      <w:r>
        <w:rPr>
          <w:spacing w:val="-10"/>
        </w:rPr>
        <w:t>号——金融工具</w:t>
      </w:r>
      <w:r>
        <w:rPr>
          <w:spacing w:val="-57"/>
        </w:rPr>
        <w:t> </w:t>
      </w:r>
      <w:r>
        <w:rPr>
          <w:spacing w:val="-57"/>
        </w:rPr>
      </w:r>
      <w:r>
        <w:rPr>
          <w:spacing w:val="-3"/>
        </w:rPr>
        <w:t>列报》（财会</w:t>
      </w:r>
      <w:r>
        <w:rPr>
          <w:rFonts w:ascii="宋体" w:hAnsi="宋体" w:cs="宋体" w:eastAsia="宋体" w:hint="default"/>
          <w:spacing w:val="-3"/>
        </w:rPr>
        <w:t>[2017]14</w:t>
      </w:r>
      <w:r>
        <w:rPr>
          <w:spacing w:val="-3"/>
        </w:rPr>
        <w:t>号），要求境内上市企业自</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日起施行新金融工具相关会计准则。财政部于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日颁</w:t>
      </w:r>
      <w:r>
        <w:rPr>
          <w:spacing w:val="-79"/>
        </w:rPr>
        <w:t> </w:t>
      </w:r>
      <w:r>
        <w:rPr>
          <w:spacing w:val="-7"/>
        </w:rPr>
        <w:t>布的《关于修订印发</w:t>
      </w:r>
      <w:r>
        <w:rPr>
          <w:rFonts w:ascii="宋体" w:hAnsi="宋体" w:cs="宋体" w:eastAsia="宋体" w:hint="default"/>
          <w:spacing w:val="-7"/>
        </w:rPr>
        <w:t>2018</w:t>
      </w:r>
      <w:r>
        <w:rPr>
          <w:spacing w:val="-7"/>
        </w:rPr>
        <w:t>年度一般企业财务报表格式的通知》（财会</w:t>
      </w:r>
      <w:r>
        <w:rPr>
          <w:rFonts w:ascii="宋体" w:hAnsi="宋体" w:cs="宋体" w:eastAsia="宋体" w:hint="default"/>
          <w:spacing w:val="-7"/>
        </w:rPr>
        <w:t>[2018]15</w:t>
      </w:r>
      <w:r>
        <w:rPr>
          <w:spacing w:val="-7"/>
        </w:rPr>
        <w:t>号）（以下简称“财会</w:t>
      </w:r>
      <w:r>
        <w:rPr>
          <w:rFonts w:ascii="宋体" w:hAnsi="宋体" w:cs="宋体" w:eastAsia="宋体" w:hint="default"/>
          <w:spacing w:val="-7"/>
        </w:rPr>
        <w:t>[2018]15</w:t>
      </w:r>
      <w:r>
        <w:rPr>
          <w:spacing w:val="-7"/>
        </w:rPr>
        <w:t>号”），要求已执</w:t>
      </w:r>
      <w:r>
        <w:rPr>
          <w:spacing w:val="-79"/>
        </w:rPr>
        <w:t> </w:t>
      </w:r>
      <w:r>
        <w:rPr>
          <w:spacing w:val="-79"/>
        </w:rPr>
      </w:r>
      <w:r>
        <w:rPr>
          <w:spacing w:val="-2"/>
        </w:rPr>
        <w:t>行新金融准则的非金融企业按照修订后的一般企业财务报表格式（适用于已执行新金融准则或新收入准则的企业）编制财务</w:t>
      </w:r>
      <w:r>
        <w:rPr>
          <w:spacing w:val="-64"/>
        </w:rPr>
        <w:t> </w:t>
      </w:r>
      <w:r>
        <w:rPr>
          <w:spacing w:val="-64"/>
        </w:rPr>
      </w:r>
      <w:r>
        <w:rPr/>
        <w:t>报表。按照上述通知及上述企业会计准则的规定和要求，公司对原会计政策进行相应变更。</w:t>
      </w:r>
    </w:p>
    <w:p>
      <w:pPr>
        <w:pStyle w:val="BodyText"/>
        <w:spacing w:line="316" w:lineRule="auto" w:before="17"/>
        <w:ind w:right="1131"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日召开了第三届董事会</w:t>
      </w:r>
      <w:r>
        <w:rPr>
          <w:rFonts w:ascii="宋体" w:hAnsi="宋体" w:cs="宋体" w:eastAsia="宋体" w:hint="default"/>
          <w:spacing w:val="-2"/>
        </w:rPr>
        <w:t>2019</w:t>
      </w:r>
      <w:r>
        <w:rPr>
          <w:spacing w:val="-2"/>
        </w:rPr>
        <w:t>年第二次定期会议、第三届监事会</w:t>
      </w:r>
      <w:r>
        <w:rPr>
          <w:rFonts w:ascii="宋体" w:hAnsi="宋体" w:cs="宋体" w:eastAsia="宋体" w:hint="default"/>
          <w:spacing w:val="-2"/>
        </w:rPr>
        <w:t>2019</w:t>
      </w:r>
      <w:r>
        <w:rPr>
          <w:spacing w:val="-2"/>
        </w:rPr>
        <w:t>年第二次定期会议，审议通过了《关</w:t>
      </w:r>
      <w:r>
        <w:rPr/>
        <w:t> </w:t>
      </w:r>
      <w:r>
        <w:rPr>
          <w:spacing w:val="-7"/>
        </w:rPr>
        <w:t>于公司会计政策变更的议案》。</w:t>
      </w:r>
    </w:p>
    <w:p>
      <w:pPr>
        <w:pStyle w:val="BodyText"/>
        <w:spacing w:line="316" w:lineRule="auto" w:before="19"/>
        <w:ind w:right="1130" w:firstLine="360"/>
        <w:jc w:val="both"/>
      </w:pPr>
      <w:r>
        <w:rPr>
          <w:spacing w:val="-10"/>
        </w:rPr>
        <w:t>财政部于</w:t>
      </w:r>
      <w:r>
        <w:rPr>
          <w:rFonts w:ascii="宋体" w:hAnsi="宋体" w:cs="宋体" w:eastAsia="宋体" w:hint="default"/>
          <w:spacing w:val="-10"/>
        </w:rPr>
        <w:t>2019</w:t>
      </w:r>
      <w:r>
        <w:rPr>
          <w:spacing w:val="-10"/>
        </w:rPr>
        <w:t>年</w:t>
      </w:r>
      <w:r>
        <w:rPr>
          <w:rFonts w:ascii="宋体" w:hAnsi="宋体" w:cs="宋体" w:eastAsia="宋体" w:hint="default"/>
          <w:spacing w:val="-10"/>
        </w:rPr>
        <w:t>4</w:t>
      </w:r>
      <w:r>
        <w:rPr>
          <w:spacing w:val="-10"/>
        </w:rPr>
        <w:t>月</w:t>
      </w:r>
      <w:r>
        <w:rPr>
          <w:rFonts w:ascii="宋体" w:hAnsi="宋体" w:cs="宋体" w:eastAsia="宋体" w:hint="default"/>
          <w:spacing w:val="-10"/>
        </w:rPr>
        <w:t>30</w:t>
      </w:r>
      <w:r>
        <w:rPr>
          <w:spacing w:val="-10"/>
        </w:rPr>
        <w:t>日颁布了《关于修订印发</w:t>
      </w:r>
      <w:r>
        <w:rPr>
          <w:rFonts w:ascii="宋体" w:hAnsi="宋体" w:cs="宋体" w:eastAsia="宋体" w:hint="default"/>
          <w:spacing w:val="-10"/>
        </w:rPr>
        <w:t>2019</w:t>
      </w:r>
      <w:r>
        <w:rPr>
          <w:spacing w:val="-10"/>
        </w:rPr>
        <w:t>年度一般企业财务报表格式的通知》（财会</w:t>
      </w:r>
      <w:r>
        <w:rPr>
          <w:rFonts w:ascii="宋体" w:hAnsi="宋体" w:cs="宋体" w:eastAsia="宋体" w:hint="default"/>
          <w:spacing w:val="-10"/>
        </w:rPr>
        <w:t>[2019]6</w:t>
      </w:r>
      <w:r>
        <w:rPr>
          <w:spacing w:val="-10"/>
        </w:rPr>
        <w:t>号）（以下简称“《修</w:t>
      </w:r>
      <w:r>
        <w:rPr/>
        <w:t> </w:t>
      </w:r>
      <w:r>
        <w:rPr>
          <w:spacing w:val="-5"/>
        </w:rPr>
        <w:t>订通知》”），对一般企业财务报表格式进行了修订，要求执行企业会计准则的非金融企业按照企业会计准则和《修订通知》</w:t>
      </w:r>
      <w:r>
        <w:rPr>
          <w:spacing w:val="-76"/>
        </w:rPr>
        <w:t> </w:t>
      </w:r>
      <w:r>
        <w:rPr>
          <w:spacing w:val="-76"/>
        </w:rPr>
      </w:r>
      <w:r>
        <w:rPr/>
        <w:t>的要求编制</w:t>
      </w:r>
      <w:r>
        <w:rPr>
          <w:rFonts w:ascii="宋体" w:hAnsi="宋体" w:cs="宋体" w:eastAsia="宋体" w:hint="default"/>
        </w:rPr>
        <w:t>2019</w:t>
      </w:r>
      <w:r>
        <w:rPr/>
        <w:t>年度中期财务报表和年度财务报表以及以后期间的财务报表。</w:t>
      </w:r>
    </w:p>
    <w:p>
      <w:pPr>
        <w:pStyle w:val="BodyText"/>
        <w:spacing w:line="316" w:lineRule="auto" w:before="19"/>
        <w:ind w:right="1134" w:firstLine="360"/>
        <w:jc w:val="both"/>
      </w:pPr>
      <w:r>
        <w:rPr>
          <w:spacing w:val="-2"/>
        </w:rPr>
        <w:t>根据《修订通知》的有关要求，公司属于已执行新金融准则但未执行新收入准则和新租赁准则的企业，应当结合《修订</w:t>
      </w:r>
      <w:r>
        <w:rPr/>
        <w:t> 通知》的要求对财务报表格式及部分科目列报进行相应调整。</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公司报告期无合并报表范围发生变化的情况。</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于曙光，蒲金凤</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于曙光第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年，蒲金凤第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是否改聘会计师事务所</w:t>
      </w:r>
    </w:p>
    <w:p>
      <w:pPr>
        <w:pStyle w:val="BodyText"/>
        <w:spacing w:line="357" w:lineRule="auto" w:before="117"/>
        <w:ind w:right="6254"/>
        <w:jc w:val="left"/>
      </w:pPr>
      <w:r>
        <w:rPr/>
        <w:t>□ 是 √</w:t>
      </w:r>
      <w:r>
        <w:rPr>
          <w:spacing w:val="3"/>
        </w:rPr>
        <w:t> </w:t>
      </w:r>
      <w:r>
        <w:rPr/>
        <w:t>否</w:t>
      </w:r>
      <w:r>
        <w:rPr/>
        <w:t> 聘请内部控制审计会计师事务所、财务顾问或保荐人情况</w:t>
      </w:r>
    </w:p>
    <w:p>
      <w:pPr>
        <w:pStyle w:val="BodyText"/>
        <w:spacing w:line="240" w:lineRule="auto" w:before="29"/>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113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 适用 √</w:t>
      </w:r>
      <w:r>
        <w:rPr>
          <w:spacing w:val="3"/>
        </w:rPr>
        <w:t> </w:t>
      </w:r>
      <w:r>
        <w:rPr/>
        <w:t>不适用</w:t>
      </w:r>
      <w:r>
        <w:rPr/>
        <w:t> 公司报告期未发生破产重整相关事项。</w:t>
      </w: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28"/>
        <w:gridCol w:w="1085"/>
        <w:gridCol w:w="1051"/>
        <w:gridCol w:w="953"/>
        <w:gridCol w:w="1392"/>
        <w:gridCol w:w="1267"/>
        <w:gridCol w:w="951"/>
        <w:gridCol w:w="1262"/>
      </w:tblGrid>
      <w:tr>
        <w:trPr>
          <w:trHeight w:val="713"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18" w:right="11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51" w:right="149" w:firstLine="2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80" w:right="115"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0"/>
              <w:ind w:left="103" w:right="231"/>
              <w:jc w:val="both"/>
              <w:rPr>
                <w:rFonts w:ascii="宋体" w:hAnsi="宋体" w:cs="宋体" w:eastAsia="宋体" w:hint="default"/>
                <w:sz w:val="16"/>
                <w:szCs w:val="16"/>
              </w:rPr>
            </w:pPr>
            <w:r>
              <w:rPr>
                <w:rFonts w:ascii="宋体" w:hAnsi="宋体" w:cs="宋体" w:eastAsia="宋体" w:hint="default"/>
                <w:sz w:val="16"/>
                <w:szCs w:val="16"/>
              </w:rPr>
              <w:t>公司与上海兴容信</w:t>
            </w:r>
            <w:r>
              <w:rPr>
                <w:rFonts w:ascii="宋体" w:hAnsi="宋体" w:cs="宋体" w:eastAsia="宋体" w:hint="default"/>
                <w:w w:val="100"/>
                <w:sz w:val="16"/>
                <w:szCs w:val="16"/>
              </w:rPr>
              <w:t> </w:t>
            </w:r>
            <w:r>
              <w:rPr>
                <w:rFonts w:ascii="宋体" w:hAnsi="宋体" w:cs="宋体" w:eastAsia="宋体" w:hint="default"/>
                <w:sz w:val="16"/>
                <w:szCs w:val="16"/>
              </w:rPr>
              <w:t>息技术有限公司的</w:t>
            </w:r>
            <w:r>
              <w:rPr>
                <w:rFonts w:ascii="宋体" w:hAnsi="宋体" w:cs="宋体" w:eastAsia="宋体" w:hint="default"/>
                <w:w w:val="100"/>
                <w:sz w:val="16"/>
                <w:szCs w:val="16"/>
              </w:rPr>
              <w:t> </w:t>
            </w:r>
            <w:r>
              <w:rPr>
                <w:rFonts w:ascii="宋体" w:hAnsi="宋体" w:cs="宋体" w:eastAsia="宋体" w:hint="default"/>
                <w:sz w:val="16"/>
                <w:szCs w:val="16"/>
              </w:rPr>
              <w:t>因产品服务问题而</w:t>
            </w:r>
            <w:r>
              <w:rPr>
                <w:rFonts w:ascii="宋体" w:hAnsi="宋体" w:cs="宋体" w:eastAsia="宋体" w:hint="default"/>
                <w:w w:val="100"/>
                <w:sz w:val="16"/>
                <w:szCs w:val="16"/>
              </w:rPr>
              <w:t> </w:t>
            </w:r>
            <w:r>
              <w:rPr>
                <w:rFonts w:ascii="宋体" w:hAnsi="宋体" w:cs="宋体" w:eastAsia="宋体" w:hint="default"/>
                <w:sz w:val="16"/>
                <w:szCs w:val="16"/>
              </w:rPr>
              <w:t>产生的合同纠纷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已执行完毕</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巨潮资讯网：</w:t>
            </w:r>
          </w:p>
          <w:p>
            <w:pPr>
              <w:pStyle w:val="TableParagraph"/>
              <w:spacing w:line="240" w:lineRule="auto" w:before="100"/>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年半年报</w:t>
            </w:r>
          </w:p>
          <w:p>
            <w:pPr>
              <w:pStyle w:val="TableParagraph"/>
              <w:spacing w:line="240" w:lineRule="auto" w:before="90"/>
              <w:ind w:left="105"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2019-040</w:t>
            </w:r>
            <w:r>
              <w:rPr>
                <w:rFonts w:ascii="宋体" w:hAnsi="宋体" w:cs="宋体" w:eastAsia="宋体" w:hint="default"/>
                <w:sz w:val="16"/>
                <w:szCs w:val="16"/>
              </w:rPr>
              <w:t>）</w:t>
            </w:r>
          </w:p>
        </w:tc>
      </w:tr>
      <w:tr>
        <w:trPr>
          <w:trHeight w:val="164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67"/>
              <w:ind w:left="103" w:right="99"/>
              <w:jc w:val="left"/>
              <w:rPr>
                <w:rFonts w:ascii="宋体" w:hAnsi="宋体" w:cs="宋体" w:eastAsia="宋体" w:hint="default"/>
                <w:sz w:val="16"/>
                <w:szCs w:val="16"/>
              </w:rPr>
            </w:pPr>
            <w:r>
              <w:rPr>
                <w:rFonts w:ascii="宋体" w:hAnsi="宋体" w:cs="宋体" w:eastAsia="宋体" w:hint="default"/>
                <w:sz w:val="16"/>
                <w:szCs w:val="16"/>
              </w:rPr>
              <w:t>公司向广元万达广</w:t>
            </w:r>
            <w:r>
              <w:rPr>
                <w:rFonts w:ascii="宋体" w:hAnsi="宋体" w:cs="宋体" w:eastAsia="宋体" w:hint="default"/>
                <w:w w:val="100"/>
                <w:sz w:val="16"/>
                <w:szCs w:val="16"/>
              </w:rPr>
              <w:t> </w:t>
            </w:r>
            <w:r>
              <w:rPr>
                <w:rFonts w:ascii="宋体" w:hAnsi="宋体" w:cs="宋体" w:eastAsia="宋体" w:hint="default"/>
                <w:sz w:val="16"/>
                <w:szCs w:val="16"/>
              </w:rPr>
              <w:t>场投资有限公司等</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w w:val="100"/>
                <w:sz w:val="16"/>
                <w:szCs w:val="16"/>
              </w:rPr>
              <w:t> </w:t>
            </w:r>
            <w:r>
              <w:rPr>
                <w:rFonts w:ascii="宋体" w:hAnsi="宋体" w:cs="宋体" w:eastAsia="宋体" w:hint="default"/>
                <w:spacing w:val="-4"/>
                <w:sz w:val="16"/>
                <w:szCs w:val="16"/>
              </w:rPr>
              <w:t>家公司提起仲裁，要</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求支付合同欠款及</w:t>
            </w:r>
            <w:r>
              <w:rPr>
                <w:rFonts w:ascii="宋体" w:hAnsi="宋体" w:cs="宋体" w:eastAsia="宋体" w:hint="default"/>
                <w:w w:val="100"/>
                <w:sz w:val="16"/>
                <w:szCs w:val="16"/>
              </w:rPr>
              <w:t> </w:t>
            </w:r>
            <w:r>
              <w:rPr>
                <w:rFonts w:ascii="宋体" w:hAnsi="宋体" w:cs="宋体" w:eastAsia="宋体" w:hint="default"/>
                <w:sz w:val="16"/>
                <w:szCs w:val="16"/>
              </w:rPr>
              <w:t>资金占用费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已执行完毕</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巨潮资讯网：</w:t>
            </w:r>
          </w:p>
          <w:p>
            <w:pPr>
              <w:pStyle w:val="TableParagraph"/>
              <w:spacing w:line="240" w:lineRule="auto" w:before="102"/>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年半年报</w:t>
            </w:r>
          </w:p>
          <w:p>
            <w:pPr>
              <w:pStyle w:val="TableParagraph"/>
              <w:spacing w:line="240" w:lineRule="auto" w:before="90"/>
              <w:ind w:left="105"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2019-040</w:t>
            </w:r>
            <w:r>
              <w:rPr>
                <w:rFonts w:ascii="宋体" w:hAnsi="宋体" w:cs="宋体" w:eastAsia="宋体" w:hint="default"/>
                <w:sz w:val="16"/>
                <w:szCs w:val="16"/>
              </w:rPr>
              <w:t>）</w:t>
            </w:r>
          </w:p>
        </w:tc>
      </w:tr>
      <w:tr>
        <w:trPr>
          <w:trHeight w:val="1651"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70"/>
              <w:ind w:left="103" w:right="98"/>
              <w:jc w:val="left"/>
              <w:rPr>
                <w:rFonts w:ascii="宋体" w:hAnsi="宋体" w:cs="宋体" w:eastAsia="宋体" w:hint="default"/>
                <w:sz w:val="16"/>
                <w:szCs w:val="16"/>
              </w:rPr>
            </w:pPr>
            <w:r>
              <w:rPr>
                <w:rFonts w:ascii="宋体" w:hAnsi="宋体" w:cs="宋体" w:eastAsia="宋体" w:hint="default"/>
                <w:sz w:val="16"/>
                <w:szCs w:val="16"/>
              </w:rPr>
              <w:t>公司向万达信息科</w:t>
            </w:r>
            <w:r>
              <w:rPr>
                <w:rFonts w:ascii="宋体" w:hAnsi="宋体" w:cs="宋体" w:eastAsia="宋体" w:hint="default"/>
                <w:w w:val="100"/>
                <w:sz w:val="16"/>
                <w:szCs w:val="16"/>
              </w:rPr>
              <w:t> </w:t>
            </w:r>
            <w:r>
              <w:rPr>
                <w:rFonts w:ascii="宋体" w:hAnsi="宋体" w:cs="宋体" w:eastAsia="宋体" w:hint="default"/>
                <w:sz w:val="16"/>
                <w:szCs w:val="16"/>
              </w:rPr>
              <w:t>技有限公司等</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家公</w:t>
            </w:r>
            <w:r>
              <w:rPr>
                <w:rFonts w:ascii="宋体" w:hAnsi="宋体" w:cs="宋体" w:eastAsia="宋体" w:hint="default"/>
                <w:w w:val="100"/>
                <w:sz w:val="16"/>
                <w:szCs w:val="16"/>
              </w:rPr>
              <w:t> </w:t>
            </w:r>
            <w:r>
              <w:rPr>
                <w:rFonts w:ascii="宋体" w:hAnsi="宋体" w:cs="宋体" w:eastAsia="宋体" w:hint="default"/>
                <w:spacing w:val="-4"/>
                <w:sz w:val="16"/>
                <w:szCs w:val="16"/>
              </w:rPr>
              <w:t>司提起仲裁，要求支</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付合同欠款及资金</w:t>
            </w:r>
            <w:r>
              <w:rPr>
                <w:rFonts w:ascii="宋体" w:hAnsi="宋体" w:cs="宋体" w:eastAsia="宋体" w:hint="default"/>
                <w:w w:val="100"/>
                <w:sz w:val="16"/>
                <w:szCs w:val="16"/>
              </w:rPr>
              <w:t> </w:t>
            </w:r>
            <w:r>
              <w:rPr>
                <w:rFonts w:ascii="宋体" w:hAnsi="宋体" w:cs="宋体" w:eastAsia="宋体" w:hint="default"/>
                <w:sz w:val="16"/>
                <w:szCs w:val="16"/>
              </w:rPr>
              <w:t>占用费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0"/>
              <w:ind w:left="103" w:right="154"/>
              <w:jc w:val="both"/>
              <w:rPr>
                <w:rFonts w:ascii="宋体" w:hAnsi="宋体" w:cs="宋体" w:eastAsia="宋体" w:hint="default"/>
                <w:sz w:val="16"/>
                <w:szCs w:val="16"/>
              </w:rPr>
            </w:pPr>
            <w:r>
              <w:rPr>
                <w:rFonts w:ascii="宋体" w:hAnsi="宋体" w:cs="宋体" w:eastAsia="宋体" w:hint="default"/>
                <w:sz w:val="16"/>
                <w:szCs w:val="16"/>
              </w:rPr>
              <w:t>相关应收款，公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司已计提坏账准</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备，不会对公司</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未来财务状况，</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产生不利影响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5" w:right="251"/>
              <w:jc w:val="left"/>
              <w:rPr>
                <w:rFonts w:ascii="宋体" w:hAnsi="宋体" w:cs="宋体" w:eastAsia="宋体" w:hint="default"/>
                <w:sz w:val="18"/>
                <w:szCs w:val="18"/>
              </w:rPr>
            </w:pPr>
            <w:r>
              <w:rPr>
                <w:rFonts w:ascii="宋体" w:hAnsi="宋体" w:cs="宋体" w:eastAsia="宋体" w:hint="default"/>
                <w:sz w:val="18"/>
                <w:szCs w:val="18"/>
              </w:rPr>
              <w:t>部分执行完 毕</w:t>
            </w:r>
          </w:p>
        </w:tc>
        <w:tc>
          <w:tcPr>
            <w:tcW w:w="9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6"/>
                <w:szCs w:val="16"/>
              </w:rPr>
            </w:pPr>
            <w:r>
              <w:rPr>
                <w:rFonts w:ascii="宋体" w:hAnsi="宋体" w:cs="宋体" w:eastAsia="宋体" w:hint="default"/>
                <w:sz w:val="16"/>
                <w:szCs w:val="16"/>
              </w:rPr>
              <w:t>未达披露标准</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874"/>
        <w:jc w:val="left"/>
      </w:pPr>
      <w:r>
        <w:rPr/>
        <w:t>□ 适用 √</w:t>
      </w:r>
      <w:r>
        <w:rPr>
          <w:spacing w:val="3"/>
        </w:rPr>
        <w:t> </w:t>
      </w:r>
      <w:r>
        <w:rPr/>
        <w:t>不适用</w:t>
      </w:r>
      <w:r>
        <w:rPr/>
        <w:t> 公司报告期不存在处罚及整改情况。</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73" w:right="1123" w:hanging="361"/>
        <w:jc w:val="left"/>
      </w:pPr>
      <w:r>
        <w:rPr/>
        <w:t>√ 适用 □</w:t>
      </w:r>
      <w:r>
        <w:rPr>
          <w:spacing w:val="3"/>
        </w:rPr>
        <w:t> </w:t>
      </w:r>
      <w:r>
        <w:rPr/>
        <w:t>不适用</w:t>
      </w:r>
      <w:r>
        <w:rPr/>
        <w:t> </w:t>
      </w:r>
      <w:r>
        <w:rPr>
          <w:rFonts w:ascii="宋体" w:hAnsi="宋体" w:cs="宋体" w:eastAsia="宋体" w:hint="default"/>
        </w:rPr>
        <w:t>2018</w:t>
      </w:r>
      <w:r>
        <w:rPr/>
        <w:t>年</w:t>
      </w:r>
      <w:r>
        <w:rPr>
          <w:rFonts w:ascii="宋体" w:hAnsi="宋体" w:cs="宋体" w:eastAsia="宋体" w:hint="default"/>
        </w:rPr>
        <w:t>3</w:t>
      </w:r>
      <w:r>
        <w:rPr/>
        <w:t>月，公司第二届董事会</w:t>
      </w:r>
      <w:r>
        <w:rPr>
          <w:rFonts w:ascii="宋体" w:hAnsi="宋体" w:cs="宋体" w:eastAsia="宋体" w:hint="default"/>
        </w:rPr>
        <w:t>2018</w:t>
      </w:r>
      <w:r>
        <w:rPr/>
        <w:t>年第一次临时会议、第二届监事会</w:t>
      </w:r>
      <w:r>
        <w:rPr>
          <w:rFonts w:ascii="宋体" w:hAnsi="宋体" w:cs="宋体" w:eastAsia="宋体" w:hint="default"/>
        </w:rPr>
        <w:t>2018</w:t>
      </w:r>
      <w:r>
        <w:rPr/>
        <w:t>年第一次临时会议、</w:t>
      </w:r>
      <w:r>
        <w:rPr>
          <w:rFonts w:ascii="宋体" w:hAnsi="宋体" w:cs="宋体" w:eastAsia="宋体" w:hint="default"/>
        </w:rPr>
        <w:t>2018</w:t>
      </w:r>
      <w:r>
        <w:rPr/>
        <w:t>年第一次临时股东</w:t>
      </w:r>
    </w:p>
    <w:p>
      <w:pPr>
        <w:pStyle w:val="BodyText"/>
        <w:spacing w:line="222" w:lineRule="exact"/>
        <w:ind w:right="1133"/>
        <w:jc w:val="left"/>
      </w:pPr>
      <w:r>
        <w:rPr/>
        <w:t>大会审议通过了《关于</w:t>
      </w:r>
      <w:r>
        <w:rPr>
          <w:rFonts w:ascii="宋体" w:hAnsi="宋体" w:cs="宋体" w:eastAsia="宋体" w:hint="default"/>
        </w:rPr>
        <w:t>&lt;</w:t>
      </w:r>
      <w:r>
        <w:rPr/>
        <w:t>北京先进数通信息技术股份公司</w:t>
      </w:r>
      <w:r>
        <w:rPr>
          <w:rFonts w:ascii="宋体" w:hAnsi="宋体" w:cs="宋体" w:eastAsia="宋体" w:hint="default"/>
        </w:rPr>
        <w:t>2018</w:t>
      </w:r>
      <w:r>
        <w:rPr/>
        <w:t>年限制性股票激励计划</w:t>
      </w:r>
      <w:r>
        <w:rPr>
          <w:rFonts w:ascii="宋体" w:hAnsi="宋体" w:cs="宋体" w:eastAsia="宋体" w:hint="default"/>
        </w:rPr>
        <w:t>&gt;</w:t>
      </w:r>
      <w:r>
        <w:rPr/>
        <w:t>及其摘要的议案》等议案，根据公司</w:t>
      </w:r>
    </w:p>
    <w:p>
      <w:pPr>
        <w:spacing w:after="0" w:line="222" w:lineRule="exact"/>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8"/>
        <w:jc w:val="both"/>
      </w:pPr>
      <w:r>
        <w:rPr>
          <w:spacing w:val="-2"/>
        </w:rPr>
        <w:t>《</w:t>
      </w:r>
      <w:r>
        <w:rPr>
          <w:rFonts w:ascii="宋体" w:hAnsi="宋体" w:cs="宋体" w:eastAsia="宋体" w:hint="default"/>
          <w:spacing w:val="-2"/>
        </w:rPr>
        <w:t>2018</w:t>
      </w:r>
      <w:r>
        <w:rPr>
          <w:spacing w:val="-2"/>
        </w:rPr>
        <w:t>年限制性股票激励计划》的规定，第一个解除限售期解除限售时间为自限制性股票授予登记完成之日起</w:t>
      </w:r>
      <w:r>
        <w:rPr>
          <w:rFonts w:ascii="宋体" w:hAnsi="宋体" w:cs="宋体" w:eastAsia="宋体" w:hint="default"/>
          <w:spacing w:val="-2"/>
        </w:rPr>
        <w:t>12</w:t>
      </w:r>
      <w:r>
        <w:rPr>
          <w:spacing w:val="-2"/>
        </w:rPr>
        <w:t>个月后的首</w:t>
      </w:r>
      <w:r>
        <w:rPr>
          <w:spacing w:val="-61"/>
        </w:rPr>
        <w:t> </w:t>
      </w:r>
      <w:r>
        <w:rPr>
          <w:spacing w:val="-61"/>
        </w:rPr>
      </w:r>
      <w:r>
        <w:rPr/>
        <w:t>个交易日起至限制性股票授予登记完成之日起</w:t>
      </w:r>
      <w:r>
        <w:rPr>
          <w:rFonts w:ascii="宋体" w:hAnsi="宋体" w:cs="宋体" w:eastAsia="宋体" w:hint="default"/>
        </w:rPr>
        <w:t>24</w:t>
      </w:r>
      <w:r>
        <w:rPr/>
        <w:t>个月内的最后一个交易日当日止，解除限售比例为获授限制性股票总数的</w:t>
      </w:r>
      <w:r>
        <w:rPr>
          <w:spacing w:val="-8"/>
        </w:rPr>
        <w:t> </w:t>
      </w:r>
      <w:r>
        <w:rPr>
          <w:spacing w:val="-8"/>
        </w:rPr>
      </w:r>
      <w:r>
        <w:rPr>
          <w:rFonts w:ascii="宋体" w:hAnsi="宋体" w:cs="宋体" w:eastAsia="宋体" w:hint="default"/>
          <w:spacing w:val="-2"/>
        </w:rPr>
        <w:t>30%</w:t>
      </w:r>
      <w:r>
        <w:rPr>
          <w:spacing w:val="-2"/>
        </w:rPr>
        <w:t>。公司本次激励计划限制性股票的授予日为</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日，授予的限制性股票上市日期为</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7</w:t>
      </w:r>
      <w:r>
        <w:rPr>
          <w:spacing w:val="-2"/>
        </w:rPr>
        <w:t>日。公司本次激励</w:t>
      </w:r>
      <w:r>
        <w:rPr>
          <w:spacing w:val="-53"/>
        </w:rPr>
        <w:t> </w:t>
      </w:r>
      <w:r>
        <w:rPr>
          <w:spacing w:val="-53"/>
        </w:rPr>
      </w:r>
      <w:r>
        <w:rPr/>
        <w:t>计划授予的限制性股票第一个限售期于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7</w:t>
      </w:r>
      <w:r>
        <w:rPr/>
        <w:t>日届满。</w:t>
      </w:r>
    </w:p>
    <w:p>
      <w:pPr>
        <w:pStyle w:val="BodyText"/>
        <w:spacing w:line="316" w:lineRule="auto" w:before="17"/>
        <w:ind w:right="1128" w:firstLine="360"/>
        <w:jc w:val="both"/>
      </w:pPr>
      <w:r>
        <w:rPr>
          <w:rFonts w:ascii="宋体" w:hAnsi="宋体" w:cs="宋体" w:eastAsia="宋体" w:hint="default"/>
        </w:rPr>
        <w:t>2019</w:t>
      </w:r>
      <w:r>
        <w:rPr/>
        <w:t>年</w:t>
      </w:r>
      <w:r>
        <w:rPr>
          <w:rFonts w:ascii="宋体" w:hAnsi="宋体" w:cs="宋体" w:eastAsia="宋体" w:hint="default"/>
        </w:rPr>
        <w:t>5</w:t>
      </w:r>
      <w:r>
        <w:rPr/>
        <w:t>月，公司召开第三届董事会</w:t>
      </w:r>
      <w:r>
        <w:rPr>
          <w:rFonts w:ascii="宋体" w:hAnsi="宋体" w:cs="宋体" w:eastAsia="宋体" w:hint="default"/>
        </w:rPr>
        <w:t>2019</w:t>
      </w:r>
      <w:r>
        <w:rPr/>
        <w:t>年第三次临时会议、第三届监事会</w:t>
      </w:r>
      <w:r>
        <w:rPr>
          <w:rFonts w:ascii="宋体" w:hAnsi="宋体" w:cs="宋体" w:eastAsia="宋体" w:hint="default"/>
        </w:rPr>
        <w:t>2019</w:t>
      </w:r>
      <w:r>
        <w:rPr/>
        <w:t>年第三次临时会议审议通过了《关于调 </w:t>
      </w:r>
      <w:r>
        <w:rPr>
          <w:spacing w:val="-5"/>
        </w:rPr>
        <w:t>整</w:t>
      </w:r>
      <w:r>
        <w:rPr>
          <w:rFonts w:ascii="宋体" w:hAnsi="宋体" w:cs="宋体" w:eastAsia="宋体" w:hint="default"/>
          <w:spacing w:val="-5"/>
        </w:rPr>
        <w:t>2018</w:t>
      </w:r>
      <w:r>
        <w:rPr>
          <w:spacing w:val="-5"/>
        </w:rPr>
        <w:t>年限制性股票激励计划授予权益数量和回购价格的议案》、《关于回购注销</w:t>
      </w:r>
      <w:r>
        <w:rPr>
          <w:rFonts w:ascii="宋体" w:hAnsi="宋体" w:cs="宋体" w:eastAsia="宋体" w:hint="default"/>
          <w:spacing w:val="-5"/>
        </w:rPr>
        <w:t>2018</w:t>
      </w:r>
      <w:r>
        <w:rPr>
          <w:spacing w:val="-5"/>
        </w:rPr>
        <w:t>年限制性股票激励计划部分限制性股票</w:t>
      </w:r>
      <w:r>
        <w:rPr>
          <w:spacing w:val="-61"/>
        </w:rPr>
        <w:t> </w:t>
      </w:r>
      <w:r>
        <w:rPr>
          <w:spacing w:val="-61"/>
        </w:rPr>
      </w:r>
      <w:r>
        <w:rPr>
          <w:spacing w:val="-5"/>
        </w:rPr>
        <w:t>的议案》、《关于</w:t>
      </w:r>
      <w:r>
        <w:rPr>
          <w:rFonts w:ascii="宋体" w:hAnsi="宋体" w:cs="宋体" w:eastAsia="宋体" w:hint="default"/>
          <w:spacing w:val="-5"/>
        </w:rPr>
        <w:t>2018</w:t>
      </w:r>
      <w:r>
        <w:rPr>
          <w:spacing w:val="-5"/>
        </w:rPr>
        <w:t>年限制性股票激励计划第一个解除限售期解除限售条件成就的议案》等议案，同意</w:t>
      </w:r>
      <w:r>
        <w:rPr>
          <w:rFonts w:ascii="宋体" w:hAnsi="宋体" w:cs="宋体" w:eastAsia="宋体" w:hint="default"/>
          <w:spacing w:val="-5"/>
        </w:rPr>
        <w:t>69</w:t>
      </w:r>
      <w:r>
        <w:rPr>
          <w:spacing w:val="-5"/>
        </w:rPr>
        <w:t>名激励对象获授的</w:t>
      </w:r>
      <w:r>
        <w:rPr>
          <w:spacing w:val="-63"/>
        </w:rPr>
        <w:t> </w:t>
      </w:r>
      <w:r>
        <w:rPr>
          <w:spacing w:val="-63"/>
        </w:rPr>
      </w:r>
      <w:r>
        <w:rPr>
          <w:rFonts w:ascii="宋体" w:hAnsi="宋体" w:cs="宋体" w:eastAsia="宋体" w:hint="default"/>
        </w:rPr>
        <w:t>502,357</w:t>
      </w:r>
      <w:r>
        <w:rPr/>
        <w:t>股限制性股票解除限售。鉴于</w:t>
      </w:r>
      <w:r>
        <w:rPr>
          <w:rFonts w:ascii="宋体" w:hAnsi="宋体" w:cs="宋体" w:eastAsia="宋体" w:hint="default"/>
        </w:rPr>
        <w:t>5</w:t>
      </w:r>
      <w:r>
        <w:rPr/>
        <w:t>名公司限制性股票原激励对象已离职，公司依据限制性股票激励计划对</w:t>
      </w:r>
      <w:r>
        <w:rPr>
          <w:rFonts w:ascii="宋体" w:hAnsi="宋体" w:cs="宋体" w:eastAsia="宋体" w:hint="default"/>
        </w:rPr>
        <w:t>5</w:t>
      </w:r>
      <w:r>
        <w:rPr/>
        <w:t>人所持有的</w:t>
      </w:r>
      <w:r>
        <w:rPr>
          <w:spacing w:val="-86"/>
        </w:rPr>
        <w:t> </w:t>
      </w:r>
      <w:r>
        <w:rPr/>
        <w:t>已获授但尚未解除限售的限制性股票共计</w:t>
      </w:r>
      <w:r>
        <w:rPr>
          <w:rFonts w:ascii="宋体" w:hAnsi="宋体" w:cs="宋体" w:eastAsia="宋体" w:hint="default"/>
        </w:rPr>
        <w:t>70,274</w:t>
      </w:r>
      <w:r>
        <w:rPr/>
        <w:t>股进行回购注销，上述回购注销事项于</w:t>
      </w:r>
      <w:r>
        <w:rPr>
          <w:rFonts w:ascii="宋体" w:hAnsi="宋体" w:cs="宋体" w:eastAsia="宋体" w:hint="default"/>
        </w:rPr>
        <w:t>2019</w:t>
      </w:r>
      <w:r>
        <w:rPr/>
        <w:t>年</w:t>
      </w:r>
      <w:r>
        <w:rPr>
          <w:rFonts w:ascii="宋体" w:hAnsi="宋体" w:cs="宋体" w:eastAsia="宋体" w:hint="default"/>
        </w:rPr>
        <w:t>6</w:t>
      </w:r>
      <w:r>
        <w:rPr/>
        <w:t>月经公司</w:t>
      </w:r>
      <w:r>
        <w:rPr>
          <w:rFonts w:ascii="宋体" w:hAnsi="宋体" w:cs="宋体" w:eastAsia="宋体" w:hint="default"/>
        </w:rPr>
        <w:t>2019</w:t>
      </w:r>
      <w:r>
        <w:rPr/>
        <w:t>年第二次临时</w:t>
      </w:r>
      <w:r>
        <w:rPr>
          <w:spacing w:val="-87"/>
        </w:rPr>
        <w:t> </w:t>
      </w:r>
      <w:r>
        <w:rPr>
          <w:spacing w:val="-87"/>
        </w:rPr>
      </w:r>
      <w:r>
        <w:rPr>
          <w:spacing w:val="-8"/>
        </w:rPr>
        <w:t>股东大会审议通过。详见巨潮资讯网：《公司第三届董事会</w:t>
      </w:r>
      <w:r>
        <w:rPr>
          <w:rFonts w:ascii="宋体" w:hAnsi="宋体" w:cs="宋体" w:eastAsia="宋体" w:hint="default"/>
          <w:spacing w:val="-8"/>
        </w:rPr>
        <w:t>2019</w:t>
      </w:r>
      <w:r>
        <w:rPr>
          <w:spacing w:val="-8"/>
        </w:rPr>
        <w:t>年第三次临时会议决议公告》（公告编号</w:t>
      </w:r>
      <w:r>
        <w:rPr>
          <w:rFonts w:ascii="宋体" w:hAnsi="宋体" w:cs="宋体" w:eastAsia="宋体" w:hint="default"/>
          <w:spacing w:val="-8"/>
        </w:rPr>
        <w:t>2019-026</w:t>
      </w:r>
      <w:r>
        <w:rPr>
          <w:spacing w:val="-8"/>
        </w:rPr>
        <w:t>）、《公司第</w:t>
      </w:r>
      <w:r>
        <w:rPr>
          <w:spacing w:val="-37"/>
        </w:rPr>
        <w:t> </w:t>
      </w:r>
      <w:r>
        <w:rPr>
          <w:spacing w:val="-37"/>
        </w:rPr>
      </w:r>
      <w:r>
        <w:rPr>
          <w:spacing w:val="-8"/>
        </w:rPr>
        <w:t>三届监事会</w:t>
      </w:r>
      <w:r>
        <w:rPr>
          <w:rFonts w:ascii="宋体" w:hAnsi="宋体" w:cs="宋体" w:eastAsia="宋体" w:hint="default"/>
          <w:spacing w:val="-8"/>
        </w:rPr>
        <w:t>2019</w:t>
      </w:r>
      <w:r>
        <w:rPr>
          <w:spacing w:val="-8"/>
        </w:rPr>
        <w:t>年第三次临时会议决议公告》（公告编号</w:t>
      </w:r>
      <w:r>
        <w:rPr>
          <w:rFonts w:ascii="宋体" w:hAnsi="宋体" w:cs="宋体" w:eastAsia="宋体" w:hint="default"/>
          <w:spacing w:val="-8"/>
        </w:rPr>
        <w:t>2019-031</w:t>
      </w:r>
      <w:r>
        <w:rPr>
          <w:spacing w:val="-8"/>
        </w:rPr>
        <w:t>）、《公司</w:t>
      </w:r>
      <w:r>
        <w:rPr>
          <w:rFonts w:ascii="宋体" w:hAnsi="宋体" w:cs="宋体" w:eastAsia="宋体" w:hint="default"/>
          <w:spacing w:val="-8"/>
        </w:rPr>
        <w:t>2019</w:t>
      </w:r>
      <w:r>
        <w:rPr>
          <w:spacing w:val="-8"/>
        </w:rPr>
        <w:t>年第二次临时股东大会决议公告》（公告编号</w:t>
      </w:r>
      <w:r>
        <w:rPr>
          <w:spacing w:val="-28"/>
        </w:rPr>
        <w:t> </w:t>
      </w:r>
      <w:r>
        <w:rPr>
          <w:spacing w:val="-28"/>
        </w:rPr>
      </w:r>
      <w:r>
        <w:rPr>
          <w:rFonts w:ascii="宋体" w:hAnsi="宋体" w:cs="宋体" w:eastAsia="宋体" w:hint="default"/>
          <w:spacing w:val="-3"/>
        </w:rPr>
        <w:t>2019-034</w:t>
      </w:r>
      <w:r>
        <w:rPr>
          <w:spacing w:val="-3"/>
        </w:rPr>
        <w:t>）。截止本报告期末，上述股票回购注销事宜尚未办理完毕。</w:t>
      </w:r>
    </w:p>
    <w:p>
      <w:pPr>
        <w:pStyle w:val="BodyText"/>
        <w:spacing w:line="316" w:lineRule="auto" w:before="19"/>
        <w:ind w:right="1126" w:firstLine="360"/>
        <w:jc w:val="both"/>
      </w:pP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月，公司披露了《关于</w:t>
      </w:r>
      <w:r>
        <w:rPr>
          <w:rFonts w:ascii="宋体" w:hAnsi="宋体" w:cs="宋体" w:eastAsia="宋体" w:hint="default"/>
          <w:spacing w:val="-4"/>
        </w:rPr>
        <w:t>2018</w:t>
      </w:r>
      <w:r>
        <w:rPr>
          <w:spacing w:val="-4"/>
        </w:rPr>
        <w:t>年限制性股票激励计划第一个解除限售期解除限售股份上市流通的提示性公告》，本</w:t>
      </w:r>
      <w:r>
        <w:rPr/>
        <w:t> 次解除限售股份上市流通日：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日，本次限制性股票解除限售数量为</w:t>
      </w:r>
      <w:r>
        <w:rPr>
          <w:rFonts w:ascii="宋体" w:hAnsi="宋体" w:cs="宋体" w:eastAsia="宋体" w:hint="default"/>
        </w:rPr>
        <w:t>502,357</w:t>
      </w:r>
      <w:r>
        <w:rPr/>
        <w:t>股，占目前公司总股本</w:t>
      </w:r>
      <w:r>
        <w:rPr>
          <w:rFonts w:ascii="宋体" w:hAnsi="宋体" w:cs="宋体" w:eastAsia="宋体" w:hint="default"/>
        </w:rPr>
        <w:t>181,166,996 </w:t>
      </w:r>
      <w:r>
        <w:rPr>
          <w:spacing w:val="-4"/>
        </w:rPr>
        <w:t>股的</w:t>
      </w:r>
      <w:r>
        <w:rPr>
          <w:rFonts w:ascii="宋体" w:hAnsi="宋体" w:cs="宋体" w:eastAsia="宋体" w:hint="default"/>
          <w:spacing w:val="-4"/>
        </w:rPr>
        <w:t>0.28%</w:t>
      </w:r>
      <w:r>
        <w:rPr>
          <w:spacing w:val="-4"/>
        </w:rPr>
        <w:t>；实际上市流通的限制性股票数量为</w:t>
      </w:r>
      <w:r>
        <w:rPr>
          <w:rFonts w:ascii="宋体" w:hAnsi="宋体" w:cs="宋体" w:eastAsia="宋体" w:hint="default"/>
          <w:spacing w:val="-4"/>
        </w:rPr>
        <w:t>502,357</w:t>
      </w:r>
      <w:r>
        <w:rPr>
          <w:spacing w:val="-4"/>
        </w:rPr>
        <w:t>股，占目前公司总股本</w:t>
      </w:r>
      <w:r>
        <w:rPr>
          <w:rFonts w:ascii="宋体" w:hAnsi="宋体" w:cs="宋体" w:eastAsia="宋体" w:hint="default"/>
          <w:spacing w:val="-4"/>
        </w:rPr>
        <w:t>181,166,996</w:t>
      </w:r>
      <w:r>
        <w:rPr>
          <w:spacing w:val="-4"/>
        </w:rPr>
        <w:t>股的</w:t>
      </w:r>
      <w:r>
        <w:rPr>
          <w:rFonts w:ascii="宋体" w:hAnsi="宋体" w:cs="宋体" w:eastAsia="宋体" w:hint="default"/>
          <w:spacing w:val="-4"/>
        </w:rPr>
        <w:t>0.28%</w:t>
      </w:r>
      <w:r>
        <w:rPr>
          <w:spacing w:val="-4"/>
        </w:rPr>
        <w:t>。详见巨潮资讯网：《关</w:t>
      </w:r>
      <w:r>
        <w:rPr>
          <w:spacing w:val="-84"/>
        </w:rPr>
        <w:t> </w:t>
      </w:r>
      <w:r>
        <w:rPr>
          <w:spacing w:val="-84"/>
        </w:rPr>
      </w:r>
      <w:r>
        <w:rPr>
          <w:spacing w:val="-5"/>
        </w:rPr>
        <w:t>于</w:t>
      </w:r>
      <w:r>
        <w:rPr>
          <w:rFonts w:ascii="宋体" w:hAnsi="宋体" w:cs="宋体" w:eastAsia="宋体" w:hint="default"/>
          <w:spacing w:val="-5"/>
        </w:rPr>
        <w:t>2018</w:t>
      </w:r>
      <w:r>
        <w:rPr>
          <w:spacing w:val="-5"/>
        </w:rPr>
        <w:t>年限制性股票激励计划第一个解除限售期解除限售股份上市流通的提示性公告》（公告编号</w:t>
      </w:r>
      <w:r>
        <w:rPr>
          <w:rFonts w:ascii="宋体" w:hAnsi="宋体" w:cs="宋体" w:eastAsia="宋体" w:hint="default"/>
          <w:spacing w:val="-5"/>
        </w:rPr>
        <w:t>2019-033</w:t>
      </w:r>
      <w:r>
        <w:rPr>
          <w:spacing w:val="-5"/>
        </w:rPr>
        <w:t>）。</w:t>
      </w:r>
      <w:r>
        <w:rPr/>
      </w:r>
    </w:p>
    <w:p>
      <w:pPr>
        <w:pStyle w:val="BodyText"/>
        <w:spacing w:line="338" w:lineRule="auto" w:before="59"/>
        <w:ind w:left="475" w:right="1301" w:hanging="36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本报告期摊销的股权激励成本为</w:t>
      </w:r>
      <w:r>
        <w:rPr>
          <w:rFonts w:ascii="宋体" w:hAnsi="宋体" w:cs="宋体" w:eastAsia="宋体" w:hint="default"/>
        </w:rPr>
        <w:t>6,549,489.73</w:t>
      </w:r>
      <w:r>
        <w:rPr/>
        <w:t>元，其中核心技术人员的股权激励成本为</w:t>
      </w:r>
      <w:r>
        <w:rPr>
          <w:rFonts w:ascii="宋体" w:hAnsi="宋体" w:cs="宋体" w:eastAsia="宋体" w:hint="default"/>
        </w:rPr>
        <w:t>612,026.33</w:t>
      </w:r>
      <w:r>
        <w:rPr/>
        <w:t>元，占比</w:t>
      </w:r>
      <w:r>
        <w:rPr>
          <w:rFonts w:ascii="宋体" w:hAnsi="宋体" w:cs="宋体" w:eastAsia="宋体" w:hint="default"/>
        </w:rPr>
        <w:t>9.34%</w:t>
      </w:r>
      <w:r>
        <w:rPr/>
        <w:t>。</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614"/>
        <w:jc w:val="left"/>
      </w:pPr>
      <w:r>
        <w:rPr/>
        <w:t>□ 适用 √</w:t>
      </w:r>
      <w:r>
        <w:rPr>
          <w:spacing w:val="3"/>
        </w:rPr>
        <w:t> </w:t>
      </w:r>
      <w:r>
        <w:rPr/>
        <w:t>不适用</w:t>
      </w:r>
      <w:r>
        <w:rPr/>
        <w:t> 公司报告期未发生与日常经营相关的关联交易。</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434"/>
        <w:jc w:val="left"/>
      </w:pPr>
      <w:r>
        <w:rPr/>
        <w:t>□ 适用 √</w:t>
      </w:r>
      <w:r>
        <w:rPr>
          <w:spacing w:val="3"/>
        </w:rPr>
        <w:t> </w:t>
      </w:r>
      <w:r>
        <w:rPr/>
        <w:t>不适用</w:t>
      </w:r>
      <w:r>
        <w:rPr/>
        <w:t> 公司报告期未发生资产或股权收购、出售的关联交易。</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公司报告期未发生共同对外投资的关联交易。</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 适用 √</w:t>
      </w:r>
      <w:r>
        <w:rPr>
          <w:spacing w:val="3"/>
        </w:rPr>
        <w:t> </w:t>
      </w:r>
      <w:r>
        <w:rPr/>
        <w:t>不适用</w:t>
      </w:r>
      <w:r>
        <w:rPr/>
        <w:t> 公司报告期不存在关联债权债务往来。</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after="0" w:line="240"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公司报告期无其他重大关联交易。</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公司报告期不存在托管情况。</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公司报告期不存在承包情况。</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221"/>
        <w:jc w:val="left"/>
      </w:pPr>
      <w:r>
        <w:rPr/>
        <w:t>√ 适用 □</w:t>
      </w:r>
      <w:r>
        <w:rPr>
          <w:spacing w:val="3"/>
        </w:rPr>
        <w:t> </w:t>
      </w:r>
      <w:r>
        <w:rPr/>
        <w:t>不适用</w:t>
      </w:r>
      <w:r>
        <w:rPr/>
        <w:t> 租赁情况说明 经营性房屋租赁：</w:t>
      </w:r>
    </w:p>
    <w:p>
      <w:pPr>
        <w:pStyle w:val="BodyText"/>
        <w:spacing w:line="224" w:lineRule="exact"/>
        <w:ind w:right="1133"/>
        <w:jc w:val="left"/>
      </w:pPr>
      <w:r>
        <w:rPr/>
        <w:t>租赁方：北京东青物业管理中心</w:t>
      </w:r>
    </w:p>
    <w:p>
      <w:pPr>
        <w:pStyle w:val="BodyText"/>
        <w:spacing w:line="316" w:lineRule="auto" w:before="76"/>
        <w:ind w:right="3554"/>
        <w:jc w:val="left"/>
      </w:pPr>
      <w:r>
        <w:rPr/>
        <w:t>租赁物：北京市海淀区车道沟一号滨河大厦</w:t>
      </w:r>
      <w:r>
        <w:rPr>
          <w:rFonts w:ascii="宋体" w:hAnsi="宋体" w:cs="宋体" w:eastAsia="宋体" w:hint="default"/>
        </w:rPr>
        <w:t>D</w:t>
      </w:r>
      <w:r>
        <w:rPr/>
        <w:t>座</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7</w:t>
      </w:r>
      <w:r>
        <w:rPr/>
        <w:t>层及地下库房</w:t>
      </w:r>
      <w:r>
        <w:rPr>
          <w:rFonts w:ascii="宋体" w:hAnsi="宋体" w:cs="宋体" w:eastAsia="宋体" w:hint="default"/>
        </w:rPr>
        <w:t>201</w:t>
      </w:r>
      <w:r>
        <w:rPr/>
        <w:t>、</w:t>
      </w:r>
      <w:r>
        <w:rPr>
          <w:rFonts w:ascii="宋体" w:hAnsi="宋体" w:cs="宋体" w:eastAsia="宋体" w:hint="default"/>
        </w:rPr>
        <w:t>202-203</w:t>
      </w:r>
      <w:r>
        <w:rPr/>
        <w:t>室 报告期内金额：人民币</w:t>
      </w:r>
      <w:r>
        <w:rPr>
          <w:rFonts w:ascii="宋体" w:hAnsi="宋体" w:cs="宋体" w:eastAsia="宋体" w:hint="default"/>
        </w:rPr>
        <w:t>5,803,459</w:t>
      </w:r>
      <w:r>
        <w:rPr/>
        <w:t>元</w:t>
      </w:r>
    </w:p>
    <w:p>
      <w:pPr>
        <w:pStyle w:val="BodyText"/>
        <w:spacing w:line="240" w:lineRule="auto" w:before="60"/>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33"/>
        <w:jc w:val="left"/>
      </w:pPr>
      <w:r>
        <w:rPr/>
        <w:t>□ 适用 √</w:t>
      </w:r>
      <w:r>
        <w:rPr>
          <w:spacing w:val="3"/>
        </w:rPr>
        <w:t> </w:t>
      </w:r>
      <w:r>
        <w:rPr/>
        <w:t>不适用</w:t>
      </w:r>
    </w:p>
    <w:p>
      <w:pPr>
        <w:pStyle w:val="BodyText"/>
        <w:spacing w:line="240" w:lineRule="auto" w:before="115"/>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053"/>
        <w:jc w:val="left"/>
      </w:pPr>
      <w:r>
        <w:rPr/>
        <w:t>□ 适用 √</w:t>
      </w:r>
      <w:r>
        <w:rPr>
          <w:spacing w:val="3"/>
        </w:rPr>
        <w:t> </w:t>
      </w:r>
      <w:r>
        <w:rPr/>
        <w:t>不适用</w:t>
      </w:r>
      <w:r>
        <w:rPr/>
        <w:t> 公司报告期不存在担保情况。</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公司报告期不存在委托理财。</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公司报告期不存在委托贷款。</w:t>
      </w:r>
    </w:p>
    <w:p>
      <w:pPr>
        <w:spacing w:after="0" w:line="3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05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51" w:firstLine="360"/>
        <w:jc w:val="both"/>
      </w:pPr>
      <w:r>
        <w:rPr/>
        <w:t>公司致力信息科技进步，以为社会创造价值为使命；以追求卓越、持续发展，实现客户、员工和股东共同成功为愿景； 以诚实守信、勇于担当、团结协作、敬业进取为员工行为准则。</w:t>
      </w:r>
    </w:p>
    <w:p>
      <w:pPr>
        <w:pStyle w:val="BodyText"/>
        <w:spacing w:line="319" w:lineRule="auto" w:before="19"/>
        <w:ind w:right="1131" w:firstLine="360"/>
        <w:jc w:val="both"/>
      </w:pPr>
      <w:r>
        <w:rPr>
          <w:spacing w:val="-2"/>
        </w:rPr>
        <w:t>公司依法合规经营，按章纳税、积极缴纳各项社保费用，并注重公司信用体系建设，公司连续多年获得中国软件行业协</w:t>
      </w:r>
      <w:r>
        <w:rPr/>
        <w:t> 会、北京市软件和信息服务业协会、北京企业评价协会的</w:t>
      </w:r>
      <w:r>
        <w:rPr>
          <w:rFonts w:ascii="宋体" w:hAnsi="宋体" w:cs="宋体" w:eastAsia="宋体" w:hint="default"/>
        </w:rPr>
        <w:t>AAA</w:t>
      </w:r>
      <w:r>
        <w:rPr/>
        <w:t>级信用评价，并获得北京市软件和信息服务业协会授予的北京 市诚信创建企业称号。</w:t>
      </w:r>
    </w:p>
    <w:p>
      <w:pPr>
        <w:pStyle w:val="BodyText"/>
        <w:spacing w:line="316" w:lineRule="auto" w:before="17"/>
        <w:ind w:right="1040" w:firstLine="360"/>
        <w:jc w:val="both"/>
      </w:pPr>
      <w:r>
        <w:rPr>
          <w:spacing w:val="-4"/>
        </w:rPr>
        <w:t>公司秉承客户第一、服务至上的理念，为客户提供优质的产品与服务。公司与很多客户建立了超过</w:t>
      </w:r>
      <w:r>
        <w:rPr>
          <w:rFonts w:ascii="宋体" w:hAnsi="宋体" w:cs="宋体" w:eastAsia="宋体" w:hint="default"/>
          <w:spacing w:val="-4"/>
        </w:rPr>
        <w:t>10</w:t>
      </w:r>
      <w:r>
        <w:rPr>
          <w:spacing w:val="-4"/>
        </w:rPr>
        <w:t>年的长期合作关系，</w:t>
      </w:r>
      <w:r>
        <w:rPr/>
        <w:t> 与客户长期建立的相互信赖关系成为公司重要的竞争优势。</w:t>
      </w:r>
    </w:p>
    <w:p>
      <w:pPr>
        <w:pStyle w:val="BodyText"/>
        <w:spacing w:line="316" w:lineRule="auto" w:before="19"/>
        <w:ind w:left="473" w:right="0"/>
        <w:jc w:val="left"/>
      </w:pPr>
      <w:r>
        <w:rPr>
          <w:spacing w:val="-4"/>
        </w:rPr>
        <w:t>公司与供应商建立了长期、持续的良好合作关系，信守合同，按时支付供应商各类款项，营造了和谐的上下游合作生态。</w:t>
      </w:r>
      <w:r>
        <w:rPr>
          <w:spacing w:val="-54"/>
        </w:rPr>
        <w:t> </w:t>
      </w:r>
      <w:r>
        <w:rPr>
          <w:spacing w:val="-54"/>
        </w:rPr>
      </w:r>
      <w:r>
        <w:rPr>
          <w:spacing w:val="-2"/>
        </w:rPr>
        <w:t>公司重视员工权益，严格遵守《劳动法》等相关法律法规，在为员工提供良好的工作环境与职业发展机会的同时，通过</w:t>
      </w:r>
    </w:p>
    <w:p>
      <w:pPr>
        <w:pStyle w:val="BodyText"/>
        <w:spacing w:line="316" w:lineRule="auto" w:before="19"/>
        <w:ind w:right="0"/>
        <w:jc w:val="left"/>
      </w:pPr>
      <w:r>
        <w:rPr>
          <w:spacing w:val="-4"/>
        </w:rPr>
        <w:t>薪酬、年度奖励、股权激励以及多种福利制度，吸引优秀人才。公司定期通过各种形式的团建活动，促进员工交流，并鼓励、</w:t>
      </w:r>
      <w:r>
        <w:rPr>
          <w:spacing w:val="-44"/>
        </w:rPr>
        <w:t> </w:t>
      </w:r>
      <w:r>
        <w:rPr>
          <w:spacing w:val="-44"/>
        </w:rPr>
      </w:r>
      <w:r>
        <w:rPr/>
        <w:t>资助员工参与各类小型公益活动。</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报告期公司暂未开展精准扶贫工作，也暂无后续精准扶贫计划。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pStyle w:val="BodyText"/>
        <w:spacing w:line="240" w:lineRule="auto" w:before="27"/>
        <w:ind w:right="1133"/>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154"/>
        <w:jc w:val="left"/>
      </w:pPr>
      <w:r>
        <w:rPr/>
        <w:t>□ 适用 √</w:t>
      </w:r>
      <w:r>
        <w:rPr>
          <w:spacing w:val="3"/>
        </w:rPr>
        <w:t> </w:t>
      </w:r>
      <w:r>
        <w:rPr/>
        <w:t>不适用</w:t>
      </w:r>
      <w:r>
        <w:rPr/>
        <w:t> 公司报告期不存在需要说明的其他重大事项。</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224" w:right="1123"/>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412" w:right="1123"/>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12" w:right="1123"/>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050"/>
        <w:gridCol w:w="1174"/>
        <w:gridCol w:w="823"/>
        <w:gridCol w:w="665"/>
        <w:gridCol w:w="595"/>
        <w:gridCol w:w="725"/>
        <w:gridCol w:w="1140"/>
        <w:gridCol w:w="1150"/>
        <w:gridCol w:w="1138"/>
        <w:gridCol w:w="794"/>
      </w:tblGrid>
      <w:tr>
        <w:trPr>
          <w:trHeight w:val="403" w:hRule="exact"/>
        </w:trPr>
        <w:tc>
          <w:tcPr>
            <w:tcW w:w="2050" w:type="dxa"/>
            <w:vMerge w:val="restart"/>
            <w:tcBorders>
              <w:top w:val="single" w:sz="4" w:space="0" w:color="000000"/>
              <w:left w:val="single" w:sz="4" w:space="0" w:color="000000"/>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50"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6" w:right="14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送股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97" w:right="113" w:hanging="80"/>
              <w:jc w:val="left"/>
              <w:rPr>
                <w:rFonts w:ascii="宋体" w:hAnsi="宋体" w:cs="宋体" w:eastAsia="宋体" w:hint="default"/>
                <w:sz w:val="16"/>
                <w:szCs w:val="16"/>
              </w:rPr>
            </w:pPr>
            <w:r>
              <w:rPr>
                <w:rFonts w:ascii="宋体" w:hAnsi="宋体" w:cs="宋体" w:eastAsia="宋体" w:hint="default"/>
                <w:sz w:val="16"/>
                <w:szCs w:val="16"/>
              </w:rPr>
              <w:t>公积金</w:t>
            </w:r>
            <w:r>
              <w:rPr>
                <w:rFonts w:ascii="宋体" w:hAnsi="宋体" w:cs="宋体" w:eastAsia="宋体" w:hint="default"/>
                <w:spacing w:val="-78"/>
                <w:sz w:val="16"/>
                <w:szCs w:val="16"/>
              </w:rPr>
              <w:t> </w:t>
            </w:r>
            <w:r>
              <w:rPr>
                <w:rFonts w:ascii="宋体" w:hAnsi="宋体" w:cs="宋体" w:eastAsia="宋体" w:hint="default"/>
                <w:sz w:val="16"/>
                <w:szCs w:val="16"/>
              </w:rPr>
              <w:t>转股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105,502,297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-67,080,112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-67,080,112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38,422,185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21.22%</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105,502,297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-67,080,112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-67,080,112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38,422,185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21.22%</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15,962,737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8.81%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-15,962,737</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-15,962,737</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89,539,560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49.42%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-51,117,375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-51,117,375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38,422,185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21.22%</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75,664,699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41.77%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67,009,838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67,009,838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142,674,537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78.78%</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75,664,699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41.77%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67,009,838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67,009,838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142,674,537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78.78%</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181,166,996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center"/>
              <w:rPr>
                <w:rFonts w:ascii="Times New Roman" w:hAnsi="Times New Roman" w:cs="Times New Roman" w:eastAsia="Times New Roman" w:hint="default"/>
                <w:sz w:val="16"/>
                <w:szCs w:val="16"/>
              </w:rPr>
            </w:pPr>
            <w:r>
              <w:rPr>
                <w:rFonts w:ascii="Times New Roman"/>
                <w:sz w:val="16"/>
              </w:rPr>
              <w:t>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-70,274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181,096,722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6"/>
                <w:szCs w:val="16"/>
              </w:rPr>
            </w:pPr>
            <w:r>
              <w:rPr>
                <w:rFonts w:ascii="Times New Roman"/>
                <w:spacing w:val="-1"/>
                <w:sz w:val="16"/>
              </w:rPr>
              <w:t>100.00%</w:t>
            </w:r>
          </w:p>
        </w:tc>
      </w:tr>
    </w:tbl>
    <w:p>
      <w:pPr>
        <w:pStyle w:val="BodyText"/>
        <w:spacing w:line="240" w:lineRule="auto" w:before="49"/>
        <w:ind w:left="412" w:right="1123"/>
        <w:jc w:val="left"/>
      </w:pPr>
      <w:r>
        <w:rPr/>
        <w:t>股份变动的原因</w:t>
      </w:r>
    </w:p>
    <w:p>
      <w:pPr>
        <w:pStyle w:val="BodyText"/>
        <w:spacing w:line="360" w:lineRule="auto" w:before="115"/>
        <w:ind w:left="773" w:right="1123" w:hanging="361"/>
        <w:jc w:val="left"/>
      </w:pPr>
      <w:r>
        <w:rPr/>
        <w:t>√ 适用 □</w:t>
      </w:r>
      <w:r>
        <w:rPr>
          <w:spacing w:val="3"/>
        </w:rPr>
        <w:t> </w:t>
      </w:r>
      <w:r>
        <w:rPr/>
        <w:t>不适用</w:t>
      </w:r>
      <w:r>
        <w:rPr/>
        <w:t> 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日召开了第三届董事会</w:t>
      </w:r>
      <w:r>
        <w:rPr>
          <w:rFonts w:ascii="宋体" w:hAnsi="宋体" w:cs="宋体" w:eastAsia="宋体" w:hint="default"/>
        </w:rPr>
        <w:t>2019</w:t>
      </w:r>
      <w:r>
        <w:rPr/>
        <w:t>年第三次临时会议、第三届监事会</w:t>
      </w:r>
      <w:r>
        <w:rPr>
          <w:rFonts w:ascii="宋体" w:hAnsi="宋体" w:cs="宋体" w:eastAsia="宋体" w:hint="default"/>
        </w:rPr>
        <w:t>2019</w:t>
      </w:r>
      <w:r>
        <w:rPr/>
        <w:t>年第三次临时会议，审议通过了</w:t>
      </w:r>
    </w:p>
    <w:p>
      <w:pPr>
        <w:pStyle w:val="BodyText"/>
        <w:spacing w:line="222" w:lineRule="exact"/>
        <w:ind w:left="412" w:right="0"/>
        <w:jc w:val="left"/>
      </w:pPr>
      <w:r>
        <w:rPr/>
        <w:t>《关于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年限制性股票激励计划第一个解除限售期解除</w:t>
      </w:r>
      <w:r>
        <w:rPr>
          <w:spacing w:val="2"/>
        </w:rPr>
        <w:t>限</w:t>
      </w:r>
      <w:r>
        <w:rPr/>
        <w:t>售条件成就的议案</w:t>
      </w:r>
      <w:r>
        <w:rPr>
          <w:spacing w:val="-89"/>
        </w:rPr>
        <w:t>》</w:t>
      </w:r>
      <w:r>
        <w:rPr/>
        <w:t>，同意公司</w:t>
      </w:r>
      <w:r>
        <w:rPr>
          <w:spacing w:val="1"/>
        </w:rPr>
        <w:t>为</w:t>
      </w:r>
      <w:r>
        <w:rPr>
          <w:rFonts w:ascii="宋体" w:hAnsi="宋体" w:cs="宋体" w:eastAsia="宋体" w:hint="default"/>
          <w:spacing w:val="1"/>
        </w:rPr>
        <w:t>69</w:t>
      </w:r>
      <w:r>
        <w:rPr/>
        <w:t>名激励对象办理第一个解除</w:t>
      </w:r>
    </w:p>
    <w:p>
      <w:pPr>
        <w:pStyle w:val="BodyText"/>
        <w:spacing w:line="316" w:lineRule="auto" w:before="76"/>
        <w:ind w:left="773" w:right="1123" w:hanging="361"/>
        <w:jc w:val="left"/>
      </w:pPr>
      <w:r>
        <w:rPr/>
        <w:t>限售期的</w:t>
      </w:r>
      <w:r>
        <w:rPr>
          <w:rFonts w:ascii="宋体" w:hAnsi="宋体" w:cs="宋体" w:eastAsia="宋体" w:hint="default"/>
        </w:rPr>
        <w:t>502,357</w:t>
      </w:r>
      <w:r>
        <w:rPr/>
        <w:t>股限制性股票的解除限售手续。本次解除限售股份于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日上市流通。 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日召开了第三届董事会</w:t>
      </w:r>
      <w:r>
        <w:rPr>
          <w:rFonts w:ascii="宋体" w:hAnsi="宋体" w:cs="宋体" w:eastAsia="宋体" w:hint="default"/>
        </w:rPr>
        <w:t>2019</w:t>
      </w:r>
      <w:r>
        <w:rPr/>
        <w:t>年第三次临时会议、第三届监事会</w:t>
      </w:r>
      <w:r>
        <w:rPr>
          <w:rFonts w:ascii="宋体" w:hAnsi="宋体" w:cs="宋体" w:eastAsia="宋体" w:hint="default"/>
        </w:rPr>
        <w:t>2019</w:t>
      </w:r>
      <w:r>
        <w:rPr/>
        <w:t>年第三次临时会议，审议通过了</w:t>
      </w:r>
    </w:p>
    <w:p>
      <w:pPr>
        <w:pStyle w:val="BodyText"/>
        <w:spacing w:line="316" w:lineRule="auto" w:before="19"/>
        <w:ind w:left="412" w:right="1132"/>
        <w:jc w:val="both"/>
      </w:pPr>
      <w:r>
        <w:rPr>
          <w:spacing w:val="-2"/>
        </w:rPr>
        <w:t>《关于回购注销</w:t>
      </w:r>
      <w:r>
        <w:rPr>
          <w:rFonts w:ascii="宋体" w:hAnsi="宋体" w:cs="宋体" w:eastAsia="宋体" w:hint="default"/>
          <w:spacing w:val="-2"/>
        </w:rPr>
        <w:t>2018</w:t>
      </w:r>
      <w:r>
        <w:rPr>
          <w:spacing w:val="-2"/>
        </w:rPr>
        <w:t>年限制性股票激励计划部分限制性股票的议案》，同意公司回购注销部分激励对象已获授但尚未解除限</w:t>
      </w:r>
      <w:r>
        <w:rPr>
          <w:spacing w:val="-62"/>
        </w:rPr>
        <w:t> </w:t>
      </w:r>
      <w:r>
        <w:rPr>
          <w:spacing w:val="-62"/>
        </w:rPr>
      </w:r>
      <w:r>
        <w:rPr/>
        <w:t>售的限制性股票</w:t>
      </w:r>
      <w:r>
        <w:rPr>
          <w:rFonts w:ascii="宋体" w:hAnsi="宋体" w:cs="宋体" w:eastAsia="宋体" w:hint="default"/>
        </w:rPr>
        <w:t>70,274</w:t>
      </w:r>
      <w:r>
        <w:rPr/>
        <w:t>股。公司已于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日在中国证券登记结算有限责任公司深圳分公司完成已回购股票的注销事 宜。</w:t>
      </w:r>
    </w:p>
    <w:p>
      <w:pPr>
        <w:pStyle w:val="BodyText"/>
        <w:spacing w:line="316" w:lineRule="auto" w:before="19"/>
        <w:ind w:left="412" w:right="1131" w:firstLine="360"/>
        <w:jc w:val="both"/>
      </w:pPr>
      <w:r>
        <w:rPr>
          <w:spacing w:val="-9"/>
        </w:rPr>
        <w:t>根据《公司法》、《证券法》、《深圳证券交易所创业板上市公司规范运作指引》等相关法律法规的规定，以及公司首次公</w:t>
      </w:r>
      <w:r>
        <w:rPr/>
        <w:t> 开发行股票前股东在上市公告书及招股说明书中的承诺，公司为首次公开发行前已发行的股份</w:t>
      </w:r>
      <w:r>
        <w:rPr>
          <w:rFonts w:ascii="宋体" w:hAnsi="宋体" w:cs="宋体" w:eastAsia="宋体" w:hint="default"/>
        </w:rPr>
        <w:t>103,757,417</w:t>
      </w:r>
      <w:r>
        <w:rPr/>
        <w:t>股办理了解除限</w:t>
      </w:r>
      <w:r>
        <w:rPr>
          <w:spacing w:val="-86"/>
        </w:rPr>
        <w:t> </w:t>
      </w:r>
      <w:r>
        <w:rPr>
          <w:spacing w:val="-86"/>
        </w:rPr>
      </w:r>
      <w:r>
        <w:rPr/>
        <w:t>售手续，本次解除限售股份已于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日上市流通。</w:t>
      </w:r>
    </w:p>
    <w:p>
      <w:pPr>
        <w:spacing w:after="0" w:line="316" w:lineRule="auto"/>
        <w:jc w:val="both"/>
        <w:sectPr>
          <w:pgSz w:w="11910" w:h="16840"/>
          <w:pgMar w:header="906" w:footer="1021" w:top="1100" w:bottom="1220" w:left="72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both"/>
      </w:pPr>
      <w:r>
        <w:rPr/>
        <w:t>股份变动的批准情况</w:t>
      </w:r>
    </w:p>
    <w:p>
      <w:pPr>
        <w:pStyle w:val="BodyText"/>
        <w:spacing w:line="240" w:lineRule="auto" w:before="117"/>
        <w:ind w:right="0"/>
        <w:jc w:val="both"/>
      </w:pPr>
      <w:r>
        <w:rPr/>
        <w:t>√ 适用 □</w:t>
      </w:r>
      <w:r>
        <w:rPr>
          <w:spacing w:val="3"/>
        </w:rPr>
        <w:t> </w:t>
      </w:r>
      <w:r>
        <w:rPr/>
        <w:t>不适用</w:t>
      </w:r>
    </w:p>
    <w:p>
      <w:pPr>
        <w:pStyle w:val="BodyText"/>
        <w:spacing w:line="316" w:lineRule="auto" w:before="115"/>
        <w:ind w:left="473" w:right="1123"/>
        <w:jc w:val="left"/>
      </w:pPr>
      <w:r>
        <w:rPr/>
        <w:t>（</w:t>
      </w:r>
      <w:r>
        <w:rPr>
          <w:rFonts w:ascii="宋体" w:hAnsi="宋体" w:cs="宋体" w:eastAsia="宋体" w:hint="default"/>
        </w:rPr>
        <w:t>1</w:t>
      </w:r>
      <w:r>
        <w:rPr/>
        <w:t>）股份解除限售的批准情况 </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日，公司召开了第三届董事会</w:t>
      </w:r>
      <w:r>
        <w:rPr>
          <w:rFonts w:ascii="宋体" w:hAnsi="宋体" w:cs="宋体" w:eastAsia="宋体" w:hint="default"/>
        </w:rPr>
        <w:t>2019</w:t>
      </w:r>
      <w:r>
        <w:rPr/>
        <w:t>年第三次临时会议，审议通过了《关于</w:t>
      </w:r>
      <w:r>
        <w:rPr>
          <w:rFonts w:ascii="宋体" w:hAnsi="宋体" w:cs="宋体" w:eastAsia="宋体" w:hint="default"/>
        </w:rPr>
        <w:t>2018</w:t>
      </w:r>
      <w:r>
        <w:rPr/>
        <w:t>年限制性股票激励计划第一</w:t>
      </w:r>
    </w:p>
    <w:p>
      <w:pPr>
        <w:pStyle w:val="BodyText"/>
        <w:spacing w:line="316" w:lineRule="auto" w:before="19"/>
        <w:ind w:right="0"/>
        <w:jc w:val="left"/>
      </w:pPr>
      <w:r>
        <w:rPr>
          <w:spacing w:val="-4"/>
        </w:rPr>
        <w:t>个解除限售期解除限售条件成就的议案》。认为：根据《上市公司股权激励管理办法》、公司《</w:t>
      </w:r>
      <w:r>
        <w:rPr>
          <w:rFonts w:ascii="宋体" w:hAnsi="宋体" w:cs="宋体" w:eastAsia="宋体" w:hint="default"/>
          <w:spacing w:val="-4"/>
        </w:rPr>
        <w:t>2018</w:t>
      </w:r>
      <w:r>
        <w:rPr>
          <w:spacing w:val="-4"/>
        </w:rPr>
        <w:t>年限制性股票激励计划》</w:t>
      </w:r>
      <w:r>
        <w:rPr>
          <w:spacing w:val="-38"/>
        </w:rPr>
        <w:t> </w:t>
      </w:r>
      <w:r>
        <w:rPr>
          <w:spacing w:val="-2"/>
        </w:rPr>
        <w:t>等有关规定以及公司</w:t>
      </w:r>
      <w:r>
        <w:rPr>
          <w:rFonts w:ascii="宋体" w:hAnsi="宋体" w:cs="宋体" w:eastAsia="宋体" w:hint="default"/>
          <w:spacing w:val="-2"/>
        </w:rPr>
        <w:t>2018</w:t>
      </w:r>
      <w:r>
        <w:rPr>
          <w:spacing w:val="-2"/>
        </w:rPr>
        <w:t>年第一次临时股东大会的授权，公司</w:t>
      </w:r>
      <w:r>
        <w:rPr>
          <w:rFonts w:ascii="宋体" w:hAnsi="宋体" w:cs="宋体" w:eastAsia="宋体" w:hint="default"/>
          <w:spacing w:val="-2"/>
        </w:rPr>
        <w:t>2018</w:t>
      </w:r>
      <w:r>
        <w:rPr>
          <w:spacing w:val="-2"/>
        </w:rPr>
        <w:t>年限制性股票激励计划第一个解除限售期可解除限售条件</w:t>
      </w:r>
      <w:r>
        <w:rPr>
          <w:spacing w:val="-60"/>
        </w:rPr>
        <w:t> </w:t>
      </w:r>
      <w:r>
        <w:rPr>
          <w:spacing w:val="-60"/>
        </w:rPr>
      </w:r>
      <w:r>
        <w:rPr/>
        <w:t>已满足，公司</w:t>
      </w:r>
      <w:r>
        <w:rPr>
          <w:rFonts w:ascii="宋体" w:hAnsi="宋体" w:cs="宋体" w:eastAsia="宋体" w:hint="default"/>
        </w:rPr>
        <w:t>69</w:t>
      </w:r>
      <w:r>
        <w:rPr/>
        <w:t>名激励对象在第一个解除限售期可解除限售的限制性股票数量为</w:t>
      </w:r>
      <w:r>
        <w:rPr>
          <w:rFonts w:ascii="宋体" w:hAnsi="宋体" w:cs="宋体" w:eastAsia="宋体" w:hint="default"/>
        </w:rPr>
        <w:t>502,357</w:t>
      </w:r>
      <w:r>
        <w:rPr/>
        <w:t>股。公司独立董事对此发表了明确</w:t>
      </w:r>
      <w:r>
        <w:rPr>
          <w:spacing w:val="-85"/>
        </w:rPr>
        <w:t> </w:t>
      </w:r>
      <w:r>
        <w:rPr>
          <w:spacing w:val="-85"/>
        </w:rPr>
      </w:r>
      <w:r>
        <w:rPr/>
        <w:t>同意的独立意见。</w:t>
      </w:r>
    </w:p>
    <w:p>
      <w:pPr>
        <w:pStyle w:val="BodyText"/>
        <w:spacing w:line="316" w:lineRule="auto" w:before="19"/>
        <w:ind w:right="0" w:firstLine="360"/>
        <w:jc w:val="left"/>
      </w:pPr>
      <w:r>
        <w:rPr>
          <w:spacing w:val="-2"/>
        </w:rPr>
        <w:t>同日，公司召开了第三届监事会</w:t>
      </w:r>
      <w:r>
        <w:rPr>
          <w:rFonts w:ascii="宋体" w:hAnsi="宋体" w:cs="宋体" w:eastAsia="宋体" w:hint="default"/>
          <w:spacing w:val="-2"/>
        </w:rPr>
        <w:t>2019</w:t>
      </w:r>
      <w:r>
        <w:rPr>
          <w:spacing w:val="-2"/>
        </w:rPr>
        <w:t>年第三次临时会议，审议通过了《关于</w:t>
      </w:r>
      <w:r>
        <w:rPr>
          <w:rFonts w:ascii="宋体" w:hAnsi="宋体" w:cs="宋体" w:eastAsia="宋体" w:hint="default"/>
          <w:spacing w:val="-2"/>
        </w:rPr>
        <w:t>2018</w:t>
      </w:r>
      <w:r>
        <w:rPr>
          <w:spacing w:val="-2"/>
        </w:rPr>
        <w:t>年限制性股票激励计划第一个解除限售</w:t>
      </w:r>
      <w:r>
        <w:rPr/>
        <w:t> </w:t>
      </w:r>
      <w:r>
        <w:rPr>
          <w:spacing w:val="-2"/>
        </w:rPr>
        <w:t>期解除限售条件成就的议案》。同意公司为</w:t>
      </w:r>
      <w:r>
        <w:rPr>
          <w:rFonts w:ascii="宋体" w:hAnsi="宋体" w:cs="宋体" w:eastAsia="宋体" w:hint="default"/>
          <w:spacing w:val="-2"/>
        </w:rPr>
        <w:t>69</w:t>
      </w:r>
      <w:r>
        <w:rPr>
          <w:spacing w:val="-2"/>
        </w:rPr>
        <w:t>名激励对象办理第一个解除限售期</w:t>
      </w:r>
      <w:r>
        <w:rPr>
          <w:rFonts w:ascii="宋体" w:hAnsi="宋体" w:cs="宋体" w:eastAsia="宋体" w:hint="default"/>
          <w:spacing w:val="-2"/>
        </w:rPr>
        <w:t>502,357</w:t>
      </w:r>
      <w:r>
        <w:rPr>
          <w:spacing w:val="-2"/>
        </w:rPr>
        <w:t>股限制性股票的解除限售手续。</w:t>
      </w:r>
    </w:p>
    <w:p>
      <w:pPr>
        <w:pStyle w:val="BodyText"/>
        <w:spacing w:line="316" w:lineRule="auto" w:before="19"/>
        <w:ind w:left="473" w:right="1123"/>
        <w:jc w:val="left"/>
      </w:pPr>
      <w:r>
        <w:rPr/>
        <w:t>（</w:t>
      </w:r>
      <w:r>
        <w:rPr>
          <w:rFonts w:ascii="宋体" w:hAnsi="宋体" w:cs="宋体" w:eastAsia="宋体" w:hint="default"/>
        </w:rPr>
        <w:t>2</w:t>
      </w:r>
      <w:r>
        <w:rPr/>
        <w:t>）股份回购注销的批准情况 </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日，公司召开了第三届董事会</w:t>
      </w:r>
      <w:r>
        <w:rPr>
          <w:rFonts w:ascii="宋体" w:hAnsi="宋体" w:cs="宋体" w:eastAsia="宋体" w:hint="default"/>
        </w:rPr>
        <w:t>2019</w:t>
      </w:r>
      <w:r>
        <w:rPr/>
        <w:t>年第三次临时会议，审议通过了《关于回购注销</w:t>
      </w:r>
      <w:r>
        <w:rPr>
          <w:rFonts w:ascii="宋体" w:hAnsi="宋体" w:cs="宋体" w:eastAsia="宋体" w:hint="default"/>
        </w:rPr>
        <w:t>2018</w:t>
      </w:r>
      <w:r>
        <w:rPr/>
        <w:t>年限制性股票激励</w:t>
      </w:r>
    </w:p>
    <w:p>
      <w:pPr>
        <w:pStyle w:val="BodyText"/>
        <w:spacing w:line="316" w:lineRule="auto" w:before="19"/>
        <w:ind w:right="1132"/>
        <w:jc w:val="both"/>
      </w:pPr>
      <w:r>
        <w:rPr>
          <w:spacing w:val="-2"/>
        </w:rPr>
        <w:t>计划部分限制性股票的议案》。认为：公司本次回购注销部分激励对象已获授但尚未解除限售的限制性股票，符合《上市公</w:t>
      </w:r>
      <w:r>
        <w:rPr>
          <w:spacing w:val="-65"/>
        </w:rPr>
        <w:t> </w:t>
      </w:r>
      <w:r>
        <w:rPr>
          <w:spacing w:val="-65"/>
        </w:rPr>
      </w:r>
      <w:r>
        <w:rPr>
          <w:spacing w:val="-2"/>
        </w:rPr>
        <w:t>司股权激励管理办法》、公司《</w:t>
      </w:r>
      <w:r>
        <w:rPr>
          <w:rFonts w:ascii="宋体" w:hAnsi="宋体" w:cs="宋体" w:eastAsia="宋体" w:hint="default"/>
          <w:spacing w:val="-2"/>
        </w:rPr>
        <w:t>2018</w:t>
      </w:r>
      <w:r>
        <w:rPr>
          <w:spacing w:val="-2"/>
        </w:rPr>
        <w:t>年限制性股票激励计划》的相关规定，程序合法合规，不会对公司的财务状况和经营成</w:t>
      </w:r>
      <w:r>
        <w:rPr>
          <w:spacing w:val="-61"/>
        </w:rPr>
        <w:t> </w:t>
      </w:r>
      <w:r>
        <w:rPr>
          <w:spacing w:val="-61"/>
        </w:rPr>
      </w:r>
      <w:r>
        <w:rPr/>
        <w:t>果产生实质性影响，也不会影响公司管理团队的勤勉尽职。公司独立董事对此事项发表了明确同意的独立意见。</w:t>
      </w:r>
    </w:p>
    <w:p>
      <w:pPr>
        <w:pStyle w:val="BodyText"/>
        <w:spacing w:line="316" w:lineRule="auto" w:before="19"/>
        <w:ind w:right="1034" w:firstLine="360"/>
        <w:jc w:val="left"/>
      </w:pPr>
      <w:r>
        <w:rPr>
          <w:spacing w:val="-2"/>
        </w:rPr>
        <w:t>同日，公司召开了第三届监事会</w:t>
      </w:r>
      <w:r>
        <w:rPr>
          <w:rFonts w:ascii="宋体" w:hAnsi="宋体" w:cs="宋体" w:eastAsia="宋体" w:hint="default"/>
          <w:spacing w:val="-2"/>
        </w:rPr>
        <w:t>2019</w:t>
      </w:r>
      <w:r>
        <w:rPr>
          <w:spacing w:val="-2"/>
        </w:rPr>
        <w:t>年第三次临时会议，审议通过了《关于回购注销</w:t>
      </w:r>
      <w:r>
        <w:rPr>
          <w:rFonts w:ascii="宋体" w:hAnsi="宋体" w:cs="宋体" w:eastAsia="宋体" w:hint="default"/>
          <w:spacing w:val="-2"/>
        </w:rPr>
        <w:t>2018</w:t>
      </w:r>
      <w:r>
        <w:rPr>
          <w:spacing w:val="-2"/>
        </w:rPr>
        <w:t>年限制性股票激励计划部分限</w:t>
      </w:r>
      <w:r>
        <w:rPr/>
        <w:t> </w:t>
      </w:r>
      <w:r>
        <w:rPr>
          <w:spacing w:val="-2"/>
        </w:rPr>
        <w:t>制性股票的议案》，认为：公司</w:t>
      </w:r>
      <w:r>
        <w:rPr>
          <w:rFonts w:ascii="宋体" w:hAnsi="宋体" w:cs="宋体" w:eastAsia="宋体" w:hint="default"/>
          <w:spacing w:val="-2"/>
        </w:rPr>
        <w:t>2018</w:t>
      </w:r>
      <w:r>
        <w:rPr>
          <w:spacing w:val="-2"/>
        </w:rPr>
        <w:t>年限制性股票激励计划授予的激励对象</w:t>
      </w:r>
      <w:r>
        <w:rPr>
          <w:rFonts w:ascii="宋体" w:hAnsi="宋体" w:cs="宋体" w:eastAsia="宋体" w:hint="default"/>
          <w:spacing w:val="-2"/>
        </w:rPr>
        <w:t>5</w:t>
      </w:r>
      <w:r>
        <w:rPr>
          <w:spacing w:val="-2"/>
        </w:rPr>
        <w:t>人已离职，根据《上市公司股权激励管理办法》</w:t>
      </w:r>
      <w:r>
        <w:rPr>
          <w:spacing w:val="-66"/>
        </w:rPr>
        <w:t> </w:t>
      </w:r>
      <w:r>
        <w:rPr/>
        <w:t>等有关法律、法规和规范性文件以及公司《</w:t>
      </w:r>
      <w:r>
        <w:rPr>
          <w:rFonts w:ascii="宋体" w:hAnsi="宋体" w:cs="宋体" w:eastAsia="宋体" w:hint="default"/>
        </w:rPr>
        <w:t>2018</w:t>
      </w:r>
      <w:r>
        <w:rPr/>
        <w:t>年限制性股票激励计划》的规定，上述人员已不符合股权激励对象的条件， 同意对其持有的已获授但尚未解除限售的共计</w:t>
      </w:r>
      <w:r>
        <w:rPr>
          <w:rFonts w:ascii="宋体" w:hAnsi="宋体" w:cs="宋体" w:eastAsia="宋体" w:hint="default"/>
        </w:rPr>
        <w:t>70,274</w:t>
      </w:r>
      <w:r>
        <w:rPr/>
        <w:t>股限制性股票进行回购注销。</w:t>
      </w:r>
    </w:p>
    <w:p>
      <w:pPr>
        <w:pStyle w:val="BodyText"/>
        <w:spacing w:line="240" w:lineRule="auto" w:before="59"/>
        <w:ind w:right="0"/>
        <w:jc w:val="both"/>
      </w:pPr>
      <w:r>
        <w:rPr/>
        <w:t>股份变动的过户情况</w:t>
      </w:r>
    </w:p>
    <w:p>
      <w:pPr>
        <w:pStyle w:val="BodyText"/>
        <w:spacing w:line="357" w:lineRule="auto" w:before="117"/>
        <w:ind w:right="8774"/>
        <w:jc w:val="left"/>
      </w:pPr>
      <w:r>
        <w:rPr/>
        <w:t>□ 适用 √</w:t>
      </w:r>
      <w:r>
        <w:rPr>
          <w:spacing w:val="3"/>
        </w:rPr>
        <w:t> </w:t>
      </w:r>
      <w:r>
        <w:rPr/>
        <w:t>不适用</w:t>
      </w:r>
      <w:r>
        <w:rPr/>
        <w:t> 股份回购的实施进展情况</w:t>
      </w:r>
    </w:p>
    <w:p>
      <w:pPr>
        <w:pStyle w:val="BodyText"/>
        <w:spacing w:line="360" w:lineRule="auto" w:before="29"/>
        <w:ind w:left="473" w:right="8053" w:hanging="361"/>
        <w:jc w:val="left"/>
      </w:pPr>
      <w:r>
        <w:rPr/>
        <w:t>√ 适用 □</w:t>
      </w:r>
      <w:r>
        <w:rPr>
          <w:spacing w:val="3"/>
        </w:rPr>
        <w:t> </w:t>
      </w:r>
      <w:r>
        <w:rPr/>
        <w:t>不适用</w:t>
      </w:r>
      <w:r>
        <w:rPr/>
        <w:t> 公司股份回购进展情况如下：</w:t>
      </w:r>
    </w:p>
    <w:p>
      <w:pPr>
        <w:pStyle w:val="BodyText"/>
        <w:spacing w:line="222" w:lineRule="exact"/>
        <w:ind w:right="0" w:firstLine="360"/>
        <w:jc w:val="left"/>
      </w:pP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日，公司第三届董事会</w:t>
      </w:r>
      <w:r>
        <w:rPr>
          <w:rFonts w:ascii="宋体" w:hAnsi="宋体" w:cs="宋体" w:eastAsia="宋体" w:hint="default"/>
        </w:rPr>
        <w:t>2019</w:t>
      </w:r>
      <w:r>
        <w:rPr/>
        <w:t>年第三次临时会议和第三届监事会</w:t>
      </w:r>
      <w:r>
        <w:rPr>
          <w:rFonts w:ascii="宋体" w:hAnsi="宋体" w:cs="宋体" w:eastAsia="宋体" w:hint="default"/>
        </w:rPr>
        <w:t>2019</w:t>
      </w:r>
      <w:r>
        <w:rPr/>
        <w:t>年第三次临时会议审议通过了《关于调</w:t>
      </w:r>
    </w:p>
    <w:p>
      <w:pPr>
        <w:pStyle w:val="BodyText"/>
        <w:spacing w:line="316" w:lineRule="auto" w:before="76"/>
        <w:ind w:right="1131"/>
        <w:jc w:val="both"/>
      </w:pPr>
      <w:r>
        <w:rPr>
          <w:spacing w:val="-5"/>
        </w:rPr>
        <w:t>整</w:t>
      </w:r>
      <w:r>
        <w:rPr>
          <w:rFonts w:ascii="宋体" w:hAnsi="宋体" w:cs="宋体" w:eastAsia="宋体" w:hint="default"/>
          <w:spacing w:val="-5"/>
        </w:rPr>
        <w:t>2018</w:t>
      </w:r>
      <w:r>
        <w:rPr>
          <w:spacing w:val="-5"/>
        </w:rPr>
        <w:t>年限制性股票激励计划授予权益数量和回购价格的议案》、《关于回购注销</w:t>
      </w:r>
      <w:r>
        <w:rPr>
          <w:rFonts w:ascii="宋体" w:hAnsi="宋体" w:cs="宋体" w:eastAsia="宋体" w:hint="default"/>
          <w:spacing w:val="-5"/>
        </w:rPr>
        <w:t>2018</w:t>
      </w:r>
      <w:r>
        <w:rPr>
          <w:spacing w:val="-5"/>
        </w:rPr>
        <w:t>年限制性股票激励计划部分限制性股票</w:t>
      </w:r>
      <w:r>
        <w:rPr>
          <w:spacing w:val="-61"/>
        </w:rPr>
        <w:t> </w:t>
      </w:r>
      <w:r>
        <w:rPr>
          <w:spacing w:val="-61"/>
        </w:rPr>
      </w:r>
      <w:r>
        <w:rPr>
          <w:spacing w:val="-2"/>
        </w:rPr>
        <w:t>的议案》和《关于</w:t>
      </w:r>
      <w:r>
        <w:rPr>
          <w:rFonts w:ascii="宋体" w:hAnsi="宋体" w:cs="宋体" w:eastAsia="宋体" w:hint="default"/>
          <w:spacing w:val="-2"/>
        </w:rPr>
        <w:t>2018</w:t>
      </w:r>
      <w:r>
        <w:rPr>
          <w:spacing w:val="-2"/>
        </w:rPr>
        <w:t>年限制性股票激励计划第一个解除限售期解除限售条件成就的议案》。公司独立董事对此发表了明确</w:t>
      </w:r>
      <w:r>
        <w:rPr>
          <w:spacing w:val="-62"/>
        </w:rPr>
        <w:t> </w:t>
      </w:r>
      <w:r>
        <w:rPr>
          <w:spacing w:val="-62"/>
        </w:rPr>
      </w:r>
      <w:r>
        <w:rPr/>
        <w:t>同意的独立意见。</w:t>
      </w:r>
    </w:p>
    <w:p>
      <w:pPr>
        <w:pStyle w:val="BodyText"/>
        <w:spacing w:line="360" w:lineRule="auto" w:before="19"/>
        <w:ind w:right="2744" w:firstLine="360"/>
        <w:jc w:val="left"/>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日，公司在中国证券登记结算有限责任公司深圳分公司完成已回购股票的注销事宜。 采用集中竞价方式减持回购股份的实施进展情况</w:t>
      </w:r>
    </w:p>
    <w:p>
      <w:pPr>
        <w:pStyle w:val="BodyText"/>
        <w:spacing w:line="360" w:lineRule="auto" w:before="25"/>
        <w:ind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5"/>
        <w:ind w:right="6794"/>
        <w:jc w:val="left"/>
      </w:pPr>
      <w:r>
        <w:rPr/>
        <w:t>□ 适用 √</w:t>
      </w:r>
      <w:r>
        <w:rPr>
          <w:spacing w:val="3"/>
        </w:rPr>
        <w:t> </w:t>
      </w:r>
      <w:r>
        <w:rPr/>
        <w:t>不适用</w:t>
      </w:r>
      <w:r>
        <w:rPr/>
        <w:t> 公司认为必要或证券监管机构要求披露的其他内容</w:t>
      </w:r>
    </w:p>
    <w:p>
      <w:pPr>
        <w:pStyle w:val="BodyText"/>
        <w:spacing w:line="240" w:lineRule="auto" w:before="28"/>
        <w:ind w:right="0"/>
        <w:jc w:val="both"/>
      </w:pPr>
      <w:r>
        <w:rPr/>
        <w:t>□ 适用 √</w:t>
      </w:r>
      <w:r>
        <w:rPr>
          <w:spacing w:val="3"/>
        </w:rPr>
        <w:t> </w:t>
      </w:r>
      <w:r>
        <w:rPr/>
        <w:t>不适用</w:t>
      </w:r>
    </w:p>
    <w:p>
      <w:pPr>
        <w:spacing w:after="0" w:line="240"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240" w:lineRule="auto" w:before="36"/>
        <w:ind w:right="1133"/>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64"/>
        <w:gridCol w:w="1201"/>
        <w:gridCol w:w="1068"/>
        <w:gridCol w:w="1325"/>
        <w:gridCol w:w="1076"/>
        <w:gridCol w:w="1507"/>
        <w:gridCol w:w="1839"/>
      </w:tblGrid>
      <w:tr>
        <w:trPr>
          <w:trHeight w:val="754"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35" w:right="233" w:firstLine="180"/>
              <w:jc w:val="left"/>
              <w:rPr>
                <w:rFonts w:ascii="宋体" w:hAnsi="宋体" w:cs="宋体" w:eastAsia="宋体" w:hint="default"/>
                <w:sz w:val="18"/>
                <w:szCs w:val="18"/>
              </w:rPr>
            </w:pPr>
            <w:r>
              <w:rPr>
                <w:rFonts w:ascii="宋体" w:hAnsi="宋体" w:cs="宋体" w:eastAsia="宋体" w:hint="default"/>
                <w:sz w:val="18"/>
                <w:szCs w:val="18"/>
              </w:rPr>
              <w:t>期初 限售股数</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67" w:right="168"/>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97" w:right="295"/>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75" w:right="168" w:firstLine="180"/>
              <w:jc w:val="left"/>
              <w:rPr>
                <w:rFonts w:ascii="宋体" w:hAnsi="宋体" w:cs="宋体" w:eastAsia="宋体" w:hint="default"/>
                <w:sz w:val="18"/>
                <w:szCs w:val="18"/>
              </w:rPr>
            </w:pPr>
            <w:r>
              <w:rPr>
                <w:rFonts w:ascii="宋体" w:hAnsi="宋体" w:cs="宋体" w:eastAsia="宋体" w:hint="default"/>
                <w:sz w:val="18"/>
                <w:szCs w:val="18"/>
              </w:rPr>
              <w:t>期末 限售股数</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12,033,542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3,008,386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9,025,156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10,871,784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2,717,946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8,153,838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9,332,342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2,333,086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6,999,256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5,104,709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1,276,177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3,828,532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4,801,336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1,200,334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3,601,002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3,724,355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931,089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2,793,266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3,032,084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758,021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2,274,063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766,431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191,608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574,823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依相关法律法规规定</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李开福</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58,312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17,493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40,819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依股权激励计划</w:t>
            </w: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谢智勇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2,910,526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2,870,754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39,772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依股权激励计划</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完献忠等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1,629,751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538,093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1,091,658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依股权激励计划</w:t>
            </w:r>
          </w:p>
        </w:tc>
      </w:tr>
      <w:tr>
        <w:trPr>
          <w:trHeight w:val="102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9"/>
              <w:jc w:val="both"/>
              <w:rPr>
                <w:rFonts w:ascii="宋体" w:hAnsi="宋体" w:cs="宋体" w:eastAsia="宋体" w:hint="default"/>
                <w:sz w:val="18"/>
                <w:szCs w:val="18"/>
              </w:rPr>
            </w:pPr>
            <w:r>
              <w:rPr>
                <w:rFonts w:ascii="宋体" w:hAnsi="宋体" w:cs="宋体" w:eastAsia="宋体" w:hint="default"/>
                <w:sz w:val="18"/>
                <w:szCs w:val="18"/>
              </w:rPr>
              <w:t>北京银汉创业 投资有限公司 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51,237,125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51,237,125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105,502,297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67,080,112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38,422,185</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1133"/>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40"/>
        <w:gridCol w:w="1195"/>
        <w:gridCol w:w="992"/>
        <w:gridCol w:w="1064"/>
        <w:gridCol w:w="1123"/>
        <w:gridCol w:w="1093"/>
        <w:gridCol w:w="957"/>
        <w:gridCol w:w="664"/>
        <w:gridCol w:w="1078"/>
      </w:tblGrid>
      <w:tr>
        <w:trPr>
          <w:trHeight w:val="1654"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23,934</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21,979</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04" w:right="44"/>
              <w:jc w:val="left"/>
              <w:rPr>
                <w:rFonts w:ascii="宋体" w:hAnsi="宋体" w:cs="宋体" w:eastAsia="宋体" w:hint="default"/>
                <w:sz w:val="16"/>
                <w:szCs w:val="16"/>
              </w:rPr>
            </w:pPr>
            <w:r>
              <w:rPr>
                <w:rFonts w:ascii="宋体" w:hAnsi="宋体" w:cs="宋体" w:eastAsia="宋体" w:hint="default"/>
                <w:sz w:val="16"/>
                <w:szCs w:val="16"/>
              </w:rPr>
              <w:t>报告期末表</w:t>
            </w:r>
            <w:r>
              <w:rPr>
                <w:rFonts w:ascii="宋体" w:hAnsi="宋体" w:cs="宋体" w:eastAsia="宋体" w:hint="default"/>
                <w:w w:val="100"/>
                <w:sz w:val="16"/>
                <w:szCs w:val="16"/>
              </w:rPr>
              <w:t> </w:t>
            </w:r>
            <w:r>
              <w:rPr>
                <w:rFonts w:ascii="宋体" w:hAnsi="宋体" w:cs="宋体" w:eastAsia="宋体" w:hint="default"/>
                <w:sz w:val="16"/>
                <w:szCs w:val="16"/>
              </w:rPr>
              <w:t>决权恢复的</w:t>
            </w:r>
            <w:r>
              <w:rPr>
                <w:rFonts w:ascii="宋体" w:hAnsi="宋体" w:cs="宋体" w:eastAsia="宋体" w:hint="default"/>
                <w:w w:val="100"/>
                <w:sz w:val="16"/>
                <w:szCs w:val="16"/>
              </w:rPr>
              <w:t> </w:t>
            </w:r>
            <w:r>
              <w:rPr>
                <w:rFonts w:ascii="宋体" w:hAnsi="宋体" w:cs="宋体" w:eastAsia="宋体" w:hint="default"/>
                <w:sz w:val="16"/>
                <w:szCs w:val="16"/>
              </w:rPr>
              <w:t>优先股股东</w:t>
            </w:r>
            <w:r>
              <w:rPr>
                <w:rFonts w:ascii="宋体" w:hAnsi="宋体" w:cs="宋体" w:eastAsia="宋体" w:hint="default"/>
                <w:w w:val="100"/>
                <w:sz w:val="16"/>
                <w:szCs w:val="16"/>
              </w:rPr>
              <w:t> </w:t>
            </w:r>
            <w:r>
              <w:rPr>
                <w:rFonts w:ascii="宋体" w:hAnsi="宋体" w:cs="宋体" w:eastAsia="宋体" w:hint="default"/>
                <w:sz w:val="16"/>
                <w:szCs w:val="16"/>
              </w:rPr>
              <w:t>总数（如有）</w:t>
            </w:r>
          </w:p>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（参见注</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9</w:t>
            </w:r>
            <w:r>
              <w:rPr>
                <w:rFonts w:ascii="宋体" w:hAnsi="宋体" w:cs="宋体" w:eastAsia="宋体" w:hint="default"/>
                <w:sz w:val="16"/>
                <w:szCs w:val="16"/>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0</w:t>
            </w: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5" w:right="93"/>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19"/>
              <w:ind w:left="7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0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2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167" w:right="16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107" w:right="10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19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9" w:right="12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5" w:hRule="exact"/>
        </w:trPr>
        <w:tc>
          <w:tcPr>
            <w:tcW w:w="134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13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12,033,542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9,025,156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3,008,386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10,871,784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8,153,838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2,717,946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4"/>
              <w:jc w:val="left"/>
              <w:rPr>
                <w:rFonts w:ascii="宋体" w:hAnsi="宋体" w:cs="宋体" w:eastAsia="宋体" w:hint="default"/>
                <w:sz w:val="18"/>
                <w:szCs w:val="18"/>
              </w:rPr>
            </w:pPr>
            <w:r>
              <w:rPr>
                <w:rFonts w:ascii="宋体" w:hAnsi="宋体" w:cs="宋体" w:eastAsia="宋体" w:hint="default"/>
                <w:sz w:val="18"/>
                <w:szCs w:val="18"/>
              </w:rPr>
              <w:t>北京银汉创业 投资有限公司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9,419,661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9,419,661</w:t>
            </w:r>
          </w:p>
        </w:tc>
        <w:tc>
          <w:tcPr>
            <w:tcW w:w="6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9,332,342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6,999,256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2,333,086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1,996,070</w:t>
            </w: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陈东辉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6,950,285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6,950,285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4,785,070</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韩燕婴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6,950,285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6,950,285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3,887,478</w:t>
            </w: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5,104,709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3,828,532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1,276,177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2,392,293</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4,801,336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3,601,002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1,200,334</w:t>
            </w:r>
          </w:p>
        </w:tc>
        <w:tc>
          <w:tcPr>
            <w:tcW w:w="6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3,855,459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-1,280,948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3,855,459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3,724,355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2,793,266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931,089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1,794,220</w:t>
            </w:r>
          </w:p>
        </w:tc>
      </w:tr>
      <w:tr>
        <w:trPr>
          <w:trHeight w:val="1025"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67"/>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 </w:t>
            </w:r>
            <w:r>
              <w:rPr>
                <w:rFonts w:ascii="宋体" w:hAnsi="宋体" w:cs="宋体" w:eastAsia="宋体" w:hint="default"/>
                <w:spacing w:val="-11"/>
                <w:sz w:val="18"/>
                <w:szCs w:val="18"/>
              </w:rPr>
              <w:t>况（如有）（参见注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9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上述股东不存在关联关系，不属于相关法律法规规定的一致行动人。</w:t>
            </w:r>
          </w:p>
        </w:tc>
      </w:tr>
      <w:tr>
        <w:trPr>
          <w:trHeight w:val="401" w:hRule="exact"/>
        </w:trPr>
        <w:tc>
          <w:tcPr>
            <w:tcW w:w="950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3" w:hRule="exact"/>
        </w:trPr>
        <w:tc>
          <w:tcPr>
            <w:tcW w:w="2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0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535" w:type="dxa"/>
            <w:gridSpan w:val="2"/>
            <w:vMerge/>
            <w:tcBorders>
              <w:left w:val="single" w:sz="4" w:space="0" w:color="000000"/>
              <w:bottom w:val="single" w:sz="4" w:space="0" w:color="000000"/>
              <w:right w:val="single" w:sz="4" w:space="0" w:color="000000"/>
            </w:tcBorders>
            <w:shd w:val="clear" w:color="auto" w:fill="D2D2D2"/>
          </w:tcPr>
          <w:p>
            <w:pPr/>
          </w:p>
        </w:tc>
        <w:tc>
          <w:tcPr>
            <w:tcW w:w="4272" w:type="dxa"/>
            <w:gridSpan w:val="4"/>
            <w:vMerge/>
            <w:tcBorders>
              <w:left w:val="single" w:sz="4" w:space="0" w:color="000000"/>
              <w:bottom w:val="single" w:sz="4" w:space="0" w:color="000000"/>
              <w:right w:val="single" w:sz="4" w:space="0" w:color="000000"/>
            </w:tcBorders>
            <w:shd w:val="clear" w:color="auto" w:fill="D2D2D2"/>
          </w:tcPr>
          <w:p>
            <w:pP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北京银汉创业投资有限公司</w:t>
            </w:r>
          </w:p>
        </w:tc>
        <w:tc>
          <w:tcPr>
            <w:tcW w:w="4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9,419,661</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9,419,661</w:t>
            </w:r>
          </w:p>
        </w:tc>
      </w:tr>
      <w:tr>
        <w:trPr>
          <w:trHeight w:val="401"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陈东辉</w:t>
            </w:r>
          </w:p>
        </w:tc>
        <w:tc>
          <w:tcPr>
            <w:tcW w:w="4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6,950,285</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6,950,285</w:t>
            </w:r>
          </w:p>
        </w:tc>
      </w:tr>
      <w:tr>
        <w:trPr>
          <w:trHeight w:val="403"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韩燕婴</w:t>
            </w:r>
          </w:p>
        </w:tc>
        <w:tc>
          <w:tcPr>
            <w:tcW w:w="4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6,950,285</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6,950,285</w:t>
            </w:r>
          </w:p>
        </w:tc>
      </w:tr>
      <w:tr>
        <w:trPr>
          <w:trHeight w:val="401"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4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3,855,459</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3,855,459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535"/>
        <w:gridCol w:w="4331"/>
        <w:gridCol w:w="1582"/>
        <w:gridCol w:w="1058"/>
      </w:tblGrid>
      <w:tr>
        <w:trPr>
          <w:trHeight w:val="40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3,008,386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3,008,386</w:t>
            </w: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5"/>
                <w:szCs w:val="15"/>
              </w:rPr>
            </w:pPr>
            <w:r>
              <w:rPr>
                <w:rFonts w:ascii="宋体" w:hAnsi="宋体" w:cs="宋体" w:eastAsia="宋体" w:hint="default"/>
                <w:spacing w:val="-2"/>
                <w:sz w:val="15"/>
                <w:szCs w:val="15"/>
              </w:rPr>
              <w:t>北京致远天成科技中心（有限合伙）</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2,928,976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2,928,976</w:t>
            </w:r>
          </w:p>
        </w:tc>
      </w:tr>
      <w:tr>
        <w:trPr>
          <w:trHeight w:val="40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2,717,946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2,717,946</w:t>
            </w: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2,586,387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2,586,387</w:t>
            </w:r>
          </w:p>
        </w:tc>
      </w:tr>
      <w:tr>
        <w:trPr>
          <w:trHeight w:val="40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2,333,086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2,333,086</w:t>
            </w: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洪沈平</w:t>
            </w:r>
          </w:p>
        </w:tc>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2,187,331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2,187,331</w:t>
            </w:r>
          </w:p>
        </w:tc>
      </w:tr>
      <w:tr>
        <w:trPr>
          <w:trHeight w:val="1337"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w:t>
            </w:r>
          </w:p>
          <w:p>
            <w:pPr>
              <w:pStyle w:val="TableParagraph"/>
              <w:spacing w:line="300" w:lineRule="auto" w:before="63"/>
              <w:ind w:left="103" w:right="167"/>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 联关系或一致行动的说明</w:t>
            </w:r>
          </w:p>
        </w:tc>
        <w:tc>
          <w:tcPr>
            <w:tcW w:w="6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上述股东之间不存在关联关系，不属于法律法规规定的一致行动人。</w:t>
            </w:r>
          </w:p>
        </w:tc>
      </w:tr>
      <w:tr>
        <w:trPr>
          <w:trHeight w:val="716"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3" w:right="261"/>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10"/>
                <w:sz w:val="18"/>
                <w:szCs w:val="18"/>
              </w:rPr>
              <w:t>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t>□ 是 √</w:t>
      </w:r>
      <w:r>
        <w:rPr>
          <w:spacing w:val="3"/>
        </w:rPr>
        <w:t> </w:t>
      </w:r>
      <w:r>
        <w:rPr/>
        <w:t>否</w:t>
      </w:r>
    </w:p>
    <w:p>
      <w:pPr>
        <w:pStyle w:val="BodyText"/>
        <w:spacing w:line="240" w:lineRule="auto" w:before="117"/>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234"/>
        <w:jc w:val="left"/>
      </w:pPr>
      <w:r>
        <w:rPr/>
        <w:t>控股股东性质：无控股主体 控股股东类型：不存在 公司不存在控股股东情况的说明</w:t>
      </w:r>
    </w:p>
    <w:p>
      <w:pPr>
        <w:pStyle w:val="BodyText"/>
        <w:spacing w:line="316" w:lineRule="auto" w:before="29"/>
        <w:ind w:right="1130" w:firstLine="360"/>
        <w:jc w:val="both"/>
      </w:pPr>
      <w:r>
        <w:rPr>
          <w:spacing w:val="-2"/>
        </w:rPr>
        <w:t>公司任一股东所持的股份不足以对公司股东大会的决议产生决定性影响；公司不存在某一股东控制董事会多数席位的情</w:t>
      </w:r>
      <w:r>
        <w:rPr/>
        <w:t> </w:t>
      </w:r>
      <w:r>
        <w:rPr>
          <w:spacing w:val="-2"/>
        </w:rPr>
        <w:t>形，亦不存在其他能够实际支配公司行为的人，且公司持股</w:t>
      </w:r>
      <w:r>
        <w:rPr>
          <w:rFonts w:ascii="宋体" w:hAnsi="宋体" w:cs="宋体" w:eastAsia="宋体" w:hint="default"/>
          <w:spacing w:val="-2"/>
        </w:rPr>
        <w:t>5%</w:t>
      </w:r>
      <w:r>
        <w:rPr>
          <w:spacing w:val="-2"/>
        </w:rPr>
        <w:t>以上的股东无一致行动协议或约定。因此，公司不存在控股股</w:t>
      </w:r>
      <w:r>
        <w:rPr>
          <w:spacing w:val="-61"/>
        </w:rPr>
        <w:t> </w:t>
      </w:r>
      <w:r>
        <w:rPr>
          <w:spacing w:val="-61"/>
        </w:rPr>
      </w:r>
      <w:r>
        <w:rPr/>
        <w:t>东或实际控制人。</w:t>
      </w:r>
    </w:p>
    <w:p>
      <w:pPr>
        <w:spacing w:line="240" w:lineRule="auto" w:before="0"/>
        <w:rPr>
          <w:rFonts w:ascii="宋体" w:hAnsi="宋体" w:cs="宋体" w:eastAsia="宋体" w:hint="default"/>
          <w:sz w:val="18"/>
          <w:szCs w:val="18"/>
        </w:rPr>
      </w:pPr>
    </w:p>
    <w:p>
      <w:pPr>
        <w:pStyle w:val="BodyText"/>
        <w:spacing w:line="240" w:lineRule="auto" w:before="136"/>
        <w:ind w:right="1133"/>
        <w:jc w:val="left"/>
      </w:pPr>
      <w:r>
        <w:rPr/>
        <w:t>控股股东报告期内变更</w:t>
      </w:r>
    </w:p>
    <w:p>
      <w:pPr>
        <w:pStyle w:val="BodyText"/>
        <w:spacing w:line="360" w:lineRule="auto" w:before="115"/>
        <w:ind w:right="6614"/>
        <w:jc w:val="left"/>
      </w:pPr>
      <w:r>
        <w:rPr/>
        <w:t>□ 适用 √</w:t>
      </w:r>
      <w:r>
        <w:rPr>
          <w:spacing w:val="3"/>
        </w:rPr>
        <w:t> </w:t>
      </w:r>
      <w:r>
        <w:rPr/>
        <w:t>不适用</w:t>
      </w:r>
      <w:r>
        <w:rPr/>
        <w:t> 公司报告期控股股东未发生变更。</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054"/>
        <w:jc w:val="left"/>
      </w:pPr>
      <w:r>
        <w:rPr/>
        <w:t>实际控制人性质：无实际控制人 实际控制人类型：不存在 公司不存在实际控制人情况的说明</w:t>
      </w:r>
    </w:p>
    <w:p>
      <w:pPr>
        <w:pStyle w:val="BodyText"/>
        <w:spacing w:line="316" w:lineRule="auto" w:before="25"/>
        <w:ind w:right="1130" w:firstLine="360"/>
        <w:jc w:val="both"/>
      </w:pPr>
      <w:r>
        <w:rPr>
          <w:spacing w:val="-2"/>
        </w:rPr>
        <w:t>公司任一股东所持的股份不足以对公司股东大会的决议产生决定性影响；公司不存在某一股东控制董事会多数席位的情</w:t>
      </w:r>
      <w:r>
        <w:rPr/>
        <w:t> </w:t>
      </w:r>
      <w:r>
        <w:rPr>
          <w:spacing w:val="-2"/>
        </w:rPr>
        <w:t>形，亦不存在其他能够实际支配公司行为的人，且公司持股</w:t>
      </w:r>
      <w:r>
        <w:rPr>
          <w:rFonts w:ascii="宋体" w:hAnsi="宋体" w:cs="宋体" w:eastAsia="宋体" w:hint="default"/>
          <w:spacing w:val="-2"/>
        </w:rPr>
        <w:t>5%</w:t>
      </w:r>
      <w:r>
        <w:rPr>
          <w:spacing w:val="-2"/>
        </w:rPr>
        <w:t>以上的股东无一致行动协议或约定。因此，公司不存在控股股</w:t>
      </w:r>
      <w:r>
        <w:rPr>
          <w:spacing w:val="-61"/>
        </w:rPr>
        <w:t> </w:t>
      </w:r>
      <w:r>
        <w:rPr>
          <w:spacing w:val="-61"/>
        </w:rPr>
      </w:r>
      <w:r>
        <w:rPr/>
        <w:t>东或实际控制人。</w:t>
      </w:r>
    </w:p>
    <w:p>
      <w:pPr>
        <w:spacing w:line="240" w:lineRule="auto" w:before="0"/>
        <w:rPr>
          <w:rFonts w:ascii="宋体" w:hAnsi="宋体" w:cs="宋体" w:eastAsia="宋体" w:hint="default"/>
          <w:sz w:val="18"/>
          <w:szCs w:val="18"/>
        </w:rPr>
      </w:pPr>
    </w:p>
    <w:p>
      <w:pPr>
        <w:pStyle w:val="BodyText"/>
        <w:spacing w:line="240" w:lineRule="auto" w:before="136"/>
        <w:ind w:right="1133"/>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240" w:lineRule="auto" w:before="103"/>
        <w:ind w:right="1133"/>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40" w:lineRule="auto" w:before="44"/>
        <w:ind w:right="7049"/>
        <w:jc w:val="left"/>
      </w:pPr>
      <w:r>
        <w:rPr/>
        <w:t>公司最终控制层面持股比例</w:t>
      </w:r>
      <w:r>
        <w:rPr>
          <w:spacing w:val="-45"/>
        </w:rPr>
        <w:t> </w:t>
      </w:r>
      <w:r>
        <w:rPr>
          <w:rFonts w:ascii="Times New Roman" w:hAnsi="Times New Roman" w:cs="Times New Roman" w:eastAsia="Times New Roman" w:hint="default"/>
        </w:rPr>
        <w:t>5%</w:t>
      </w:r>
      <w:r>
        <w:rPr/>
        <w:t>以上的股东情况 自然人</w:t>
      </w:r>
    </w:p>
    <w:p>
      <w:pPr>
        <w:pStyle w:val="BodyText"/>
        <w:spacing w:line="240" w:lineRule="auto" w:before="39"/>
        <w:ind w:right="1133"/>
        <w:jc w:val="left"/>
      </w:pPr>
      <w:r>
        <w:rPr/>
        <w:t>最终控制层面持股情况</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3"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以上个人股东均为公司董事，详细情况见本报告第九节。</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实际控制人报告期内变更</w:t>
      </w:r>
    </w:p>
    <w:p>
      <w:pPr>
        <w:pStyle w:val="BodyText"/>
        <w:spacing w:line="360" w:lineRule="auto" w:before="115"/>
        <w:ind w:right="6794"/>
        <w:jc w:val="left"/>
      </w:pPr>
      <w:r>
        <w:rPr/>
        <w:t>□ 适用 √</w:t>
      </w:r>
      <w:r>
        <w:rPr>
          <w:spacing w:val="3"/>
        </w:rPr>
        <w:t> </w:t>
      </w:r>
      <w:r>
        <w:rPr/>
        <w:t>不适用</w:t>
      </w:r>
      <w:r>
        <w:rPr/>
        <w:t> 公司报告期实际控制人未发生变更。 公司与实际控制人之间的产权及控制关系的方框图</w:t>
      </w:r>
    </w:p>
    <w:p>
      <w:pPr>
        <w:spacing w:line="240" w:lineRule="auto" w:before="6"/>
        <w:rPr>
          <w:rFonts w:ascii="宋体" w:hAnsi="宋体" w:cs="宋体" w:eastAsia="宋体" w:hint="default"/>
          <w:sz w:val="22"/>
          <w:szCs w:val="22"/>
        </w:rPr>
      </w:pPr>
    </w:p>
    <w:p>
      <w:pPr>
        <w:spacing w:line="701" w:lineRule="exact"/>
        <w:ind w:left="113"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159943" cy="44519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2159943" cy="445198"/>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5"/>
        <w:rPr>
          <w:rFonts w:ascii="宋体" w:hAnsi="宋体" w:cs="宋体" w:eastAsia="宋体" w:hint="default"/>
          <w:sz w:val="21"/>
          <w:szCs w:val="21"/>
        </w:rPr>
      </w:pPr>
    </w:p>
    <w:p>
      <w:pPr>
        <w:spacing w:before="0"/>
        <w:ind w:left="11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245" w:right="1133"/>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right="8594"/>
        <w:jc w:val="left"/>
      </w:pPr>
      <w:r>
        <w:rPr/>
        <w:t>□ 适用 √</w:t>
      </w:r>
      <w:r>
        <w:rPr>
          <w:spacing w:val="3"/>
        </w:rPr>
        <w:t> </w:t>
      </w:r>
      <w:r>
        <w:rPr/>
        <w:t>不适用</w:t>
      </w:r>
      <w:r>
        <w:rPr/>
        <w:t> 报告期公司不存在优先股。</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02" w:right="1133"/>
        <w:jc w:val="left"/>
        <w:rPr>
          <w:b w:val="0"/>
          <w:bCs w:val="0"/>
        </w:rPr>
      </w:pPr>
      <w:bookmarkStart w:name="第八节 可转换公司债券相关情况" w:id="118"/>
      <w:bookmarkEnd w:id="118"/>
      <w:r>
        <w:rPr>
          <w:b w:val="0"/>
          <w:bCs w:val="0"/>
        </w:rPr>
      </w:r>
      <w:bookmarkStart w:name="_bookmark7" w:id="119"/>
      <w:bookmarkEnd w:id="119"/>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7874"/>
        <w:jc w:val="left"/>
      </w:pPr>
      <w:r>
        <w:rPr/>
        <w:t>□ 适用 √</w:t>
      </w:r>
      <w:r>
        <w:rPr>
          <w:spacing w:val="3"/>
        </w:rPr>
        <w:t> </w:t>
      </w:r>
      <w:r>
        <w:rPr/>
        <w:t>不适用</w:t>
      </w:r>
      <w:r>
        <w:rPr/>
        <w:t> 报告期公司不存在可转换公司债券。</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639" w:right="1133"/>
        <w:jc w:val="left"/>
        <w:rPr>
          <w:b w:val="0"/>
          <w:bCs w:val="0"/>
        </w:rPr>
      </w:pPr>
      <w:bookmarkStart w:name="第九节 董事、监事、高级管理人员和员工情况" w:id="120"/>
      <w:bookmarkEnd w:id="120"/>
      <w:r>
        <w:rPr>
          <w:b w:val="0"/>
          <w:bCs w:val="0"/>
        </w:rPr>
      </w:r>
      <w:bookmarkStart w:name="_bookmark8" w:id="121"/>
      <w:bookmarkEnd w:id="121"/>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72" w:type="dxa"/>
        <w:tblLayout w:type="fixed"/>
        <w:tblCellMar>
          <w:top w:w="0" w:type="dxa"/>
          <w:left w:w="0" w:type="dxa"/>
          <w:bottom w:w="0" w:type="dxa"/>
          <w:right w:w="0" w:type="dxa"/>
        </w:tblCellMar>
        <w:tblLook w:val="01E0"/>
      </w:tblPr>
      <w:tblGrid>
        <w:gridCol w:w="797"/>
        <w:gridCol w:w="1015"/>
        <w:gridCol w:w="590"/>
        <w:gridCol w:w="457"/>
        <w:gridCol w:w="415"/>
        <w:gridCol w:w="797"/>
        <w:gridCol w:w="797"/>
        <w:gridCol w:w="1114"/>
        <w:gridCol w:w="797"/>
        <w:gridCol w:w="879"/>
        <w:gridCol w:w="797"/>
        <w:gridCol w:w="1056"/>
      </w:tblGrid>
      <w:tr>
        <w:trPr>
          <w:trHeight w:val="1339"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12" w:right="10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31" w:right="134"/>
              <w:jc w:val="left"/>
              <w:rPr>
                <w:rFonts w:ascii="宋体" w:hAnsi="宋体" w:cs="宋体" w:eastAsia="宋体" w:hint="default"/>
                <w:sz w:val="18"/>
                <w:szCs w:val="18"/>
              </w:rPr>
            </w:pPr>
            <w:r>
              <w:rPr>
                <w:rFonts w:ascii="宋体" w:hAnsi="宋体" w:cs="宋体" w:eastAsia="宋体" w:hint="default"/>
                <w:sz w:val="18"/>
                <w:szCs w:val="18"/>
              </w:rPr>
              <w:t>性 别</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12" w:right="110"/>
              <w:jc w:val="left"/>
              <w:rPr>
                <w:rFonts w:ascii="宋体" w:hAnsi="宋体" w:cs="宋体" w:eastAsia="宋体" w:hint="default"/>
                <w:sz w:val="18"/>
                <w:szCs w:val="18"/>
              </w:rPr>
            </w:pPr>
            <w:r>
              <w:rPr>
                <w:rFonts w:ascii="宋体" w:hAnsi="宋体" w:cs="宋体" w:eastAsia="宋体" w:hint="default"/>
                <w:sz w:val="18"/>
                <w:szCs w:val="18"/>
              </w:rPr>
              <w:t>年 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4" w:right="12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91" w:right="190"/>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1"/>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4"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65" w:right="15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9,332,342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9,332,342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10,871,784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10,871,784</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7"/>
              <w:ind w:left="105" w:right="96"/>
              <w:jc w:val="both"/>
              <w:rPr>
                <w:rFonts w:ascii="宋体" w:hAnsi="宋体" w:cs="宋体" w:eastAsia="宋体" w:hint="default"/>
                <w:sz w:val="16"/>
                <w:szCs w:val="16"/>
              </w:rPr>
            </w:pPr>
            <w:r>
              <w:rPr>
                <w:rFonts w:ascii="宋体" w:hAnsi="宋体" w:cs="宋体" w:eastAsia="宋体" w:hint="default"/>
                <w:sz w:val="16"/>
                <w:szCs w:val="16"/>
              </w:rPr>
              <w:t>董事、副总</w:t>
            </w:r>
            <w:r>
              <w:rPr>
                <w:rFonts w:ascii="宋体" w:hAnsi="宋体" w:cs="宋体" w:eastAsia="宋体" w:hint="default"/>
                <w:w w:val="100"/>
                <w:sz w:val="16"/>
                <w:szCs w:val="16"/>
              </w:rPr>
              <w:t> </w:t>
            </w:r>
            <w:r>
              <w:rPr>
                <w:rFonts w:ascii="宋体" w:hAnsi="宋体" w:cs="宋体" w:eastAsia="宋体" w:hint="default"/>
                <w:sz w:val="16"/>
                <w:szCs w:val="16"/>
              </w:rPr>
              <w:t>经理、董事</w:t>
            </w:r>
            <w:r>
              <w:rPr>
                <w:rFonts w:ascii="宋体" w:hAnsi="宋体" w:cs="宋体" w:eastAsia="宋体" w:hint="default"/>
                <w:w w:val="100"/>
                <w:sz w:val="16"/>
                <w:szCs w:val="16"/>
              </w:rPr>
              <w:t> </w:t>
            </w:r>
            <w:r>
              <w:rPr>
                <w:rFonts w:ascii="宋体" w:hAnsi="宋体" w:cs="宋体" w:eastAsia="宋体" w:hint="default"/>
                <w:sz w:val="16"/>
                <w:szCs w:val="16"/>
              </w:rPr>
              <w:t>会秘书</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5,104,709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5,104,709</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9"/>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4,801,336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4,801,336</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9"/>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3,724,355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3,724,355</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12,033,542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12,033,542</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2017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06</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27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3,032,084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2,782,084</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766,431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766,431</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z w:val="18"/>
              </w:rPr>
              <w:t>--</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49,666,583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49,416,583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3"/>
        <w:spacing w:line="240" w:lineRule="auto" w:before="26"/>
        <w:ind w:right="1133"/>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三、任职情况" w:id="124"/>
      <w:bookmarkEnd w:id="124"/>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spacing w:line="316" w:lineRule="auto" w:before="117"/>
        <w:ind w:left="473" w:right="1130" w:firstLine="0"/>
        <w:jc w:val="left"/>
        <w:rPr>
          <w:rFonts w:ascii="宋体" w:hAnsi="宋体" w:cs="宋体" w:eastAsia="宋体" w:hint="default"/>
          <w:sz w:val="18"/>
          <w:szCs w:val="18"/>
        </w:rPr>
      </w:pPr>
      <w:r>
        <w:rPr>
          <w:rFonts w:ascii="宋体" w:hAnsi="宋体" w:cs="宋体" w:eastAsia="宋体" w:hint="default"/>
          <w:b/>
          <w:bCs/>
          <w:sz w:val="18"/>
          <w:szCs w:val="18"/>
        </w:rPr>
        <w:t>（一）公司现任董事简要情况</w:t>
      </w:r>
      <w:r>
        <w:rPr>
          <w:rFonts w:ascii="宋体" w:hAnsi="宋体" w:cs="宋体" w:eastAsia="宋体" w:hint="default"/>
          <w:b/>
          <w:bCs/>
          <w:w w:val="99"/>
          <w:sz w:val="18"/>
          <w:szCs w:val="18"/>
        </w:rPr>
        <w:t> </w:t>
      </w:r>
      <w:r>
        <w:rPr>
          <w:rFonts w:ascii="宋体" w:hAnsi="宋体" w:cs="宋体" w:eastAsia="宋体" w:hint="default"/>
          <w:b/>
          <w:bCs/>
          <w:spacing w:val="-3"/>
          <w:sz w:val="18"/>
          <w:szCs w:val="18"/>
        </w:rPr>
        <w:t>李铠</w:t>
      </w:r>
      <w:r>
        <w:rPr>
          <w:rFonts w:ascii="宋体" w:hAnsi="宋体" w:cs="宋体" w:eastAsia="宋体" w:hint="default"/>
          <w:spacing w:val="-3"/>
          <w:sz w:val="18"/>
          <w:szCs w:val="18"/>
        </w:rPr>
        <w:t>，男，</w:t>
      </w:r>
      <w:r>
        <w:rPr>
          <w:rFonts w:ascii="宋体" w:hAnsi="宋体" w:cs="宋体" w:eastAsia="宋体" w:hint="default"/>
          <w:spacing w:val="-3"/>
          <w:sz w:val="18"/>
          <w:szCs w:val="18"/>
        </w:rPr>
        <w:t>1967</w:t>
      </w:r>
      <w:r>
        <w:rPr>
          <w:rFonts w:ascii="宋体" w:hAnsi="宋体" w:cs="宋体" w:eastAsia="宋体" w:hint="default"/>
          <w:spacing w:val="-3"/>
          <w:sz w:val="18"/>
          <w:szCs w:val="18"/>
        </w:rPr>
        <w:t>年</w:t>
      </w:r>
      <w:r>
        <w:rPr>
          <w:rFonts w:ascii="宋体" w:hAnsi="宋体" w:cs="宋体" w:eastAsia="宋体" w:hint="default"/>
          <w:spacing w:val="-3"/>
          <w:sz w:val="18"/>
          <w:szCs w:val="18"/>
        </w:rPr>
        <w:t>11</w:t>
      </w:r>
      <w:r>
        <w:rPr>
          <w:rFonts w:ascii="宋体" w:hAnsi="宋体" w:cs="宋体" w:eastAsia="宋体" w:hint="default"/>
          <w:spacing w:val="-3"/>
          <w:sz w:val="18"/>
          <w:szCs w:val="18"/>
        </w:rPr>
        <w:t>月出生，中国籍，无境外永久居留权，毕业于首都经贸大学贸易经济专业，本科学历。</w:t>
      </w:r>
      <w:r>
        <w:rPr>
          <w:rFonts w:ascii="宋体" w:hAnsi="宋体" w:cs="宋体" w:eastAsia="宋体" w:hint="default"/>
          <w:spacing w:val="-3"/>
          <w:sz w:val="18"/>
          <w:szCs w:val="18"/>
        </w:rPr>
        <w:t>1991</w:t>
      </w:r>
      <w:r>
        <w:rPr>
          <w:rFonts w:ascii="宋体" w:hAnsi="宋体" w:cs="宋体" w:eastAsia="宋体" w:hint="default"/>
          <w:spacing w:val="-3"/>
          <w:sz w:val="18"/>
          <w:szCs w:val="18"/>
        </w:rPr>
        <w:t>年</w:t>
      </w:r>
      <w:r>
        <w:rPr>
          <w:rFonts w:ascii="宋体" w:hAnsi="宋体" w:cs="宋体" w:eastAsia="宋体" w:hint="default"/>
          <w:spacing w:val="-3"/>
          <w:sz w:val="18"/>
          <w:szCs w:val="18"/>
        </w:rPr>
        <w:t>-2000</w:t>
      </w:r>
    </w:p>
    <w:p>
      <w:pPr>
        <w:pStyle w:val="BodyText"/>
        <w:spacing w:line="316" w:lineRule="auto" w:before="19"/>
        <w:ind w:right="1133"/>
        <w:jc w:val="left"/>
      </w:pPr>
      <w:r>
        <w:rPr>
          <w:spacing w:val="-2"/>
        </w:rPr>
        <w:t>年，就职于云南南天电子信息产业股份有限公司；</w:t>
      </w:r>
      <w:r>
        <w:rPr>
          <w:rFonts w:ascii="宋体" w:hAnsi="宋体" w:cs="宋体" w:eastAsia="宋体" w:hint="default"/>
          <w:spacing w:val="-2"/>
        </w:rPr>
        <w:t>2000</w:t>
      </w:r>
      <w:r>
        <w:rPr>
          <w:spacing w:val="-2"/>
        </w:rPr>
        <w:t>年入职本公司，曾任公司副总经理、监事，现任公司董事长。李铠于</w:t>
      </w:r>
      <w:r>
        <w:rPr>
          <w:spacing w:val="-67"/>
        </w:rPr>
        <w:t> </w:t>
      </w:r>
      <w:r>
        <w:rPr>
          <w:spacing w:val="-67"/>
        </w:rPr>
      </w:r>
      <w:r>
        <w:rPr/>
        <w:t>金融信息化领域拥有</w:t>
      </w:r>
      <w:r>
        <w:rPr>
          <w:rFonts w:ascii="宋体" w:hAnsi="宋体" w:cs="宋体" w:eastAsia="宋体" w:hint="default"/>
        </w:rPr>
        <w:t>20</w:t>
      </w:r>
      <w:r>
        <w:rPr/>
        <w:t>余年的从业经验。</w:t>
      </w:r>
    </w:p>
    <w:p>
      <w:pPr>
        <w:pStyle w:val="BodyText"/>
        <w:spacing w:line="319" w:lineRule="auto" w:before="19"/>
        <w:ind w:right="1131" w:firstLine="360"/>
        <w:jc w:val="both"/>
      </w:pPr>
      <w:r>
        <w:rPr>
          <w:rFonts w:ascii="宋体" w:hAnsi="宋体" w:cs="宋体" w:eastAsia="宋体" w:hint="default"/>
          <w:b/>
          <w:bCs/>
        </w:rPr>
        <w:t>林鸿</w:t>
      </w:r>
      <w:r>
        <w:rPr/>
        <w:t>，男，</w:t>
      </w:r>
      <w:r>
        <w:rPr>
          <w:rFonts w:ascii="宋体" w:hAnsi="宋体" w:cs="宋体" w:eastAsia="宋体" w:hint="default"/>
        </w:rPr>
        <w:t>1966</w:t>
      </w:r>
      <w:r>
        <w:rPr/>
        <w:t>年</w:t>
      </w:r>
      <w:r>
        <w:rPr>
          <w:rFonts w:ascii="宋体" w:hAnsi="宋体" w:cs="宋体" w:eastAsia="宋体" w:hint="default"/>
        </w:rPr>
        <w:t>4</w:t>
      </w:r>
      <w:r>
        <w:rPr/>
        <w:t>月出生，中国籍，无境外永久居留权，毕业于航天部二院计算机软件专业，硕士研究生学历，高级 工程师，北京大学高级管理人员工商管理硕士。</w:t>
      </w:r>
      <w:r>
        <w:rPr>
          <w:rFonts w:ascii="宋体" w:hAnsi="宋体" w:cs="宋体" w:eastAsia="宋体" w:hint="default"/>
        </w:rPr>
        <w:t>1988-2000</w:t>
      </w:r>
      <w:r>
        <w:rPr/>
        <w:t>年，就职于云南南天电子信息产业股份有限公司；</w:t>
      </w:r>
      <w:r>
        <w:rPr>
          <w:rFonts w:ascii="宋体" w:hAnsi="宋体" w:cs="宋体" w:eastAsia="宋体" w:hint="default"/>
        </w:rPr>
        <w:t>2000</w:t>
      </w:r>
      <w:r>
        <w:rPr/>
        <w:t>年入职本</w:t>
      </w:r>
      <w:r>
        <w:rPr>
          <w:spacing w:val="-86"/>
        </w:rPr>
        <w:t> </w:t>
      </w:r>
      <w:r>
        <w:rPr>
          <w:spacing w:val="-86"/>
        </w:rPr>
      </w:r>
      <w:r>
        <w:rPr/>
        <w:t>公司，曾任公司执行董事、总经理，负责公司日常管理工作；现任公司董事、总经理。林鸿于金融信息化领域拥有超过</w:t>
      </w:r>
      <w:r>
        <w:rPr>
          <w:rFonts w:ascii="宋体" w:hAnsi="宋体" w:cs="宋体" w:eastAsia="宋体" w:hint="default"/>
        </w:rPr>
        <w:t>30</w:t>
      </w:r>
      <w:r>
        <w:rPr>
          <w:rFonts w:ascii="宋体" w:hAnsi="宋体" w:cs="宋体" w:eastAsia="宋体" w:hint="default"/>
          <w:spacing w:val="-2"/>
        </w:rPr>
        <w:t> </w:t>
      </w:r>
      <w:r>
        <w:rPr>
          <w:spacing w:val="-2"/>
        </w:rPr>
        <w:t>余年的从业经验，曾荣获中国金融科技发展论坛“十大金融科技企业杰出人物”奖，所负责的项目曾荣获中国人民银行“金</w:t>
      </w:r>
      <w:r>
        <w:rPr>
          <w:spacing w:val="-66"/>
        </w:rPr>
        <w:t> </w:t>
      </w:r>
      <w:r>
        <w:rPr>
          <w:spacing w:val="-66"/>
        </w:rPr>
      </w:r>
      <w:r>
        <w:rPr>
          <w:spacing w:val="-10"/>
        </w:rPr>
        <w:t>融科技进步一等奖”。</w:t>
      </w:r>
    </w:p>
    <w:p>
      <w:pPr>
        <w:pStyle w:val="BodyText"/>
        <w:spacing w:line="316" w:lineRule="auto" w:before="17"/>
        <w:ind w:right="1132" w:firstLine="360"/>
        <w:jc w:val="both"/>
      </w:pPr>
      <w:r>
        <w:rPr>
          <w:rFonts w:ascii="宋体" w:hAnsi="宋体" w:cs="宋体" w:eastAsia="宋体" w:hint="default"/>
          <w:b/>
          <w:bCs/>
        </w:rPr>
        <w:t>朱胡勇</w:t>
      </w:r>
      <w:r>
        <w:rPr/>
        <w:t>，男，</w:t>
      </w:r>
      <w:r>
        <w:rPr>
          <w:rFonts w:ascii="宋体" w:hAnsi="宋体" w:cs="宋体" w:eastAsia="宋体" w:hint="default"/>
        </w:rPr>
        <w:t>1969</w:t>
      </w:r>
      <w:r>
        <w:rPr/>
        <w:t>年</w:t>
      </w:r>
      <w:r>
        <w:rPr>
          <w:rFonts w:ascii="宋体" w:hAnsi="宋体" w:cs="宋体" w:eastAsia="宋体" w:hint="default"/>
        </w:rPr>
        <w:t>6</w:t>
      </w:r>
      <w:r>
        <w:rPr/>
        <w:t>月出生，中国籍，无境外永久居留权，毕业于清华大学电机及其控制专业，本科学历，高级工程 师。</w:t>
      </w:r>
      <w:r>
        <w:rPr>
          <w:rFonts w:ascii="宋体" w:hAnsi="宋体" w:cs="宋体" w:eastAsia="宋体" w:hint="default"/>
        </w:rPr>
        <w:t>1992</w:t>
      </w:r>
      <w:r>
        <w:rPr/>
        <w:t>年</w:t>
      </w:r>
      <w:r>
        <w:rPr>
          <w:rFonts w:ascii="宋体" w:hAnsi="宋体" w:cs="宋体" w:eastAsia="宋体" w:hint="default"/>
        </w:rPr>
        <w:t>-2000</w:t>
      </w:r>
      <w:r>
        <w:rPr/>
        <w:t>年，就职于云南南天电子信息产业股份有限公司；</w:t>
      </w:r>
      <w:r>
        <w:rPr>
          <w:rFonts w:ascii="宋体" w:hAnsi="宋体" w:cs="宋体" w:eastAsia="宋体" w:hint="default"/>
        </w:rPr>
        <w:t>2000</w:t>
      </w:r>
      <w:r>
        <w:rPr/>
        <w:t>年入职本公司，曾任公司金融软件事业部总经理， 负责公司金融软件业务；现任公司董事、副总经理、董事会秘书。</w:t>
      </w:r>
    </w:p>
    <w:p>
      <w:pPr>
        <w:pStyle w:val="BodyText"/>
        <w:spacing w:line="316" w:lineRule="auto" w:before="19"/>
        <w:ind w:right="1128" w:firstLine="360"/>
        <w:jc w:val="both"/>
      </w:pPr>
      <w:r>
        <w:rPr>
          <w:rFonts w:ascii="宋体" w:hAnsi="宋体" w:cs="宋体" w:eastAsia="宋体" w:hint="default"/>
          <w:b/>
          <w:bCs/>
          <w:spacing w:val="-2"/>
        </w:rPr>
        <w:t>罗云波</w:t>
      </w:r>
      <w:r>
        <w:rPr>
          <w:spacing w:val="-2"/>
        </w:rPr>
        <w:t>，女，</w:t>
      </w:r>
      <w:r>
        <w:rPr>
          <w:rFonts w:ascii="宋体" w:hAnsi="宋体" w:cs="宋体" w:eastAsia="宋体" w:hint="default"/>
          <w:spacing w:val="-2"/>
        </w:rPr>
        <w:t>1964</w:t>
      </w:r>
      <w:r>
        <w:rPr>
          <w:spacing w:val="-2"/>
        </w:rPr>
        <w:t>年</w:t>
      </w:r>
      <w:r>
        <w:rPr>
          <w:rFonts w:ascii="宋体" w:hAnsi="宋体" w:cs="宋体" w:eastAsia="宋体" w:hint="default"/>
          <w:spacing w:val="-2"/>
        </w:rPr>
        <w:t>1</w:t>
      </w:r>
      <w:r>
        <w:rPr>
          <w:spacing w:val="-2"/>
        </w:rPr>
        <w:t>月出生，中国籍，无境外永久居留权，毕业于云南大学数学专业，本科学历。</w:t>
      </w:r>
      <w:r>
        <w:rPr>
          <w:rFonts w:ascii="宋体" w:hAnsi="宋体" w:cs="宋体" w:eastAsia="宋体" w:hint="default"/>
          <w:spacing w:val="-2"/>
        </w:rPr>
        <w:t>1984</w:t>
      </w:r>
      <w:r>
        <w:rPr>
          <w:spacing w:val="-2"/>
        </w:rPr>
        <w:t>年</w:t>
      </w:r>
      <w:r>
        <w:rPr>
          <w:rFonts w:ascii="宋体" w:hAnsi="宋体" w:cs="宋体" w:eastAsia="宋体" w:hint="default"/>
          <w:spacing w:val="-2"/>
        </w:rPr>
        <w:t>-2000</w:t>
      </w:r>
      <w:r>
        <w:rPr>
          <w:spacing w:val="-2"/>
        </w:rPr>
        <w:t>年，就</w:t>
      </w:r>
      <w:r>
        <w:rPr/>
        <w:t> </w:t>
      </w:r>
      <w:r>
        <w:rPr>
          <w:spacing w:val="-2"/>
        </w:rPr>
        <w:t>职于云南南天电子信息产业股份有限公司；</w:t>
      </w:r>
      <w:r>
        <w:rPr>
          <w:rFonts w:ascii="宋体" w:hAnsi="宋体" w:cs="宋体" w:eastAsia="宋体" w:hint="default"/>
          <w:spacing w:val="-2"/>
        </w:rPr>
        <w:t>2000</w:t>
      </w:r>
      <w:r>
        <w:rPr>
          <w:spacing w:val="-2"/>
        </w:rPr>
        <w:t>年入职本公司，曾任公司市场部总经理，负责公司市场开拓工作；现任公司</w:t>
      </w:r>
      <w:r>
        <w:rPr>
          <w:spacing w:val="-60"/>
        </w:rPr>
        <w:t> </w:t>
      </w:r>
      <w:r>
        <w:rPr>
          <w:spacing w:val="-60"/>
        </w:rPr>
      </w:r>
      <w:r>
        <w:rPr>
          <w:spacing w:val="-2"/>
        </w:rPr>
        <w:t>董事、常务副总经理。罗云波于金融信息化领域拥有超过</w:t>
      </w:r>
      <w:r>
        <w:rPr>
          <w:rFonts w:ascii="宋体" w:hAnsi="宋体" w:cs="宋体" w:eastAsia="宋体" w:hint="default"/>
          <w:spacing w:val="-2"/>
        </w:rPr>
        <w:t>30</w:t>
      </w:r>
      <w:r>
        <w:rPr>
          <w:spacing w:val="-2"/>
        </w:rPr>
        <w:t>年的从业经验，曾荣获中国金融科技发展论坛“十大金融科技企</w:t>
      </w:r>
      <w:r>
        <w:rPr>
          <w:spacing w:val="-61"/>
        </w:rPr>
        <w:t> </w:t>
      </w:r>
      <w:r>
        <w:rPr>
          <w:spacing w:val="-61"/>
        </w:rPr>
      </w:r>
      <w:r>
        <w:rPr/>
        <w:t>业杰出人物”奖。</w:t>
      </w:r>
    </w:p>
    <w:p>
      <w:pPr>
        <w:pStyle w:val="BodyText"/>
        <w:spacing w:line="319" w:lineRule="auto" w:before="19"/>
        <w:ind w:right="1042" w:firstLine="360"/>
        <w:jc w:val="both"/>
      </w:pPr>
      <w:r>
        <w:rPr>
          <w:rFonts w:ascii="宋体" w:hAnsi="宋体" w:cs="宋体" w:eastAsia="宋体" w:hint="default"/>
          <w:b/>
          <w:bCs/>
        </w:rPr>
        <w:t>金麟</w:t>
      </w:r>
      <w:r>
        <w:rPr/>
        <w:t>，男，</w:t>
      </w:r>
      <w:r>
        <w:rPr>
          <w:rFonts w:ascii="宋体" w:hAnsi="宋体" w:cs="宋体" w:eastAsia="宋体" w:hint="default"/>
        </w:rPr>
        <w:t>1971</w:t>
      </w:r>
      <w:r>
        <w:rPr/>
        <w:t>年</w:t>
      </w:r>
      <w:r>
        <w:rPr>
          <w:rFonts w:ascii="宋体" w:hAnsi="宋体" w:cs="宋体" w:eastAsia="宋体" w:hint="default"/>
        </w:rPr>
        <w:t>7</w:t>
      </w:r>
      <w:r>
        <w:rPr/>
        <w:t>月出生，中国籍，无境外永久居留权，毕业于云南工业大学计算机应用专业，本科学历，四川大学 工商管理硕士。</w:t>
      </w:r>
      <w:r>
        <w:rPr>
          <w:rFonts w:ascii="宋体" w:hAnsi="宋体" w:cs="宋体" w:eastAsia="宋体" w:hint="default"/>
        </w:rPr>
        <w:t>1992</w:t>
      </w:r>
      <w:r>
        <w:rPr/>
        <w:t>年</w:t>
      </w:r>
      <w:r>
        <w:rPr>
          <w:rFonts w:ascii="宋体" w:hAnsi="宋体" w:cs="宋体" w:eastAsia="宋体" w:hint="default"/>
        </w:rPr>
        <w:t>-2000</w:t>
      </w:r>
      <w:r>
        <w:rPr/>
        <w:t>年，就职于云南南天电子信息产业股份有限公司；</w:t>
      </w:r>
      <w:r>
        <w:rPr>
          <w:rFonts w:ascii="宋体" w:hAnsi="宋体" w:cs="宋体" w:eastAsia="宋体" w:hint="default"/>
        </w:rPr>
        <w:t>2000</w:t>
      </w:r>
      <w:r>
        <w:rPr/>
        <w:t>年入职本公司，曾任公司市场部总监、</w:t>
      </w:r>
      <w:r>
        <w:rPr>
          <w:spacing w:val="-87"/>
        </w:rPr>
        <w:t> </w:t>
      </w:r>
      <w:r>
        <w:rPr>
          <w:spacing w:val="-87"/>
        </w:rPr>
      </w:r>
      <w:r>
        <w:rPr>
          <w:spacing w:val="-4"/>
        </w:rPr>
        <w:t>企业数据整合部总经理，负责公司数据整合业务。现任公司董事、副总经理。金麟于金融信息化领域拥有</w:t>
      </w:r>
      <w:r>
        <w:rPr>
          <w:rFonts w:ascii="宋体" w:hAnsi="宋体" w:cs="宋体" w:eastAsia="宋体" w:hint="default"/>
          <w:spacing w:val="-4"/>
        </w:rPr>
        <w:t>20</w:t>
      </w:r>
      <w:r>
        <w:rPr>
          <w:spacing w:val="-4"/>
        </w:rPr>
        <w:t>余年的从业经验。</w:t>
      </w:r>
    </w:p>
    <w:p>
      <w:pPr>
        <w:pStyle w:val="BodyText"/>
        <w:spacing w:line="316" w:lineRule="auto" w:before="17"/>
        <w:ind w:right="1132" w:firstLine="360"/>
        <w:jc w:val="both"/>
      </w:pPr>
      <w:r>
        <w:rPr>
          <w:rFonts w:ascii="宋体" w:hAnsi="宋体" w:cs="宋体" w:eastAsia="宋体" w:hint="default"/>
          <w:b/>
          <w:bCs/>
          <w:spacing w:val="-2"/>
        </w:rPr>
        <w:t>范丽明</w:t>
      </w:r>
      <w:r>
        <w:rPr>
          <w:spacing w:val="-2"/>
        </w:rPr>
        <w:t>，女，</w:t>
      </w:r>
      <w:r>
        <w:rPr>
          <w:rFonts w:ascii="宋体" w:hAnsi="宋体" w:cs="宋体" w:eastAsia="宋体" w:hint="default"/>
          <w:spacing w:val="-2"/>
        </w:rPr>
        <w:t>1949</w:t>
      </w:r>
      <w:r>
        <w:rPr>
          <w:spacing w:val="-2"/>
        </w:rPr>
        <w:t>年</w:t>
      </w:r>
      <w:r>
        <w:rPr>
          <w:rFonts w:ascii="宋体" w:hAnsi="宋体" w:cs="宋体" w:eastAsia="宋体" w:hint="default"/>
          <w:spacing w:val="-2"/>
        </w:rPr>
        <w:t>1</w:t>
      </w:r>
      <w:r>
        <w:rPr>
          <w:spacing w:val="-2"/>
        </w:rPr>
        <w:t>月出生，中国籍，无境外永久居留权，毕业于云南大学汉语言文学专业，本科学历。</w:t>
      </w:r>
      <w:r>
        <w:rPr>
          <w:rFonts w:ascii="宋体" w:hAnsi="宋体" w:cs="宋体" w:eastAsia="宋体" w:hint="default"/>
          <w:spacing w:val="-2"/>
        </w:rPr>
        <w:t>1986</w:t>
      </w:r>
      <w:r>
        <w:rPr>
          <w:spacing w:val="-2"/>
        </w:rPr>
        <w:t>年</w:t>
      </w:r>
      <w:r>
        <w:rPr>
          <w:rFonts w:ascii="宋体" w:hAnsi="宋体" w:cs="宋体" w:eastAsia="宋体" w:hint="default"/>
          <w:spacing w:val="-2"/>
        </w:rPr>
        <w:t>-2000</w:t>
      </w:r>
      <w:r>
        <w:rPr>
          <w:rFonts w:ascii="宋体" w:hAnsi="宋体" w:cs="宋体" w:eastAsia="宋体" w:hint="default"/>
        </w:rPr>
        <w:t> </w:t>
      </w:r>
      <w:r>
        <w:rPr>
          <w:spacing w:val="-2"/>
        </w:rPr>
        <w:t>年，就职于云南南天电子信息产业股份有限公司；</w:t>
      </w:r>
      <w:r>
        <w:rPr>
          <w:rFonts w:ascii="宋体" w:hAnsi="宋体" w:cs="宋体" w:eastAsia="宋体" w:hint="default"/>
          <w:spacing w:val="-2"/>
        </w:rPr>
        <w:t>2000</w:t>
      </w:r>
      <w:r>
        <w:rPr>
          <w:spacing w:val="-2"/>
        </w:rPr>
        <w:t>年入职本公司，曾任公司首席执行官；现任公司董事。范丽明于金融</w:t>
      </w:r>
      <w:r>
        <w:rPr>
          <w:spacing w:val="-64"/>
        </w:rPr>
        <w:t> </w:t>
      </w:r>
      <w:r>
        <w:rPr>
          <w:spacing w:val="-64"/>
        </w:rPr>
      </w:r>
      <w:r>
        <w:rPr/>
        <w:t>信息化领域拥有超过</w:t>
      </w:r>
      <w:r>
        <w:rPr>
          <w:rFonts w:ascii="宋体" w:hAnsi="宋体" w:cs="宋体" w:eastAsia="宋体" w:hint="default"/>
        </w:rPr>
        <w:t>30</w:t>
      </w:r>
      <w:r>
        <w:rPr/>
        <w:t>年的从业经验。</w:t>
      </w:r>
    </w:p>
    <w:p>
      <w:pPr>
        <w:pStyle w:val="BodyText"/>
        <w:spacing w:line="316" w:lineRule="auto" w:before="19"/>
        <w:ind w:right="1028" w:firstLine="360"/>
        <w:jc w:val="left"/>
      </w:pPr>
      <w:r>
        <w:rPr>
          <w:rFonts w:ascii="宋体" w:hAnsi="宋体" w:cs="宋体" w:eastAsia="宋体" w:hint="default"/>
          <w:b/>
          <w:bCs/>
        </w:rPr>
        <w:t>苏文力</w:t>
      </w:r>
      <w:r>
        <w:rPr/>
        <w:t>，男，</w:t>
      </w:r>
      <w:r>
        <w:rPr>
          <w:rFonts w:ascii="宋体" w:hAnsi="宋体" w:cs="宋体" w:eastAsia="宋体" w:hint="default"/>
        </w:rPr>
        <w:t>1962</w:t>
      </w:r>
      <w:r>
        <w:rPr/>
        <w:t>年</w:t>
      </w:r>
      <w:r>
        <w:rPr>
          <w:rFonts w:ascii="宋体" w:hAnsi="宋体" w:cs="宋体" w:eastAsia="宋体" w:hint="default"/>
        </w:rPr>
        <w:t>9</w:t>
      </w:r>
      <w:r>
        <w:rPr/>
        <w:t>月出生，中国籍，无境外永久居留权，毕业于北京计算机学院，哈尔滨工业大学在职硕士。</w:t>
      </w:r>
      <w:r>
        <w:rPr>
          <w:rFonts w:ascii="宋体" w:hAnsi="宋体" w:cs="宋体" w:eastAsia="宋体" w:hint="default"/>
        </w:rPr>
        <w:t>1984 </w:t>
      </w:r>
      <w:r>
        <w:rPr>
          <w:spacing w:val="-2"/>
        </w:rPr>
        <w:t>年至</w:t>
      </w:r>
      <w:r>
        <w:rPr>
          <w:rFonts w:ascii="宋体" w:hAnsi="宋体" w:cs="宋体" w:eastAsia="宋体" w:hint="default"/>
          <w:spacing w:val="-2"/>
        </w:rPr>
        <w:t>2012</w:t>
      </w:r>
      <w:r>
        <w:rPr>
          <w:spacing w:val="-2"/>
        </w:rPr>
        <w:t>年就职于中国工商银行股份有限公司，担任部门总经理，负责</w:t>
      </w:r>
      <w:r>
        <w:rPr>
          <w:rFonts w:ascii="宋体" w:hAnsi="宋体" w:cs="宋体" w:eastAsia="宋体" w:hint="default"/>
          <w:spacing w:val="-2"/>
        </w:rPr>
        <w:t>IT</w:t>
      </w:r>
      <w:r>
        <w:rPr>
          <w:spacing w:val="-2"/>
        </w:rPr>
        <w:t>开发、产品创新管理工作。</w:t>
      </w:r>
      <w:r>
        <w:rPr>
          <w:rFonts w:ascii="宋体" w:hAnsi="宋体" w:cs="宋体" w:eastAsia="宋体" w:hint="default"/>
          <w:spacing w:val="-2"/>
        </w:rPr>
        <w:t>2012</w:t>
      </w:r>
      <w:r>
        <w:rPr>
          <w:spacing w:val="-2"/>
        </w:rPr>
        <w:t>至今，就职于阳光</w:t>
      </w:r>
      <w:r>
        <w:rPr>
          <w:spacing w:val="-62"/>
        </w:rPr>
        <w:t> </w:t>
      </w:r>
      <w:r>
        <w:rPr>
          <w:spacing w:val="-62"/>
        </w:rPr>
      </w:r>
      <w:r>
        <w:rPr>
          <w:spacing w:val="-3"/>
        </w:rPr>
        <w:t>保险集团股份有限公司，担任总裁助理，分管创新、</w:t>
      </w:r>
      <w:r>
        <w:rPr>
          <w:rFonts w:ascii="宋体" w:hAnsi="宋体" w:cs="宋体" w:eastAsia="宋体" w:hint="default"/>
          <w:spacing w:val="-3"/>
        </w:rPr>
        <w:t>IT</w:t>
      </w:r>
      <w:r>
        <w:rPr>
          <w:spacing w:val="-3"/>
        </w:rPr>
        <w:t>、大数据工作；</w:t>
      </w:r>
      <w:r>
        <w:rPr>
          <w:rFonts w:ascii="宋体" w:hAnsi="宋体" w:cs="宋体" w:eastAsia="宋体" w:hint="default"/>
          <w:spacing w:val="-3"/>
        </w:rPr>
        <w:t>2014</w:t>
      </w:r>
      <w:r>
        <w:rPr>
          <w:spacing w:val="-3"/>
        </w:rPr>
        <w:t>年开始担任金生无忧信息技术有限责任公司董事；</w:t>
      </w:r>
      <w:r>
        <w:rPr/>
        <w:t> </w:t>
      </w:r>
      <w:r>
        <w:rPr>
          <w:rFonts w:ascii="宋体" w:hAnsi="宋体" w:cs="宋体" w:eastAsia="宋体" w:hint="default"/>
        </w:rPr>
        <w:t>2016</w:t>
      </w:r>
      <w:r>
        <w:rPr/>
        <w:t>年至今还担任航天信息股份有限公司独立董事。</w:t>
      </w:r>
      <w:r>
        <w:rPr>
          <w:rFonts w:ascii="宋体" w:hAnsi="宋体" w:cs="宋体" w:eastAsia="宋体" w:hint="default"/>
        </w:rPr>
        <w:t>2017</w:t>
      </w:r>
      <w:r>
        <w:rPr/>
        <w:t>年</w:t>
      </w:r>
      <w:r>
        <w:rPr>
          <w:rFonts w:ascii="宋体" w:hAnsi="宋体" w:cs="宋体" w:eastAsia="宋体" w:hint="default"/>
        </w:rPr>
        <w:t>6</w:t>
      </w:r>
      <w:r>
        <w:rPr/>
        <w:t>月起，担任本公司独立董事。</w:t>
      </w:r>
    </w:p>
    <w:p>
      <w:pPr>
        <w:pStyle w:val="BodyText"/>
        <w:spacing w:line="319" w:lineRule="auto" w:before="19"/>
        <w:ind w:right="1044" w:firstLine="360"/>
        <w:jc w:val="left"/>
      </w:pPr>
      <w:r>
        <w:rPr>
          <w:rFonts w:ascii="宋体" w:hAnsi="宋体" w:cs="宋体" w:eastAsia="宋体" w:hint="default"/>
          <w:b/>
          <w:bCs/>
          <w:spacing w:val="-2"/>
        </w:rPr>
        <w:t>蔡瑾</w:t>
      </w:r>
      <w:r>
        <w:rPr>
          <w:spacing w:val="-2"/>
        </w:rPr>
        <w:t>，女，</w:t>
      </w:r>
      <w:r>
        <w:rPr>
          <w:rFonts w:ascii="宋体" w:hAnsi="宋体" w:cs="宋体" w:eastAsia="宋体" w:hint="default"/>
          <w:spacing w:val="-2"/>
        </w:rPr>
        <w:t>1962</w:t>
      </w:r>
      <w:r>
        <w:rPr>
          <w:spacing w:val="-2"/>
        </w:rPr>
        <w:t>年</w:t>
      </w:r>
      <w:r>
        <w:rPr>
          <w:rFonts w:ascii="宋体" w:hAnsi="宋体" w:cs="宋体" w:eastAsia="宋体" w:hint="default"/>
          <w:spacing w:val="-2"/>
        </w:rPr>
        <w:t>10</w:t>
      </w:r>
      <w:r>
        <w:rPr>
          <w:spacing w:val="-2"/>
        </w:rPr>
        <w:t>月出生，中国籍，无境外永久居留权，毕业于中国银行职工大学国际金融专业，大学专科学历，高</w:t>
      </w:r>
      <w:r>
        <w:rPr/>
        <w:t> 级经济师，资深银行业务专家。</w:t>
      </w:r>
      <w:r>
        <w:rPr>
          <w:rFonts w:ascii="宋体" w:hAnsi="宋体" w:cs="宋体" w:eastAsia="宋体" w:hint="default"/>
        </w:rPr>
        <w:t>1981</w:t>
      </w:r>
      <w:r>
        <w:rPr/>
        <w:t>年</w:t>
      </w:r>
      <w:r>
        <w:rPr>
          <w:rFonts w:ascii="宋体" w:hAnsi="宋体" w:cs="宋体" w:eastAsia="宋体" w:hint="default"/>
        </w:rPr>
        <w:t>-2017</w:t>
      </w:r>
      <w:r>
        <w:rPr/>
        <w:t>年就职于中国银行总行，分别在信息科技部、资产负债管理部、管理信息部、</w:t>
      </w:r>
      <w:r>
        <w:rPr>
          <w:spacing w:val="-86"/>
        </w:rPr>
        <w:t> </w:t>
      </w:r>
      <w:r>
        <w:rPr>
          <w:spacing w:val="-86"/>
        </w:rPr>
      </w:r>
      <w:r>
        <w:rPr>
          <w:spacing w:val="-4"/>
        </w:rPr>
        <w:t>会计信息部等部门工作并任职，参与多项金融监管统计政策法规的制定和解读，擅长管理信息应用领域需求分析和项目实施，</w:t>
      </w:r>
      <w:r>
        <w:rPr>
          <w:spacing w:val="-44"/>
        </w:rPr>
        <w:t> </w:t>
      </w:r>
      <w:r>
        <w:rPr>
          <w:spacing w:val="-44"/>
        </w:rPr>
      </w:r>
      <w:r>
        <w:rPr>
          <w:spacing w:val="-2"/>
        </w:rPr>
        <w:t>所主持参与的项目曾二次荣获中国人民银行科技进步三等奖，在监管统计和管理信息应用系统建设领域拥有超过</w:t>
      </w:r>
      <w:r>
        <w:rPr>
          <w:rFonts w:ascii="宋体" w:hAnsi="宋体" w:cs="宋体" w:eastAsia="宋体" w:hint="default"/>
          <w:spacing w:val="-2"/>
        </w:rPr>
        <w:t>30</w:t>
      </w:r>
      <w:r>
        <w:rPr>
          <w:spacing w:val="-2"/>
        </w:rPr>
        <w:t>多年的从</w:t>
      </w:r>
      <w:r>
        <w:rPr>
          <w:spacing w:val="-62"/>
        </w:rPr>
        <w:t> </w:t>
      </w:r>
      <w:r>
        <w:rPr>
          <w:spacing w:val="-62"/>
        </w:rPr>
      </w:r>
      <w:r>
        <w:rPr/>
        <w:t>业经验。</w:t>
      </w:r>
      <w:r>
        <w:rPr>
          <w:rFonts w:ascii="宋体" w:hAnsi="宋体" w:cs="宋体" w:eastAsia="宋体" w:hint="default"/>
        </w:rPr>
        <w:t>2018</w:t>
      </w:r>
      <w:r>
        <w:rPr/>
        <w:t>年</w:t>
      </w:r>
      <w:r>
        <w:rPr>
          <w:rFonts w:ascii="宋体" w:hAnsi="宋体" w:cs="宋体" w:eastAsia="宋体" w:hint="default"/>
        </w:rPr>
        <w:t>10</w:t>
      </w:r>
      <w:r>
        <w:rPr/>
        <w:t>月起，担任本公司独立董事。</w:t>
      </w:r>
    </w:p>
    <w:p>
      <w:pPr>
        <w:pStyle w:val="BodyText"/>
        <w:spacing w:line="316" w:lineRule="auto" w:before="17"/>
        <w:ind w:right="1129" w:firstLine="360"/>
        <w:jc w:val="both"/>
      </w:pPr>
      <w:r>
        <w:rPr>
          <w:rFonts w:ascii="宋体" w:hAnsi="宋体" w:cs="宋体" w:eastAsia="宋体" w:hint="default"/>
          <w:b/>
          <w:bCs/>
        </w:rPr>
        <w:t>肖红英</w:t>
      </w:r>
      <w:r>
        <w:rPr/>
        <w:t>，女，</w:t>
      </w:r>
      <w:r>
        <w:rPr>
          <w:rFonts w:ascii="宋体" w:hAnsi="宋体" w:cs="宋体" w:eastAsia="宋体" w:hint="default"/>
        </w:rPr>
        <w:t>1953</w:t>
      </w:r>
      <w:r>
        <w:rPr/>
        <w:t>年</w:t>
      </w:r>
      <w:r>
        <w:rPr>
          <w:rFonts w:ascii="宋体" w:hAnsi="宋体" w:cs="宋体" w:eastAsia="宋体" w:hint="default"/>
        </w:rPr>
        <w:t>2</w:t>
      </w:r>
      <w:r>
        <w:rPr/>
        <w:t>月出生，中国国籍，无境外永久居留权。毕业于对外经济贸易大学工商管理专业，硕士研究生学 历。高级会计师。</w:t>
      </w:r>
      <w:r>
        <w:rPr>
          <w:rFonts w:ascii="宋体" w:hAnsi="宋体" w:cs="宋体" w:eastAsia="宋体" w:hint="default"/>
        </w:rPr>
        <w:t>1982</w:t>
      </w:r>
      <w:r>
        <w:rPr/>
        <w:t>年—</w:t>
      </w:r>
      <w:r>
        <w:rPr>
          <w:rFonts w:ascii="宋体" w:hAnsi="宋体" w:cs="宋体" w:eastAsia="宋体" w:hint="default"/>
        </w:rPr>
        <w:t>1988</w:t>
      </w:r>
      <w:r>
        <w:rPr/>
        <w:t>年在对外经济贸易部（现商务部）财务司、审计局工作，曾任副处长职务；</w:t>
      </w:r>
      <w:r>
        <w:rPr>
          <w:rFonts w:ascii="宋体" w:hAnsi="宋体" w:cs="宋体" w:eastAsia="宋体" w:hint="default"/>
        </w:rPr>
        <w:t>1988</w:t>
      </w:r>
      <w:r>
        <w:rPr/>
        <w:t>年—</w:t>
      </w:r>
      <w:r>
        <w:rPr>
          <w:rFonts w:ascii="宋体" w:hAnsi="宋体" w:cs="宋体" w:eastAsia="宋体" w:hint="default"/>
        </w:rPr>
        <w:t>2014</w:t>
      </w:r>
      <w:r>
        <w:rPr>
          <w:rFonts w:ascii="宋体" w:hAnsi="宋体" w:cs="宋体" w:eastAsia="宋体" w:hint="default"/>
          <w:spacing w:val="-6"/>
        </w:rPr>
        <w:t> </w:t>
      </w:r>
      <w:r>
        <w:rPr>
          <w:rFonts w:ascii="宋体" w:hAnsi="宋体" w:cs="宋体" w:eastAsia="宋体" w:hint="default"/>
          <w:spacing w:val="-6"/>
        </w:rPr>
      </w:r>
      <w:r>
        <w:rPr>
          <w:spacing w:val="-2"/>
        </w:rPr>
        <w:t>年在中国丝绸进出口总公司（现中国中丝集团公司）工作，曾任副处长、处长、总会计师职务，</w:t>
      </w:r>
      <w:r>
        <w:rPr>
          <w:rFonts w:ascii="宋体" w:hAnsi="宋体" w:cs="宋体" w:eastAsia="宋体" w:hint="default"/>
          <w:spacing w:val="-2"/>
        </w:rPr>
        <w:t>2015</w:t>
      </w:r>
      <w:r>
        <w:rPr>
          <w:spacing w:val="-2"/>
        </w:rPr>
        <w:t>年至今任佳通轮胎股份</w:t>
      </w:r>
      <w:r>
        <w:rPr>
          <w:spacing w:val="-63"/>
        </w:rPr>
        <w:t> </w:t>
      </w:r>
      <w:r>
        <w:rPr>
          <w:spacing w:val="-63"/>
        </w:rPr>
      </w:r>
      <w:r>
        <w:rPr>
          <w:spacing w:val="-2"/>
        </w:rPr>
        <w:t>有限公司独立董事；</w:t>
      </w:r>
      <w:r>
        <w:rPr>
          <w:rFonts w:ascii="宋体" w:hAnsi="宋体" w:cs="宋体" w:eastAsia="宋体" w:hint="default"/>
          <w:spacing w:val="-2"/>
        </w:rPr>
        <w:t>2016</w:t>
      </w:r>
      <w:r>
        <w:rPr>
          <w:spacing w:val="-2"/>
        </w:rPr>
        <w:t>年至今任创业黑马（北京）科技股份有限公司独立董事；</w:t>
      </w:r>
      <w:r>
        <w:rPr>
          <w:rFonts w:ascii="宋体" w:hAnsi="宋体" w:cs="宋体" w:eastAsia="宋体" w:hint="default"/>
          <w:spacing w:val="-2"/>
        </w:rPr>
        <w:t>2019</w:t>
      </w:r>
      <w:r>
        <w:rPr>
          <w:spacing w:val="-2"/>
        </w:rPr>
        <w:t>年至今担任青矩技术股份有限公司独</w:t>
      </w:r>
      <w:r>
        <w:rPr>
          <w:spacing w:val="-57"/>
        </w:rPr>
        <w:t> </w:t>
      </w:r>
      <w:r>
        <w:rPr>
          <w:spacing w:val="-57"/>
        </w:rPr>
      </w:r>
      <w:r>
        <w:rPr/>
        <w:t>立董事。</w:t>
      </w:r>
      <w:r>
        <w:rPr>
          <w:rFonts w:ascii="宋体" w:hAnsi="宋体" w:cs="宋体" w:eastAsia="宋体" w:hint="default"/>
        </w:rPr>
        <w:t>2018</w:t>
      </w:r>
      <w:r>
        <w:rPr/>
        <w:t>年</w:t>
      </w:r>
      <w:r>
        <w:rPr>
          <w:rFonts w:ascii="宋体" w:hAnsi="宋体" w:cs="宋体" w:eastAsia="宋体" w:hint="default"/>
        </w:rPr>
        <w:t>10</w:t>
      </w:r>
      <w:r>
        <w:rPr/>
        <w:t>月起，担任本公司独立董事。</w:t>
      </w:r>
    </w:p>
    <w:p>
      <w:pPr>
        <w:pStyle w:val="Heading5"/>
        <w:spacing w:line="240" w:lineRule="auto"/>
        <w:ind w:left="473" w:right="1133"/>
        <w:jc w:val="left"/>
        <w:rPr>
          <w:b w:val="0"/>
          <w:bCs w:val="0"/>
        </w:rPr>
      </w:pPr>
      <w:r>
        <w:rPr/>
        <w:t>（二）公司现任监事简要情况</w:t>
      </w:r>
      <w:r>
        <w:rPr>
          <w:b w:val="0"/>
          <w:bCs w:val="0"/>
        </w:rPr>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319" w:lineRule="auto" w:before="44"/>
        <w:ind w:right="1130" w:firstLine="360"/>
        <w:jc w:val="both"/>
      </w:pPr>
      <w:r>
        <w:rPr>
          <w:rFonts w:ascii="宋体" w:hAnsi="宋体" w:cs="宋体" w:eastAsia="宋体" w:hint="default"/>
          <w:b/>
          <w:bCs/>
        </w:rPr>
        <w:t>杨格平</w:t>
      </w:r>
      <w:r>
        <w:rPr/>
        <w:t>，男，</w:t>
      </w:r>
      <w:r>
        <w:rPr>
          <w:rFonts w:ascii="宋体" w:hAnsi="宋体" w:cs="宋体" w:eastAsia="宋体" w:hint="default"/>
        </w:rPr>
        <w:t>1961</w:t>
      </w:r>
      <w:r>
        <w:rPr/>
        <w:t>年</w:t>
      </w:r>
      <w:r>
        <w:rPr>
          <w:rFonts w:ascii="宋体" w:hAnsi="宋体" w:cs="宋体" w:eastAsia="宋体" w:hint="default"/>
        </w:rPr>
        <w:t>12</w:t>
      </w:r>
      <w:r>
        <w:rPr/>
        <w:t>月出生，中国籍，无境外永久居留权，毕业于云南大学计算数学专业，本科学历。</w:t>
      </w:r>
      <w:r>
        <w:rPr>
          <w:rFonts w:ascii="宋体" w:hAnsi="宋体" w:cs="宋体" w:eastAsia="宋体" w:hint="default"/>
        </w:rPr>
        <w:t>1983</w:t>
      </w:r>
      <w:r>
        <w:rPr/>
        <w:t>年</w:t>
      </w:r>
      <w:r>
        <w:rPr>
          <w:rFonts w:ascii="宋体" w:hAnsi="宋体" w:cs="宋体" w:eastAsia="宋体" w:hint="default"/>
        </w:rPr>
        <w:t>-2000 </w:t>
      </w:r>
      <w:r>
        <w:rPr>
          <w:spacing w:val="-2"/>
        </w:rPr>
        <w:t>年，就职于云南南天电子信息产业股份有限公司；</w:t>
      </w:r>
      <w:r>
        <w:rPr>
          <w:rFonts w:ascii="宋体" w:hAnsi="宋体" w:cs="宋体" w:eastAsia="宋体" w:hint="default"/>
          <w:spacing w:val="-2"/>
        </w:rPr>
        <w:t>2000</w:t>
      </w:r>
      <w:r>
        <w:rPr>
          <w:spacing w:val="-2"/>
        </w:rPr>
        <w:t>年入职本公司，曾任公司北方区市场部总经理、商务部总经理，负责</w:t>
      </w:r>
      <w:r>
        <w:rPr>
          <w:spacing w:val="-65"/>
        </w:rPr>
        <w:t> </w:t>
      </w:r>
      <w:r>
        <w:rPr>
          <w:spacing w:val="-65"/>
        </w:rPr>
      </w:r>
      <w:r>
        <w:rPr/>
        <w:t>市场开拓、商务工作；现任公司监事会主席、商务部总经理。杨格平于金融信息化领域具有</w:t>
      </w:r>
      <w:r>
        <w:rPr>
          <w:rFonts w:ascii="宋体" w:hAnsi="宋体" w:cs="宋体" w:eastAsia="宋体" w:hint="default"/>
        </w:rPr>
        <w:t>30</w:t>
      </w:r>
      <w:r>
        <w:rPr/>
        <w:t>余年的从业经验。</w:t>
      </w:r>
    </w:p>
    <w:p>
      <w:pPr>
        <w:pStyle w:val="BodyText"/>
        <w:spacing w:line="316" w:lineRule="auto" w:before="17"/>
        <w:ind w:right="1132" w:firstLine="360"/>
        <w:jc w:val="both"/>
      </w:pPr>
      <w:r>
        <w:rPr>
          <w:rFonts w:ascii="宋体" w:hAnsi="宋体" w:cs="宋体" w:eastAsia="宋体" w:hint="default"/>
          <w:b/>
          <w:bCs/>
          <w:spacing w:val="-4"/>
        </w:rPr>
        <w:t>李显</w:t>
      </w:r>
      <w:r>
        <w:rPr>
          <w:spacing w:val="-4"/>
        </w:rPr>
        <w:t>，男，</w:t>
      </w:r>
      <w:r>
        <w:rPr>
          <w:rFonts w:ascii="宋体" w:hAnsi="宋体" w:cs="宋体" w:eastAsia="宋体" w:hint="default"/>
          <w:spacing w:val="-4"/>
        </w:rPr>
        <w:t>1987</w:t>
      </w:r>
      <w:r>
        <w:rPr>
          <w:spacing w:val="-4"/>
        </w:rPr>
        <w:t>年</w:t>
      </w:r>
      <w:r>
        <w:rPr>
          <w:rFonts w:ascii="宋体" w:hAnsi="宋体" w:cs="宋体" w:eastAsia="宋体" w:hint="default"/>
          <w:spacing w:val="-4"/>
        </w:rPr>
        <w:t>8</w:t>
      </w:r>
      <w:r>
        <w:rPr>
          <w:spacing w:val="-4"/>
        </w:rPr>
        <w:t>月出生，中国籍，无境外永久居留权，毕业于湖北工业大学计算机科学与技术专业，本科学历。</w:t>
      </w:r>
      <w:r>
        <w:rPr>
          <w:rFonts w:ascii="宋体" w:hAnsi="宋体" w:cs="宋体" w:eastAsia="宋体" w:hint="default"/>
          <w:spacing w:val="-4"/>
        </w:rPr>
        <w:t>2013</w:t>
      </w:r>
      <w:r>
        <w:rPr>
          <w:rFonts w:ascii="宋体" w:hAnsi="宋体" w:cs="宋体" w:eastAsia="宋体" w:hint="default"/>
        </w:rPr>
        <w:t> </w:t>
      </w:r>
      <w:r>
        <w:rPr/>
        <w:t>年起就职于本公司，现任公司</w:t>
      </w:r>
      <w:r>
        <w:rPr>
          <w:rFonts w:ascii="宋体" w:hAnsi="宋体" w:cs="宋体" w:eastAsia="宋体" w:hint="default"/>
        </w:rPr>
        <w:t>IT</w:t>
      </w:r>
      <w:r>
        <w:rPr/>
        <w:t>专员，负责公司</w:t>
      </w:r>
      <w:r>
        <w:rPr>
          <w:rFonts w:ascii="宋体" w:hAnsi="宋体" w:cs="宋体" w:eastAsia="宋体" w:hint="default"/>
        </w:rPr>
        <w:t>IT</w:t>
      </w:r>
      <w:r>
        <w:rPr/>
        <w:t>应用系统的运维工作。</w:t>
      </w:r>
    </w:p>
    <w:p>
      <w:pPr>
        <w:pStyle w:val="BodyText"/>
        <w:spacing w:line="316" w:lineRule="auto" w:before="19"/>
        <w:ind w:right="1128" w:firstLine="360"/>
        <w:jc w:val="both"/>
      </w:pPr>
      <w:r>
        <w:rPr>
          <w:rFonts w:ascii="宋体" w:hAnsi="宋体" w:cs="宋体" w:eastAsia="宋体" w:hint="default"/>
          <w:b/>
          <w:bCs/>
        </w:rPr>
        <w:t>马明丽</w:t>
      </w:r>
      <w:r>
        <w:rPr/>
        <w:t>，女，</w:t>
      </w:r>
      <w:r>
        <w:rPr>
          <w:rFonts w:ascii="宋体" w:hAnsi="宋体" w:cs="宋体" w:eastAsia="宋体" w:hint="default"/>
        </w:rPr>
        <w:t>1982</w:t>
      </w:r>
      <w:r>
        <w:rPr/>
        <w:t>年</w:t>
      </w:r>
      <w:r>
        <w:rPr>
          <w:rFonts w:ascii="宋体" w:hAnsi="宋体" w:cs="宋体" w:eastAsia="宋体" w:hint="default"/>
        </w:rPr>
        <w:t>9</w:t>
      </w:r>
      <w:r>
        <w:rPr/>
        <w:t>月出生，中国籍，无境外永久居留权，毕业于江南大学行政管理专业，大专学历。</w:t>
      </w:r>
      <w:r>
        <w:rPr>
          <w:rFonts w:ascii="宋体" w:hAnsi="宋体" w:cs="宋体" w:eastAsia="宋体" w:hint="default"/>
        </w:rPr>
        <w:t>2003</w:t>
      </w:r>
      <w:r>
        <w:rPr/>
        <w:t>年起就职 于本公司，曾任市场助理，客户经理等职务，现任公司集成服务事业部业务中心总监，负责销售及业务中心管理工作。</w:t>
      </w:r>
    </w:p>
    <w:p>
      <w:pPr>
        <w:spacing w:line="316" w:lineRule="auto" w:before="19"/>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（三）公司现任非董事高管简要情况</w:t>
      </w:r>
      <w:r>
        <w:rPr>
          <w:rFonts w:ascii="宋体" w:hAnsi="宋体" w:cs="宋体" w:eastAsia="宋体" w:hint="default"/>
          <w:b/>
          <w:bCs/>
          <w:w w:val="99"/>
          <w:sz w:val="18"/>
          <w:szCs w:val="18"/>
        </w:rPr>
        <w:t> </w:t>
      </w:r>
      <w:r>
        <w:rPr>
          <w:rFonts w:ascii="宋体" w:hAnsi="宋体" w:cs="宋体" w:eastAsia="宋体" w:hint="default"/>
          <w:b/>
          <w:bCs/>
          <w:spacing w:val="-2"/>
          <w:sz w:val="18"/>
          <w:szCs w:val="18"/>
        </w:rPr>
        <w:t>吴文胜</w:t>
      </w:r>
      <w:r>
        <w:rPr>
          <w:rFonts w:ascii="宋体" w:hAnsi="宋体" w:cs="宋体" w:eastAsia="宋体" w:hint="default"/>
          <w:spacing w:val="-2"/>
          <w:sz w:val="18"/>
          <w:szCs w:val="18"/>
        </w:rPr>
        <w:t>，女，</w:t>
      </w:r>
      <w:r>
        <w:rPr>
          <w:rFonts w:ascii="宋体" w:hAnsi="宋体" w:cs="宋体" w:eastAsia="宋体" w:hint="default"/>
          <w:spacing w:val="-2"/>
          <w:sz w:val="18"/>
          <w:szCs w:val="18"/>
        </w:rPr>
        <w:t>1967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月出生，中国籍，无境外永久居留权，毕业于首都师范大学生物学专业，本科学历。</w:t>
      </w:r>
      <w:r>
        <w:rPr>
          <w:rFonts w:ascii="宋体" w:hAnsi="宋体" w:cs="宋体" w:eastAsia="宋体" w:hint="default"/>
          <w:spacing w:val="-2"/>
          <w:sz w:val="18"/>
          <w:szCs w:val="18"/>
        </w:rPr>
        <w:t>1998</w:t>
      </w:r>
      <w:r>
        <w:rPr>
          <w:rFonts w:ascii="宋体" w:hAnsi="宋体" w:cs="宋体" w:eastAsia="宋体" w:hint="default"/>
          <w:spacing w:val="-2"/>
          <w:sz w:val="18"/>
          <w:szCs w:val="18"/>
        </w:rPr>
        <w:t>年，曾</w:t>
      </w:r>
    </w:p>
    <w:p>
      <w:pPr>
        <w:pStyle w:val="BodyText"/>
        <w:spacing w:line="316" w:lineRule="auto" w:before="19"/>
        <w:ind w:right="1127"/>
        <w:jc w:val="left"/>
      </w:pPr>
      <w:r>
        <w:rPr>
          <w:spacing w:val="-3"/>
        </w:rPr>
        <w:t>任北京同康信息有限责任公司会计，从事会计工作；</w:t>
      </w:r>
      <w:r>
        <w:rPr>
          <w:rFonts w:ascii="宋体" w:hAnsi="宋体" w:cs="宋体" w:eastAsia="宋体" w:hint="default"/>
          <w:spacing w:val="-3"/>
        </w:rPr>
        <w:t>1998</w:t>
      </w:r>
      <w:r>
        <w:rPr>
          <w:spacing w:val="-3"/>
        </w:rPr>
        <w:t>年</w:t>
      </w:r>
      <w:r>
        <w:rPr>
          <w:rFonts w:ascii="宋体" w:hAnsi="宋体" w:cs="宋体" w:eastAsia="宋体" w:hint="default"/>
          <w:spacing w:val="-3"/>
        </w:rPr>
        <w:t>-1999</w:t>
      </w:r>
      <w:r>
        <w:rPr>
          <w:spacing w:val="-3"/>
        </w:rPr>
        <w:t>年，曾任天华会计师事务所审计经理，从事审计工作；</w:t>
      </w:r>
      <w:r>
        <w:rPr>
          <w:rFonts w:ascii="宋体" w:hAnsi="宋体" w:cs="宋体" w:eastAsia="宋体" w:hint="default"/>
          <w:spacing w:val="-3"/>
        </w:rPr>
        <w:t>2001</w:t>
      </w:r>
      <w:r>
        <w:rPr>
          <w:rFonts w:ascii="宋体" w:hAnsi="宋体" w:cs="宋体" w:eastAsia="宋体" w:hint="default"/>
          <w:spacing w:val="-87"/>
        </w:rPr>
        <w:t> </w:t>
      </w:r>
      <w:r>
        <w:rPr>
          <w:rFonts w:ascii="宋体" w:hAnsi="宋体" w:cs="宋体" w:eastAsia="宋体" w:hint="default"/>
          <w:spacing w:val="-87"/>
        </w:rPr>
      </w:r>
      <w:r>
        <w:rPr/>
        <w:t>年入职本公司，曾任公司财务部经理，负责公司财务工作。现任公司财务总监。</w:t>
      </w:r>
    </w:p>
    <w:p>
      <w:pPr>
        <w:pStyle w:val="BodyText"/>
        <w:spacing w:line="240" w:lineRule="auto" w:before="59"/>
        <w:ind w:right="1133"/>
        <w:jc w:val="left"/>
      </w:pPr>
      <w:r>
        <w:rPr/>
        <w:t>在股东单位任职情况</w:t>
      </w:r>
    </w:p>
    <w:p>
      <w:pPr>
        <w:pStyle w:val="BodyText"/>
        <w:spacing w:line="360" w:lineRule="auto" w:before="115"/>
        <w:ind w:right="9134"/>
        <w:jc w:val="left"/>
      </w:pPr>
      <w:r>
        <w:rPr/>
        <w:t>□ 适用 √</w:t>
      </w:r>
      <w:r>
        <w:rPr>
          <w:spacing w:val="3"/>
        </w:rPr>
        <w:t> </w:t>
      </w:r>
      <w:r>
        <w:rPr/>
        <w:t>不适用</w:t>
      </w:r>
      <w:r>
        <w:rPr/>
        <w:t> 在其他单位任职情况</w:t>
      </w:r>
    </w:p>
    <w:p>
      <w:pPr>
        <w:pStyle w:val="BodyText"/>
        <w:spacing w:line="240" w:lineRule="auto" w:before="27"/>
        <w:ind w:right="113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52"/>
        <w:gridCol w:w="2837"/>
        <w:gridCol w:w="1063"/>
        <w:gridCol w:w="1637"/>
        <w:gridCol w:w="1714"/>
        <w:gridCol w:w="1236"/>
      </w:tblGrid>
      <w:tr>
        <w:trPr>
          <w:trHeight w:val="102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1" w:right="158"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16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阳光保险集团股份有限公司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金生无忧信息技术有限责任公司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创业黑马科技集团股份有限公司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青矩技术股份有限公司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73" w:right="0" w:hanging="361"/>
        <w:jc w:val="left"/>
      </w:pPr>
      <w:r>
        <w:rPr/>
        <w:t>董事、监事、高级管理人员报酬的决策程序、确定依据、实际支付情况 </w:t>
      </w:r>
      <w:r>
        <w:rPr>
          <w:spacing w:val="-4"/>
        </w:rPr>
        <w:t>公司内部非独立董事、监事和高级管理人员的报酬，由公司董事会薪酬与考核委员会根据其本人在公司承担的具体职务，</w:t>
      </w:r>
    </w:p>
    <w:p>
      <w:pPr>
        <w:pStyle w:val="BodyText"/>
        <w:spacing w:line="224" w:lineRule="exact"/>
        <w:ind w:right="0"/>
        <w:jc w:val="left"/>
      </w:pPr>
      <w:r>
        <w:rPr/>
        <w:t>参考行业平均水平和公司前一年度的利润，结合其本人的工作绩效，提出议案。其中，董事和监事的薪酬相关的议案需要由</w:t>
      </w:r>
    </w:p>
    <w:p>
      <w:pPr>
        <w:pStyle w:val="BodyText"/>
        <w:spacing w:line="360" w:lineRule="auto" w:before="76"/>
        <w:ind w:right="1574"/>
        <w:jc w:val="left"/>
      </w:pPr>
      <w:r>
        <w:rPr/>
        <w:t>董事会审议后，提交股东大会审议，审议通过后实施。高级管理人员的薪酬相关的议案，由董事会审议通过后实施。 公司报告期内董事、监事和高级管理人员报酬情况</w:t>
      </w:r>
    </w:p>
    <w:p>
      <w:pPr>
        <w:spacing w:after="0" w:line="36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2497"/>
        <w:gridCol w:w="826"/>
        <w:gridCol w:w="898"/>
        <w:gridCol w:w="1262"/>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3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13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5"/>
                <w:sz w:val="18"/>
                <w:szCs w:val="18"/>
              </w:rPr>
              <w:t>董事、副总经理、董事会秘书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520.51</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7"/>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71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1,861</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1,412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1,861</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t>公司董事会薪酬与考核委员会组织公司人力行政部牵头制定公司薪酬政策。公司薪酬分为基本薪酬与绩效薪酬两部分， 基本薪酬区分不同岗位，根据行业与地区薪酬水品、承担职责、工作年限、 历史绩效等因素确定。绩效薪酬按年度发放，</w:t>
      </w:r>
      <w:r>
        <w:rPr>
          <w:spacing w:val="-82"/>
        </w:rPr>
        <w:t> </w:t>
      </w:r>
      <w:r>
        <w:rPr>
          <w:spacing w:val="-82"/>
        </w:rPr>
      </w:r>
      <w:r>
        <w:rPr/>
        <w:t>区分不同岗位，根据公司整体经营状况及员工上一年绩效考评结果确定。</w:t>
      </w:r>
    </w:p>
    <w:p>
      <w:pPr>
        <w:pStyle w:val="BodyText"/>
        <w:spacing w:line="338" w:lineRule="auto" w:before="59"/>
        <w:ind w:left="473" w:right="112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报告期内，公司职工薪酬总额（计入成本部分）为人民币</w:t>
      </w:r>
      <w:r>
        <w:rPr>
          <w:rFonts w:ascii="宋体" w:hAnsi="宋体" w:cs="宋体" w:eastAsia="宋体" w:hint="default"/>
        </w:rPr>
        <w:t>15,268</w:t>
      </w:r>
      <w:r>
        <w:rPr/>
        <w:t>万元，占公司成本总额的</w:t>
      </w:r>
      <w:r>
        <w:rPr>
          <w:rFonts w:ascii="宋体" w:hAnsi="宋体" w:cs="宋体" w:eastAsia="宋体" w:hint="default"/>
        </w:rPr>
        <w:t>10%</w:t>
      </w:r>
      <w:r>
        <w:rPr/>
        <w:t>；公司利润约为职工薪酬</w:t>
      </w:r>
    </w:p>
    <w:p>
      <w:pPr>
        <w:pStyle w:val="BodyText"/>
        <w:spacing w:line="316" w:lineRule="auto" w:before="2"/>
        <w:ind w:left="473" w:right="0" w:hanging="361"/>
        <w:jc w:val="left"/>
      </w:pPr>
      <w:r>
        <w:rPr/>
        <w:t>的</w:t>
      </w:r>
      <w:r>
        <w:rPr>
          <w:rFonts w:ascii="宋体" w:hAnsi="宋体" w:cs="宋体" w:eastAsia="宋体" w:hint="default"/>
        </w:rPr>
        <w:t>46%</w:t>
      </w:r>
      <w:r>
        <w:rPr/>
        <w:t>，公司利润对职工薪酬变化较为敏感。 </w:t>
      </w:r>
      <w:r>
        <w:rPr>
          <w:spacing w:val="-2"/>
        </w:rPr>
        <w:t>报告期内，公司核心技术人员数量占公司员工数量的</w:t>
      </w:r>
      <w:r>
        <w:rPr>
          <w:rFonts w:ascii="宋体" w:hAnsi="宋体" w:cs="宋体" w:eastAsia="宋体" w:hint="default"/>
          <w:spacing w:val="-2"/>
        </w:rPr>
        <w:t>0.3%</w:t>
      </w:r>
      <w:r>
        <w:rPr>
          <w:spacing w:val="-2"/>
        </w:rPr>
        <w:t>，核心技术人员同比无变化。核心技术人员的薪酬占比约为公</w:t>
      </w:r>
    </w:p>
    <w:p>
      <w:pPr>
        <w:pStyle w:val="BodyText"/>
        <w:spacing w:line="240" w:lineRule="auto" w:before="19"/>
        <w:ind w:right="1133"/>
        <w:jc w:val="left"/>
      </w:pPr>
      <w:r>
        <w:rPr/>
        <w:t>司薪酬总额的</w:t>
      </w:r>
      <w:r>
        <w:rPr>
          <w:rFonts w:ascii="宋体" w:hAnsi="宋体" w:cs="宋体" w:eastAsia="宋体" w:hint="default"/>
        </w:rPr>
        <w:t>1.1%</w:t>
      </w:r>
      <w:r>
        <w:rPr/>
        <w:t>。</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3" w:right="1133"/>
        <w:jc w:val="left"/>
      </w:pPr>
      <w:r>
        <w:rPr/>
        <w:t>公司针对员工不同岗位，分类制定并实施培训计划：</w:t>
      </w:r>
    </w:p>
    <w:p>
      <w:pPr>
        <w:pStyle w:val="BodyText"/>
        <w:spacing w:line="316" w:lineRule="auto" w:before="76"/>
        <w:ind w:right="1124" w:firstLine="360"/>
        <w:jc w:val="left"/>
      </w:pPr>
      <w:r>
        <w:rPr/>
        <w:t>（</w:t>
      </w:r>
      <w:r>
        <w:rPr>
          <w:rFonts w:ascii="宋体" w:hAnsi="宋体" w:cs="宋体" w:eastAsia="宋体" w:hint="default"/>
        </w:rPr>
        <w:t>1</w:t>
      </w:r>
      <w:r>
        <w:rPr/>
        <w:t>）公共类培训：主要包括新员工入职培训、法规培训、公司管理制度培训、职业安全教育等，也包括按照政府主管 部门、行业监管部门要求，举办各类培训。</w:t>
      </w:r>
    </w:p>
    <w:p>
      <w:pPr>
        <w:pStyle w:val="BodyText"/>
        <w:spacing w:line="316" w:lineRule="auto" w:before="19"/>
        <w:ind w:right="1124" w:firstLine="360"/>
        <w:jc w:val="left"/>
      </w:pPr>
      <w:r>
        <w:rPr/>
        <w:t>（</w:t>
      </w:r>
      <w:r>
        <w:rPr>
          <w:rFonts w:ascii="宋体" w:hAnsi="宋体" w:cs="宋体" w:eastAsia="宋体" w:hint="default"/>
        </w:rPr>
        <w:t>2</w:t>
      </w:r>
      <w:r>
        <w:rPr/>
        <w:t>）中高级员工培训：公司根据业务状况，不定期组织公司中高级管理人员参加管理技能培训，同时鼓励公司中高级 员工参加各种行业交流，开阔视野，提升技能。</w:t>
      </w:r>
    </w:p>
    <w:p>
      <w:pPr>
        <w:pStyle w:val="BodyText"/>
        <w:spacing w:line="316" w:lineRule="auto" w:before="19"/>
        <w:ind w:right="1124" w:firstLine="360"/>
        <w:jc w:val="left"/>
      </w:pPr>
      <w:r>
        <w:rPr/>
        <w:t>（</w:t>
      </w:r>
      <w:r>
        <w:rPr>
          <w:rFonts w:ascii="宋体" w:hAnsi="宋体" w:cs="宋体" w:eastAsia="宋体" w:hint="default"/>
        </w:rPr>
        <w:t>3</w:t>
      </w:r>
      <w:r>
        <w:rPr/>
        <w:t>）通用技术培训：公司技术部门定期对技术岗位员工通用技术、技能掌握情况进行评估，并根据评估结果安排对员 工进行针对性的技术通用技术培训。</w:t>
      </w:r>
    </w:p>
    <w:p>
      <w:pPr>
        <w:pStyle w:val="BodyText"/>
        <w:spacing w:line="316" w:lineRule="auto" w:before="19"/>
        <w:ind w:right="1124" w:firstLine="360"/>
        <w:jc w:val="left"/>
      </w:pPr>
      <w:r>
        <w:rPr/>
        <w:t>（</w:t>
      </w:r>
      <w:r>
        <w:rPr>
          <w:rFonts w:ascii="宋体" w:hAnsi="宋体" w:cs="宋体" w:eastAsia="宋体" w:hint="default"/>
        </w:rPr>
        <w:t>4</w:t>
      </w:r>
      <w:r>
        <w:rPr/>
        <w:t>）公司产品及行业知识培训：公司技术部门定期评估技术、业务岗位员工对公司产品、领域知识的掌握情况，并根 据评估结果安排对员工进行公司产品、领域知识的培训。</w:t>
      </w:r>
    </w:p>
    <w:p>
      <w:pPr>
        <w:pStyle w:val="BodyText"/>
        <w:spacing w:line="316" w:lineRule="auto" w:before="19"/>
        <w:ind w:right="1124" w:firstLine="360"/>
        <w:jc w:val="left"/>
      </w:pPr>
      <w:r>
        <w:rPr/>
        <w:t>（</w:t>
      </w:r>
      <w:r>
        <w:rPr>
          <w:rFonts w:ascii="宋体" w:hAnsi="宋体" w:cs="宋体" w:eastAsia="宋体" w:hint="default"/>
        </w:rPr>
        <w:t>5</w:t>
      </w:r>
      <w:r>
        <w:rPr/>
        <w:t>）职能部门专项技能培训：公司针对各职能部门业务特征，组织职能部门员工参加岗位技能相关的培训、考核。包 括：会计职称培训考核、质量管理体系培训、认证体系培训、证券业务培训、供应商体系培训等。</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70"/>
        <w:jc w:val="center"/>
        <w:rPr>
          <w:b w:val="0"/>
          <w:bCs w:val="0"/>
        </w:rPr>
      </w:pPr>
      <w:bookmarkStart w:name="第十节 公司治理" w:id="131"/>
      <w:bookmarkEnd w:id="131"/>
      <w:r>
        <w:rPr>
          <w:b w:val="0"/>
          <w:bCs w:val="0"/>
        </w:rPr>
      </w:r>
      <w:bookmarkStart w:name="_bookmark9" w:id="132"/>
      <w:bookmarkEnd w:id="132"/>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3" w:firstLine="420"/>
        <w:jc w:val="left"/>
      </w:pPr>
      <w:r>
        <w:rPr>
          <w:spacing w:val="-13"/>
        </w:rPr>
        <w:t>报告期内，公司严格按照《公司法》、《证券法》、《上市公司治理准则》、《深圳证券交易所创业板股票上市规则》、《深</w:t>
      </w:r>
      <w:r>
        <w:rPr/>
        <w:t> </w:t>
      </w:r>
      <w:r>
        <w:rPr>
          <w:spacing w:val="-2"/>
        </w:rPr>
        <w:t>圳证券交易所创业板上市公司规范运作指引》以及其它相关法律法规、规范性文件、《公司章程》以及其他公司规章制度的</w:t>
      </w:r>
      <w:r>
        <w:rPr>
          <w:spacing w:val="-65"/>
        </w:rPr>
        <w:t> </w:t>
      </w:r>
      <w:r>
        <w:rPr>
          <w:spacing w:val="-65"/>
        </w:rPr>
      </w:r>
      <w:r>
        <w:rPr>
          <w:spacing w:val="-4"/>
        </w:rPr>
        <w:t>要求，合理配置权利和义务、不断完善董事会、监事会及管理层所构成的公司内部治理结构，健全企业管理和内部控制体系，</w:t>
      </w:r>
      <w:r>
        <w:rPr>
          <w:spacing w:val="-46"/>
        </w:rPr>
        <w:t> </w:t>
      </w:r>
      <w:r>
        <w:rPr>
          <w:spacing w:val="-46"/>
        </w:rPr>
      </w:r>
      <w:r>
        <w:rPr>
          <w:spacing w:val="-2"/>
        </w:rPr>
        <w:t>降低风险，维护公司和投资者利益。截至本报告期末，公司治理符合《上市公司治理准则》等相关法律法规、规范性文件的</w:t>
      </w:r>
      <w:r>
        <w:rPr>
          <w:spacing w:val="-68"/>
        </w:rPr>
        <w:t> </w:t>
      </w:r>
      <w:r>
        <w:rPr>
          <w:spacing w:val="-68"/>
        </w:rPr>
      </w:r>
      <w:r>
        <w:rPr/>
        <w:t>要求。</w:t>
      </w:r>
    </w:p>
    <w:p>
      <w:pPr>
        <w:pStyle w:val="BodyText"/>
        <w:spacing w:line="319" w:lineRule="auto" w:before="19"/>
        <w:ind w:left="533" w:right="1133"/>
        <w:jc w:val="left"/>
      </w:pPr>
      <w:r>
        <w:rPr>
          <w:rFonts w:ascii="宋体" w:hAnsi="宋体" w:cs="宋体" w:eastAsia="宋体" w:hint="default"/>
          <w:b/>
          <w:bCs/>
        </w:rPr>
        <w:t>股东与股东大会</w:t>
      </w:r>
      <w:r>
        <w:rPr>
          <w:rFonts w:ascii="宋体" w:hAnsi="宋体" w:cs="宋体" w:eastAsia="宋体" w:hint="default"/>
          <w:b/>
          <w:bCs/>
          <w:w w:val="99"/>
        </w:rPr>
        <w:t> </w:t>
      </w:r>
      <w:r>
        <w:rPr>
          <w:spacing w:val="-10"/>
        </w:rPr>
        <w:t>公司严格按照《上市公司治理准则》、《上市公司股东大会规则》、《深圳证券交易所创业板股票上市规则》、《深圳证券</w:t>
      </w:r>
    </w:p>
    <w:p>
      <w:pPr>
        <w:pStyle w:val="BodyText"/>
        <w:spacing w:line="316" w:lineRule="auto" w:before="17"/>
        <w:ind w:right="1129"/>
        <w:jc w:val="both"/>
      </w:pPr>
      <w:r>
        <w:rPr>
          <w:spacing w:val="-5"/>
        </w:rPr>
        <w:t>交易所创业板上市公司规范运作指引》、《公司章程》及《股东大会议事规则》等规定召集召开股东大会，在股东大会召开前</w:t>
      </w:r>
      <w:r>
        <w:rPr>
          <w:spacing w:val="-79"/>
        </w:rPr>
        <w:t> </w:t>
      </w:r>
      <w:r>
        <w:rPr>
          <w:spacing w:val="-79"/>
        </w:rPr>
      </w:r>
      <w:r>
        <w:rPr>
          <w:spacing w:val="-2"/>
        </w:rPr>
        <w:t>发出会议通知，保障股东对公司重大事项的知情、参与决策和监督的权利；股东大会设置现场与网络相结合的召开方式，为</w:t>
      </w:r>
      <w:r>
        <w:rPr>
          <w:spacing w:val="-64"/>
        </w:rPr>
        <w:t> </w:t>
      </w:r>
      <w:r>
        <w:rPr>
          <w:spacing w:val="-64"/>
        </w:rPr>
      </w:r>
      <w:r>
        <w:rPr>
          <w:spacing w:val="-2"/>
        </w:rPr>
        <w:t>股东参加会议创造便利条件，聘请律师现场见证并对会议的召集、召开和决议的有效性发表法律意见，确保全体股东特别是</w:t>
      </w:r>
      <w:r>
        <w:rPr>
          <w:spacing w:val="-62"/>
        </w:rPr>
        <w:t> </w:t>
      </w:r>
      <w:r>
        <w:rPr>
          <w:spacing w:val="-62"/>
        </w:rPr>
      </w:r>
      <w:r>
        <w:rPr/>
        <w:t>中小股东合法行使权益。</w:t>
      </w:r>
    </w:p>
    <w:p>
      <w:pPr>
        <w:pStyle w:val="BodyText"/>
        <w:spacing w:line="316" w:lineRule="auto" w:before="19"/>
        <w:ind w:left="533" w:right="1033"/>
        <w:jc w:val="left"/>
      </w:pPr>
      <w:r>
        <w:rPr>
          <w:rFonts w:ascii="宋体" w:hAnsi="宋体" w:cs="宋体" w:eastAsia="宋体" w:hint="default"/>
          <w:spacing w:val="-2"/>
        </w:rPr>
        <w:t>2019</w:t>
      </w:r>
      <w:r>
        <w:rPr>
          <w:spacing w:val="-2"/>
        </w:rPr>
        <w:t>年度，公司召开</w:t>
      </w:r>
      <w:r>
        <w:rPr>
          <w:rFonts w:ascii="宋体" w:hAnsi="宋体" w:cs="宋体" w:eastAsia="宋体" w:hint="default"/>
          <w:spacing w:val="-2"/>
        </w:rPr>
        <w:t>1</w:t>
      </w:r>
      <w:r>
        <w:rPr>
          <w:spacing w:val="-2"/>
        </w:rPr>
        <w:t>次年度股东大会和</w:t>
      </w:r>
      <w:r>
        <w:rPr>
          <w:rFonts w:ascii="宋体" w:hAnsi="宋体" w:cs="宋体" w:eastAsia="宋体" w:hint="default"/>
          <w:spacing w:val="-2"/>
        </w:rPr>
        <w:t>2</w:t>
      </w:r>
      <w:r>
        <w:rPr>
          <w:spacing w:val="-2"/>
        </w:rPr>
        <w:t>次临时股东大会，股东大会的提案均符合相关法律法规、规范性文件的规定。</w:t>
      </w:r>
      <w:r>
        <w:rPr>
          <w:spacing w:val="-37"/>
        </w:rPr>
        <w:t> </w:t>
      </w:r>
      <w:r>
        <w:rPr>
          <w:spacing w:val="-37"/>
        </w:rPr>
      </w:r>
      <w:r>
        <w:rPr>
          <w:rFonts w:ascii="宋体" w:hAnsi="宋体" w:cs="宋体" w:eastAsia="宋体" w:hint="default"/>
          <w:b/>
          <w:bCs/>
        </w:rPr>
        <w:t>董事与董事会</w:t>
      </w:r>
      <w:r>
        <w:rPr>
          <w:rFonts w:ascii="宋体" w:hAnsi="宋体" w:cs="宋体" w:eastAsia="宋体" w:hint="default"/>
          <w:b/>
          <w:bCs/>
          <w:w w:val="99"/>
        </w:rPr>
        <w:t> </w:t>
      </w:r>
      <w:r>
        <w:rPr/>
        <w:t>公司董事会由</w:t>
      </w:r>
      <w:r>
        <w:rPr>
          <w:rFonts w:ascii="宋体" w:hAnsi="宋体" w:cs="宋体" w:eastAsia="宋体" w:hint="default"/>
        </w:rPr>
        <w:t>9</w:t>
      </w:r>
      <w:r>
        <w:rPr/>
        <w:t>名董事组成，其中独立董事</w:t>
      </w:r>
      <w:r>
        <w:rPr>
          <w:rFonts w:ascii="宋体" w:hAnsi="宋体" w:cs="宋体" w:eastAsia="宋体" w:hint="default"/>
        </w:rPr>
        <w:t>3</w:t>
      </w:r>
      <w:r>
        <w:rPr/>
        <w:t>名，董事会的人数、构成及选聘程序符合相关法律法规的规定。各董事熟</w:t>
      </w:r>
    </w:p>
    <w:p>
      <w:pPr>
        <w:pStyle w:val="BodyText"/>
        <w:spacing w:line="319" w:lineRule="auto" w:before="19"/>
        <w:ind w:right="1128"/>
        <w:jc w:val="both"/>
      </w:pPr>
      <w:r>
        <w:rPr>
          <w:spacing w:val="-2"/>
        </w:rPr>
        <w:t>悉有关法律法规，以认真负责、勤勉诚信的态度出席董事会和股东大会，积极了解公司经营状况，参与公司决策，切实履行</w:t>
      </w:r>
      <w:r>
        <w:rPr>
          <w:spacing w:val="-67"/>
        </w:rPr>
        <w:t> </w:t>
      </w:r>
      <w:r>
        <w:rPr>
          <w:spacing w:val="-67"/>
        </w:rPr>
      </w:r>
      <w:r>
        <w:rPr>
          <w:spacing w:val="-2"/>
        </w:rPr>
        <w:t>董事的职责和义务，同时也确保公司遵守法律法规和公司章程的各项规定。董事会下设战略委员会、审计委员会、提名委员</w:t>
      </w:r>
      <w:r>
        <w:rPr>
          <w:spacing w:val="-62"/>
        </w:rPr>
        <w:t> </w:t>
      </w:r>
      <w:r>
        <w:rPr>
          <w:spacing w:val="-62"/>
        </w:rPr>
      </w:r>
      <w:r>
        <w:rPr>
          <w:spacing w:val="-2"/>
        </w:rPr>
        <w:t>会以及薪酬与考核委员会，各专门委员会的构成符合《上司公司治理准则》的要求，各专门委员会依照《公司章程》和董事</w:t>
      </w:r>
      <w:r>
        <w:rPr>
          <w:spacing w:val="-68"/>
        </w:rPr>
        <w:t> </w:t>
      </w:r>
      <w:r>
        <w:rPr>
          <w:spacing w:val="-68"/>
        </w:rPr>
      </w:r>
      <w:r>
        <w:rPr/>
        <w:t>会授权履行职责，为董事会决策提供了重要依据。</w:t>
      </w:r>
    </w:p>
    <w:p>
      <w:pPr>
        <w:pStyle w:val="BodyText"/>
        <w:spacing w:line="316" w:lineRule="auto" w:before="17"/>
        <w:ind w:left="533" w:right="1028"/>
        <w:jc w:val="left"/>
      </w:pPr>
      <w:r>
        <w:rPr>
          <w:rFonts w:ascii="宋体" w:hAnsi="宋体" w:cs="宋体" w:eastAsia="宋体" w:hint="default"/>
          <w:spacing w:val="-1"/>
        </w:rPr>
        <w:t>2019</w:t>
      </w:r>
      <w:r>
        <w:rPr>
          <w:spacing w:val="-1"/>
        </w:rPr>
        <w:t>年度，公司召开</w:t>
      </w:r>
      <w:r>
        <w:rPr>
          <w:rFonts w:ascii="宋体" w:hAnsi="宋体" w:cs="宋体" w:eastAsia="宋体" w:hint="default"/>
          <w:spacing w:val="-1"/>
        </w:rPr>
        <w:t>2</w:t>
      </w:r>
      <w:r>
        <w:rPr>
          <w:spacing w:val="-1"/>
        </w:rPr>
        <w:t>次定期董事会会议和</w:t>
      </w:r>
      <w:r>
        <w:rPr>
          <w:rFonts w:ascii="宋体" w:hAnsi="宋体" w:cs="宋体" w:eastAsia="宋体" w:hint="default"/>
          <w:spacing w:val="-1"/>
        </w:rPr>
        <w:t>7</w:t>
      </w:r>
      <w:r>
        <w:rPr>
          <w:spacing w:val="-1"/>
        </w:rPr>
        <w:t>次临时董事会会议，董事会提案均符合相关法律法规、规范性文件的规定。</w:t>
      </w:r>
      <w:r>
        <w:rPr/>
        <w:t> </w:t>
      </w:r>
      <w:r>
        <w:rPr>
          <w:rFonts w:ascii="宋体" w:hAnsi="宋体" w:cs="宋体" w:eastAsia="宋体" w:hint="default"/>
          <w:b/>
          <w:bCs/>
        </w:rPr>
        <w:t>监事与监事会</w:t>
      </w:r>
      <w:r>
        <w:rPr>
          <w:rFonts w:ascii="宋体" w:hAnsi="宋体" w:cs="宋体" w:eastAsia="宋体" w:hint="default"/>
          <w:b/>
          <w:bCs/>
          <w:w w:val="99"/>
        </w:rPr>
        <w:t> </w:t>
      </w:r>
      <w:r>
        <w:rPr/>
        <w:t>公司监事会由</w:t>
      </w:r>
      <w:r>
        <w:rPr>
          <w:rFonts w:ascii="宋体" w:hAnsi="宋体" w:cs="宋体" w:eastAsia="宋体" w:hint="default"/>
        </w:rPr>
        <w:t>3</w:t>
      </w:r>
      <w:r>
        <w:rPr/>
        <w:t>名监事组成，其中</w:t>
      </w:r>
      <w:r>
        <w:rPr>
          <w:rFonts w:ascii="宋体" w:hAnsi="宋体" w:cs="宋体" w:eastAsia="宋体" w:hint="default"/>
        </w:rPr>
        <w:t>2</w:t>
      </w:r>
      <w:r>
        <w:rPr/>
        <w:t>名监事由职工代表担任，人数、构成及选聘程序符合相关法律法规的规定，确保监</w:t>
      </w:r>
    </w:p>
    <w:p>
      <w:pPr>
        <w:pStyle w:val="BodyText"/>
        <w:spacing w:line="316" w:lineRule="auto" w:before="19"/>
        <w:ind w:right="1132"/>
        <w:jc w:val="both"/>
      </w:pPr>
      <w:r>
        <w:rPr>
          <w:spacing w:val="-5"/>
        </w:rPr>
        <w:t>事能够独立有效的履行监督职责。公司监事会严格按照《公司章程》、《监事会议事规则》的规定积极开展工作，公司为监事</w:t>
      </w:r>
      <w:r>
        <w:rPr>
          <w:spacing w:val="-81"/>
        </w:rPr>
        <w:t> </w:t>
      </w:r>
      <w:r>
        <w:rPr>
          <w:spacing w:val="-81"/>
        </w:rPr>
      </w:r>
      <w:r>
        <w:rPr>
          <w:spacing w:val="-2"/>
        </w:rPr>
        <w:t>履行职责提供必要的协助，充分保障监事的知情权，公司监事本着对全体股东负责的态度，切实行使监察、督促职能，维护</w:t>
      </w:r>
      <w:r>
        <w:rPr>
          <w:spacing w:val="-65"/>
        </w:rPr>
        <w:t> </w:t>
      </w:r>
      <w:r>
        <w:rPr>
          <w:spacing w:val="-65"/>
        </w:rPr>
      </w:r>
      <w:r>
        <w:rPr/>
        <w:t>公司及股东的合法权益。</w:t>
      </w:r>
    </w:p>
    <w:p>
      <w:pPr>
        <w:pStyle w:val="BodyText"/>
        <w:spacing w:line="316" w:lineRule="auto" w:before="19"/>
        <w:ind w:left="533" w:right="1133"/>
        <w:jc w:val="left"/>
      </w:pPr>
      <w:r>
        <w:rPr>
          <w:rFonts w:ascii="宋体" w:hAnsi="宋体" w:cs="宋体" w:eastAsia="宋体" w:hint="default"/>
        </w:rPr>
        <w:t>2019</w:t>
      </w:r>
      <w:r>
        <w:rPr/>
        <w:t>年度，公司召开</w:t>
      </w:r>
      <w:r>
        <w:rPr>
          <w:rFonts w:ascii="宋体" w:hAnsi="宋体" w:cs="宋体" w:eastAsia="宋体" w:hint="default"/>
        </w:rPr>
        <w:t>2</w:t>
      </w:r>
      <w:r>
        <w:rPr/>
        <w:t>次定期监事会会议和</w:t>
      </w:r>
      <w:r>
        <w:rPr>
          <w:rFonts w:ascii="宋体" w:hAnsi="宋体" w:cs="宋体" w:eastAsia="宋体" w:hint="default"/>
        </w:rPr>
        <w:t>4</w:t>
      </w:r>
      <w:r>
        <w:rPr/>
        <w:t>次临时监事会会议，监事会对相关提案均发表了独立的监督意见。 </w:t>
      </w:r>
      <w:r>
        <w:rPr>
          <w:rFonts w:ascii="宋体" w:hAnsi="宋体" w:cs="宋体" w:eastAsia="宋体" w:hint="default"/>
          <w:b/>
          <w:bCs/>
        </w:rPr>
        <w:t>高级管理人员与公司激励约束机制</w:t>
      </w:r>
      <w:r>
        <w:rPr>
          <w:rFonts w:ascii="宋体" w:hAnsi="宋体" w:cs="宋体" w:eastAsia="宋体" w:hint="default"/>
          <w:b/>
          <w:bCs/>
          <w:w w:val="99"/>
        </w:rPr>
        <w:t> </w:t>
      </w:r>
      <w:r>
        <w:rPr/>
        <w:t>高级管理人员的职责明确清晰，在遵守法律法规和公司制度的同时，忠实、勤勉和谨慎地履行职责。 公司建立了完善的绩效考核制度，公司高级管理人员的薪酬与公司绩效、个人绩效相关联，由薪酬与考核委员会对高</w:t>
      </w:r>
    </w:p>
    <w:p>
      <w:pPr>
        <w:spacing w:line="319" w:lineRule="auto" w:before="19"/>
        <w:ind w:left="533" w:right="8594" w:hanging="421"/>
        <w:jc w:val="left"/>
        <w:rPr>
          <w:rFonts w:ascii="宋体" w:hAnsi="宋体" w:cs="宋体" w:eastAsia="宋体" w:hint="default"/>
          <w:sz w:val="18"/>
          <w:szCs w:val="18"/>
        </w:rPr>
      </w:pPr>
      <w:r>
        <w:rPr>
          <w:rFonts w:ascii="宋体" w:hAnsi="宋体" w:cs="宋体" w:eastAsia="宋体" w:hint="default"/>
          <w:sz w:val="18"/>
          <w:szCs w:val="18"/>
        </w:rPr>
        <w:t>级管理人员进行绩效考核。 </w:t>
      </w:r>
      <w:r>
        <w:rPr>
          <w:rFonts w:ascii="宋体" w:hAnsi="宋体" w:cs="宋体" w:eastAsia="宋体" w:hint="default"/>
          <w:b/>
          <w:bCs/>
          <w:sz w:val="18"/>
          <w:szCs w:val="18"/>
        </w:rPr>
        <w:t>控股股东及其关联方</w:t>
      </w:r>
      <w:r>
        <w:rPr>
          <w:rFonts w:ascii="宋体" w:hAnsi="宋体" w:cs="宋体" w:eastAsia="宋体" w:hint="default"/>
          <w:sz w:val="18"/>
          <w:szCs w:val="18"/>
        </w:rPr>
      </w:r>
    </w:p>
    <w:p>
      <w:pPr>
        <w:pStyle w:val="BodyText"/>
        <w:spacing w:line="316" w:lineRule="auto" w:before="17"/>
        <w:ind w:right="1133" w:firstLine="420"/>
        <w:jc w:val="both"/>
      </w:pPr>
      <w:r>
        <w:rPr/>
        <w:t>公司不存在控股股东、实际控制人，公司定期核查和更新关联方信息，建立关联方名单，确保不遗漏关联方，公司与 </w:t>
      </w:r>
      <w:r>
        <w:rPr>
          <w:spacing w:val="-2"/>
        </w:rPr>
        <w:t>关联方的交易严格履行决策程序和信息披露的义务。公司与关联方的交易遵循平等、自愿、等价、有偿的原则，不存在关联</w:t>
      </w:r>
      <w:r>
        <w:rPr>
          <w:spacing w:val="-65"/>
        </w:rPr>
        <w:t> </w:t>
      </w:r>
      <w:r>
        <w:rPr>
          <w:spacing w:val="-65"/>
        </w:rPr>
      </w:r>
      <w:r>
        <w:rPr/>
        <w:t>交易输送利益的情形。</w:t>
      </w:r>
    </w:p>
    <w:p>
      <w:pPr>
        <w:pStyle w:val="BodyText"/>
        <w:spacing w:line="316" w:lineRule="auto" w:before="19"/>
        <w:ind w:left="473" w:right="1118" w:firstLine="60"/>
        <w:jc w:val="left"/>
      </w:pPr>
      <w:r>
        <w:rPr>
          <w:rFonts w:ascii="宋体" w:hAnsi="宋体" w:cs="宋体" w:eastAsia="宋体" w:hint="default"/>
          <w:b/>
          <w:bCs/>
        </w:rPr>
        <w:t>信息披露与透明度</w:t>
      </w:r>
      <w:r>
        <w:rPr>
          <w:rFonts w:ascii="宋体" w:hAnsi="宋体" w:cs="宋体" w:eastAsia="宋体" w:hint="default"/>
          <w:b/>
          <w:bCs/>
          <w:w w:val="99"/>
        </w:rPr>
        <w:t> </w:t>
      </w:r>
      <w:r>
        <w:rPr>
          <w:spacing w:val="-5"/>
        </w:rPr>
        <w:t>公司严格按照相关法律、法规以及公司《信息披露管理办法》、《投资者关系管理办法》的要求，真实、准确、及时、公</w:t>
      </w:r>
    </w:p>
    <w:p>
      <w:pPr>
        <w:pStyle w:val="BodyText"/>
        <w:spacing w:line="316" w:lineRule="auto" w:before="19"/>
        <w:ind w:right="1131"/>
        <w:jc w:val="both"/>
      </w:pPr>
      <w:r>
        <w:rPr>
          <w:spacing w:val="-2"/>
        </w:rPr>
        <w:t>平、完整地披露有关信息。公司指定董事会秘书负责信息披露工作，董事会办公室负责信息披露日常事务，协调公司与投资</w:t>
      </w:r>
      <w:r>
        <w:rPr>
          <w:spacing w:val="-64"/>
        </w:rPr>
        <w:t> </w:t>
      </w:r>
      <w:r>
        <w:rPr>
          <w:spacing w:val="-64"/>
        </w:rPr>
      </w:r>
      <w:r>
        <w:rPr>
          <w:spacing w:val="-9"/>
        </w:rPr>
        <w:t>者的关系，接待股东来访，回答投资者咨询，向投资者提供公司已披露的资料，公司指定《证券时报》、《中国证券报》、《上</w:t>
      </w:r>
      <w:r>
        <w:rPr>
          <w:spacing w:val="-37"/>
        </w:rPr>
        <w:t> </w:t>
      </w:r>
      <w:r>
        <w:rPr>
          <w:spacing w:val="-37"/>
        </w:rPr>
      </w:r>
      <w:r>
        <w:rPr>
          <w:spacing w:val="-4"/>
        </w:rPr>
        <w:t>海证券报》、《证券日报》和巨潮网（</w:t>
      </w:r>
      <w:hyperlink r:id="rId12">
        <w:r>
          <w:rPr>
            <w:rFonts w:ascii="宋体" w:hAnsi="宋体" w:cs="宋体" w:eastAsia="宋体" w:hint="default"/>
            <w:spacing w:val="-4"/>
          </w:rPr>
          <w:t>www.cninfo.com.cn</w:t>
        </w:r>
      </w:hyperlink>
      <w:r>
        <w:rPr>
          <w:spacing w:val="-4"/>
        </w:rPr>
        <w:t>）为公司信息披露的指定报纸和网站。</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473" w:right="1133"/>
        <w:jc w:val="left"/>
      </w:pPr>
      <w:r>
        <w:rPr/>
        <w:t>报告期内，公司董事会办公室对公司信息发布管控流程进行了核查、完善，切实保障公司重要信息发布依法、合规。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33"/>
        <w:jc w:val="left"/>
      </w:pPr>
      <w:r>
        <w:rPr/>
        <w:t>公司治理的实际状况与中国证监会发布的有关上市公司治理的规范性文件是否存在重大差异</w:t>
      </w:r>
    </w:p>
    <w:p>
      <w:pPr>
        <w:pStyle w:val="BodyText"/>
        <w:spacing w:line="360" w:lineRule="auto" w:before="115"/>
        <w:ind w:right="355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公司无控股股东，不存在与控股股东在业务、人员、资产、机构、财务等方面不独立的情况。</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三、同业竞争情况" w:id="135"/>
      <w:bookmarkEnd w:id="135"/>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20.87%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 编号：</w:t>
            </w:r>
            <w:r>
              <w:rPr>
                <w:rFonts w:ascii="Times New Roman" w:hAnsi="Times New Roman" w:cs="Times New Roman" w:eastAsia="Times New Roman" w:hint="default"/>
                <w:sz w:val="18"/>
                <w:szCs w:val="18"/>
              </w:rPr>
              <w:t>2019-005</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 编号：</w:t>
            </w:r>
            <w:r>
              <w:rPr>
                <w:rFonts w:ascii="Times New Roman" w:hAnsi="Times New Roman" w:cs="Times New Roman" w:eastAsia="Times New Roman" w:hint="default"/>
                <w:sz w:val="18"/>
                <w:szCs w:val="18"/>
              </w:rPr>
              <w:t>2019-024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39.23%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5"/>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pacing w:val="-3"/>
                <w:sz w:val="16"/>
                <w:szCs w:val="16"/>
              </w:rPr>
              <w:t>11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8"/>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pacing w:val="-3"/>
                <w:sz w:val="16"/>
                <w:szCs w:val="16"/>
              </w:rPr>
              <w:t>11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 编号：</w:t>
            </w:r>
            <w:r>
              <w:rPr>
                <w:rFonts w:ascii="Times New Roman" w:hAnsi="Times New Roman" w:cs="Times New Roman" w:eastAsia="Times New Roman" w:hint="default"/>
                <w:sz w:val="18"/>
                <w:szCs w:val="18"/>
              </w:rPr>
              <w:t>2019-034</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4"/>
        <w:gridCol w:w="1023"/>
        <w:gridCol w:w="1164"/>
        <w:gridCol w:w="1162"/>
        <w:gridCol w:w="1164"/>
        <w:gridCol w:w="1323"/>
        <w:gridCol w:w="1164"/>
      </w:tblGrid>
      <w:tr>
        <w:trPr>
          <w:trHeight w:val="401" w:hRule="exact"/>
        </w:trPr>
        <w:tc>
          <w:tcPr>
            <w:tcW w:w="959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122"/>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43"/>
              <w:jc w:val="center"/>
              <w:rPr>
                <w:rFonts w:ascii="宋体" w:hAnsi="宋体" w:cs="宋体" w:eastAsia="宋体" w:hint="default"/>
                <w:sz w:val="18"/>
                <w:szCs w:val="18"/>
              </w:rPr>
            </w:pPr>
            <w:r>
              <w:rPr>
                <w:rFonts w:ascii="宋体" w:hAnsi="宋体" w:cs="宋体" w:eastAsia="宋体" w:hint="default"/>
                <w:sz w:val="18"/>
                <w:szCs w:val="18"/>
              </w:rPr>
              <w:t>现场出席 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6"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8" w:right="122"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7" w:right="113"/>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9" w:right="122"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360" w:lineRule="auto" w:before="44"/>
        <w:ind w:right="5714"/>
        <w:jc w:val="left"/>
      </w:pPr>
      <w:r>
        <w:rPr/>
        <w:t>连续两次未亲自出席董事会的说明 报告期内公司独立董事没有连续两次未亲自出席董事会的情况。</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60" w:lineRule="auto" w:before="117"/>
        <w:ind w:right="6974"/>
        <w:jc w:val="left"/>
      </w:pPr>
      <w:r>
        <w:rPr/>
        <w:t>□ 是 √</w:t>
      </w:r>
      <w:r>
        <w:rPr>
          <w:spacing w:val="3"/>
        </w:rPr>
        <w:t> </w:t>
      </w:r>
      <w:r>
        <w:rPr/>
        <w:t>否</w:t>
      </w:r>
      <w:r>
        <w:rPr/>
        <w:t> 报告期内独立董事对公司有关事项未提出异议。</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57" w:lineRule="auto" w:before="118"/>
        <w:ind w:right="6794"/>
        <w:jc w:val="left"/>
      </w:pPr>
      <w:r>
        <w:rPr/>
        <w:t>√ 是 □</w:t>
      </w:r>
      <w:r>
        <w:rPr>
          <w:spacing w:val="3"/>
        </w:rPr>
        <w:t> </w:t>
      </w:r>
      <w:r>
        <w:rPr/>
        <w:t>否</w:t>
      </w:r>
      <w:r>
        <w:rPr/>
        <w:t> 独立董事对公司有关建议被采纳或未被采纳的说明</w:t>
      </w:r>
    </w:p>
    <w:p>
      <w:pPr>
        <w:pStyle w:val="BodyText"/>
        <w:spacing w:line="316" w:lineRule="auto" w:before="29"/>
        <w:ind w:right="1126" w:firstLine="360"/>
        <w:jc w:val="both"/>
      </w:pPr>
      <w:r>
        <w:rPr>
          <w:spacing w:val="-9"/>
        </w:rPr>
        <w:t>报告期内，公司独立董事严格按照《中华人民共和国公司法》、《中华人民共和国证券法》、《深圳证券交易所创业板上市</w:t>
      </w:r>
      <w:r>
        <w:rPr/>
        <w:t> </w:t>
      </w:r>
      <w:r>
        <w:rPr>
          <w:spacing w:val="-11"/>
        </w:rPr>
        <w:t>公司规范运作指引》、《上市公司治理准则》、《关于在上市公司建立独立董事制度的指导意见》、《关于加强社会公众股股东权</w:t>
      </w:r>
      <w:r>
        <w:rPr>
          <w:spacing w:val="-87"/>
        </w:rPr>
        <w:t> </w:t>
      </w:r>
      <w:r>
        <w:rPr>
          <w:spacing w:val="-87"/>
        </w:rPr>
      </w:r>
      <w:r>
        <w:rPr>
          <w:spacing w:val="-8"/>
        </w:rPr>
        <w:t>益保护的若干规定》和《北京先进数通信息技术股份公司章程》、《董事会议事规则》、《独立董事工作制度》等相关法律法规</w:t>
      </w:r>
      <w:r>
        <w:rPr/>
        <w:t> </w:t>
      </w:r>
      <w:r>
        <w:rPr>
          <w:spacing w:val="-2"/>
        </w:rPr>
        <w:t>与公司制度规定，忠实、勤勉、独立、审慎的履行了独立董事的职责，积极出席公司董事会，认真审议董事会议案，对独立</w:t>
      </w:r>
      <w:r>
        <w:rPr>
          <w:spacing w:val="-73"/>
        </w:rPr>
        <w:t> </w:t>
      </w:r>
      <w:r>
        <w:rPr>
          <w:spacing w:val="-73"/>
        </w:rPr>
      </w:r>
      <w:r>
        <w:rPr>
          <w:spacing w:val="-2"/>
        </w:rPr>
        <w:t>董事应该关注的重大事项发表独立意见，同时发挥自己的专业特长，对公司治理和内部控制提出合理建议，对公司定期报告</w:t>
      </w:r>
      <w:r>
        <w:rPr>
          <w:spacing w:val="-62"/>
        </w:rPr>
        <w:t> </w:t>
      </w:r>
      <w:r>
        <w:rPr>
          <w:spacing w:val="-62"/>
        </w:rPr>
      </w:r>
      <w:r>
        <w:rPr>
          <w:spacing w:val="-2"/>
        </w:rPr>
        <w:t>财务报表编制进行核查和提出建议、对公司董事、监事及高级管理人员</w:t>
      </w:r>
      <w:r>
        <w:rPr>
          <w:rFonts w:ascii="宋体" w:hAnsi="宋体" w:cs="宋体" w:eastAsia="宋体" w:hint="default"/>
          <w:spacing w:val="-2"/>
        </w:rPr>
        <w:t>2018</w:t>
      </w:r>
      <w:r>
        <w:rPr>
          <w:spacing w:val="-2"/>
        </w:rPr>
        <w:t>年度薪酬、绩效情况进行了核查，并拟定了</w:t>
      </w:r>
      <w:r>
        <w:rPr>
          <w:rFonts w:ascii="宋体" w:hAnsi="宋体" w:cs="宋体" w:eastAsia="宋体" w:hint="default"/>
          <w:spacing w:val="-2"/>
        </w:rPr>
        <w:t>2019</w:t>
      </w:r>
      <w:r>
        <w:rPr>
          <w:rFonts w:ascii="宋体" w:hAnsi="宋体" w:cs="宋体" w:eastAsia="宋体" w:hint="default"/>
          <w:spacing w:val="-54"/>
        </w:rPr>
        <w:t> </w:t>
      </w:r>
      <w:r>
        <w:rPr>
          <w:spacing w:val="-2"/>
        </w:rPr>
        <w:t>年度公司董事、监事及高级管理人员的薪酬议案，对公司年度经营计划制定以及公司在北京设立全资子公司的前期论证工作</w:t>
      </w:r>
      <w:r>
        <w:rPr>
          <w:spacing w:val="-64"/>
        </w:rPr>
        <w:t> </w:t>
      </w:r>
      <w:r>
        <w:rPr>
          <w:spacing w:val="-64"/>
        </w:rPr>
      </w:r>
      <w:r>
        <w:rPr>
          <w:spacing w:val="-2"/>
        </w:rPr>
        <w:t>给予意见，对公司董事和高级管理人员是否有法律法规规定的不适合担任公司董事和高级管理人员的情形进行了核查。报告</w:t>
      </w:r>
      <w:r>
        <w:rPr>
          <w:spacing w:val="-64"/>
        </w:rPr>
        <w:t> </w:t>
      </w:r>
      <w:r>
        <w:rPr>
          <w:spacing w:val="-64"/>
        </w:rPr>
      </w:r>
      <w:r>
        <w:rPr>
          <w:spacing w:val="-2"/>
        </w:rPr>
        <w:t>期内，独立董事发表的多项意见均被公司采纳，充分发挥了独立董事在董事会专门委员会的作用，为维护公司和股东的合法</w:t>
      </w:r>
      <w:r>
        <w:rPr>
          <w:spacing w:val="-63"/>
        </w:rPr>
        <w:t> </w:t>
      </w:r>
      <w:r>
        <w:rPr>
          <w:spacing w:val="-63"/>
        </w:rPr>
      </w:r>
      <w:r>
        <w:rPr/>
        <w:t>权益、促进公司的发展提升发挥了重要的作用。</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公司董事会下设战略委员会、审计委员会、提名委员会、薪酬与考核委员会四个专门委员会。报告期内，各委员恪尽职</w:t>
      </w:r>
      <w:r>
        <w:rPr/>
        <w:t> </w:t>
      </w:r>
      <w:r>
        <w:rPr>
          <w:spacing w:val="-2"/>
        </w:rPr>
        <w:t>守，勤勉尽责地履行职责，切实维护公司及股东特别是社会公众股股东的权益，同时利用自己的专业特长，充分发挥在公司</w:t>
      </w:r>
      <w:r>
        <w:rPr>
          <w:spacing w:val="-64"/>
        </w:rPr>
        <w:t> </w:t>
      </w:r>
      <w:r>
        <w:rPr>
          <w:spacing w:val="-64"/>
        </w:rPr>
      </w:r>
      <w:r>
        <w:rPr/>
        <w:t>董事会专门委员会中的作用，各委员会履约职责情况如下：</w:t>
      </w:r>
    </w:p>
    <w:p>
      <w:pPr>
        <w:pStyle w:val="BodyText"/>
        <w:spacing w:line="316" w:lineRule="auto" w:before="19"/>
        <w:ind w:left="473" w:right="0"/>
        <w:jc w:val="left"/>
      </w:pPr>
      <w:r>
        <w:rPr>
          <w:rFonts w:ascii="宋体" w:hAnsi="宋体" w:cs="宋体" w:eastAsia="宋体" w:hint="default"/>
        </w:rPr>
        <w:t>1</w:t>
      </w:r>
      <w:r>
        <w:rPr/>
        <w:t>、战略委员会： </w:t>
      </w:r>
      <w:r>
        <w:rPr>
          <w:spacing w:val="-4"/>
        </w:rPr>
        <w:t>报告期内，公司董事会战略委员会协助公司管理层，完成了公司年度经营计划的制定，并定期跟踪经营计划的完成情况；</w:t>
      </w:r>
    </w:p>
    <w:p>
      <w:pPr>
        <w:pStyle w:val="BodyText"/>
        <w:spacing w:line="316" w:lineRule="auto" w:before="19"/>
        <w:ind w:right="0"/>
        <w:jc w:val="left"/>
      </w:pPr>
      <w:r>
        <w:rPr>
          <w:spacing w:val="-2"/>
        </w:rPr>
        <w:t>主持进行了公司设立全资子公司、购买办公场所等事项的前期论证工作。公司董事会战略委员会积极履职，对关系公司长期</w:t>
      </w:r>
      <w:r>
        <w:rPr>
          <w:spacing w:val="-62"/>
        </w:rPr>
        <w:t> </w:t>
      </w:r>
      <w:r>
        <w:rPr>
          <w:spacing w:val="-62"/>
        </w:rPr>
      </w:r>
      <w:r>
        <w:rPr/>
        <w:t>发展的决策，起到了关键作用。</w:t>
      </w:r>
    </w:p>
    <w:p>
      <w:pPr>
        <w:pStyle w:val="BodyText"/>
        <w:spacing w:line="319" w:lineRule="auto" w:before="19"/>
        <w:ind w:left="473" w:right="0"/>
        <w:jc w:val="left"/>
      </w:pPr>
      <w:r>
        <w:rPr>
          <w:rFonts w:ascii="宋体" w:hAnsi="宋体" w:cs="宋体" w:eastAsia="宋体" w:hint="default"/>
        </w:rPr>
        <w:t>2</w:t>
      </w:r>
      <w:r>
        <w:rPr/>
        <w:t>、薪酬与考核委员会 </w:t>
      </w:r>
      <w:r>
        <w:rPr>
          <w:spacing w:val="-4"/>
        </w:rPr>
        <w:t>报告期内，公司董事会薪酬与考核委员会对公司董事、高级管理人员前一年度任职情况进行了核查；制定了本年度董事、</w:t>
      </w:r>
    </w:p>
    <w:p>
      <w:pPr>
        <w:pStyle w:val="BodyText"/>
        <w:spacing w:line="316" w:lineRule="auto" w:before="17"/>
        <w:ind w:right="1129"/>
        <w:jc w:val="left"/>
      </w:pPr>
      <w:r>
        <w:rPr>
          <w:spacing w:val="-2"/>
        </w:rPr>
        <w:t>监事、高级管理人员薪酬方案；对公司限制性股票股权激励计划第一年度激励对象的绩效情况进行了核查，切实履行了董事</w:t>
      </w:r>
      <w:r>
        <w:rPr>
          <w:spacing w:val="-63"/>
        </w:rPr>
        <w:t> </w:t>
      </w:r>
      <w:r>
        <w:rPr>
          <w:spacing w:val="-63"/>
        </w:rPr>
      </w:r>
      <w:r>
        <w:rPr/>
        <w:t>会专门委员会职责。</w:t>
      </w:r>
    </w:p>
    <w:p>
      <w:pPr>
        <w:pStyle w:val="BodyText"/>
        <w:spacing w:line="316" w:lineRule="auto" w:before="19"/>
        <w:ind w:left="473" w:right="6433"/>
        <w:jc w:val="left"/>
      </w:pPr>
      <w:r>
        <w:rPr>
          <w:rFonts w:ascii="宋体" w:hAnsi="宋体" w:cs="宋体" w:eastAsia="宋体" w:hint="default"/>
        </w:rPr>
        <w:t>3</w:t>
      </w:r>
      <w:r>
        <w:rPr/>
        <w:t>、提名委员会 报告期内，没有新聘董事、高级管理人员的情况。 </w:t>
      </w:r>
      <w:r>
        <w:rPr>
          <w:rFonts w:ascii="宋体" w:hAnsi="宋体" w:cs="宋体" w:eastAsia="宋体" w:hint="default"/>
        </w:rPr>
        <w:t>4</w:t>
      </w:r>
      <w:r>
        <w:rPr/>
        <w:t>、审计委员会</w:t>
      </w:r>
    </w:p>
    <w:p>
      <w:pPr>
        <w:pStyle w:val="BodyText"/>
        <w:spacing w:line="316" w:lineRule="auto" w:before="19"/>
        <w:ind w:right="1034" w:firstLine="360"/>
        <w:jc w:val="left"/>
      </w:pPr>
      <w:r>
        <w:rPr>
          <w:spacing w:val="-2"/>
        </w:rPr>
        <w:t>报告期内，公司董事会审计委员会对公司定期报告的编制进行跟踪和指导，与负责审计的注册会计师和公司财务负责人</w:t>
      </w:r>
      <w:r>
        <w:rPr/>
        <w:t> 保持顺畅沟通，及时了解审计工作的进展情况，保证公司定期报告的真实、准确、完整；对公司募集资金存放与使用情况、 </w:t>
      </w:r>
      <w:r>
        <w:rPr>
          <w:spacing w:val="-2"/>
        </w:rPr>
        <w:t>关联方的资金往来情况等事项进行监督和核查；对公司的内控制度的健全和完善以及聘请审计机构事项提出意见和建议。报</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告期内，审计委员会召开了</w:t>
      </w:r>
      <w:r>
        <w:rPr>
          <w:rFonts w:ascii="宋体" w:hAnsi="宋体" w:cs="宋体" w:eastAsia="宋体" w:hint="default"/>
        </w:rPr>
        <w:t>4</w:t>
      </w:r>
      <w:r>
        <w:rPr/>
        <w:t>次会议，切实履行了董事会审计委员会的职责。</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60" w:lineRule="auto" w:before="115"/>
        <w:ind w:right="7334"/>
        <w:jc w:val="left"/>
      </w:pPr>
      <w:r>
        <w:rPr/>
        <w:t>□ 是 √</w:t>
      </w:r>
      <w:r>
        <w:rPr>
          <w:spacing w:val="3"/>
        </w:rPr>
        <w:t> </w:t>
      </w:r>
      <w:r>
        <w:rPr/>
        <w:t>否</w:t>
      </w:r>
      <w:r>
        <w:rPr/>
        <w:t> 公司监事会对报告期内的监督事项无异议。</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3" w:right="1129"/>
        <w:jc w:val="left"/>
      </w:pPr>
      <w:r>
        <w:rPr/>
        <w:t>公司高级管理人员考评由公司董事会薪酬与考核委员会负责，公司高级管理人员绩效由公司业绩、个人业绩确定。 </w:t>
      </w:r>
      <w:r>
        <w:rPr>
          <w:spacing w:val="-2"/>
        </w:rPr>
        <w:t>报告期内，公司完成了年度经营目标，取得了良好的业绩，经公司董事会薪酬与考核委员会评定，公司高级管理人员按</w:t>
      </w:r>
    </w:p>
    <w:p>
      <w:pPr>
        <w:pStyle w:val="BodyText"/>
        <w:spacing w:line="240" w:lineRule="auto" w:before="19"/>
        <w:ind w:right="1133"/>
        <w:jc w:val="left"/>
      </w:pPr>
      <w:r>
        <w:rPr/>
        <w:t>照所负责业务的平均年度绩效奖励水平，发放年度绩效奖励。</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927"/>
        <w:gridCol w:w="3324"/>
        <w:gridCol w:w="3320"/>
      </w:tblGrid>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5"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1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74"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4"/>
                <w:sz w:val="18"/>
                <w:szCs w:val="18"/>
              </w:rPr>
              <w:t> </w:t>
            </w:r>
            <w:r>
              <w:rPr>
                <w:rFonts w:ascii="宋体" w:hAnsi="宋体" w:cs="宋体" w:eastAsia="宋体" w:hint="default"/>
                <w:spacing w:val="-3"/>
                <w:sz w:val="18"/>
                <w:szCs w:val="18"/>
              </w:rPr>
              <w:t>公司董事、监事和高级管理人员的舞</w:t>
            </w:r>
            <w:r>
              <w:rPr>
                <w:rFonts w:ascii="宋体" w:hAnsi="宋体" w:cs="宋体" w:eastAsia="宋体" w:hint="default"/>
                <w:sz w:val="18"/>
                <w:szCs w:val="18"/>
              </w:rPr>
              <w:t> 弊行为；</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公司更正已公布的财务报告；</w:t>
            </w:r>
          </w:p>
          <w:p>
            <w:pPr>
              <w:pStyle w:val="TableParagraph"/>
              <w:spacing w:line="316" w:lineRule="auto" w:before="76"/>
              <w:ind w:left="105" w:right="237"/>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注册会计师发现的却未被公司内部</w:t>
            </w:r>
            <w:r>
              <w:rPr>
                <w:rFonts w:ascii="宋体" w:hAnsi="宋体" w:cs="宋体" w:eastAsia="宋体" w:hint="default"/>
                <w:sz w:val="18"/>
                <w:szCs w:val="18"/>
              </w:rPr>
              <w:t> 控制识别的当期财务报告中的重大错 报；</w:t>
            </w:r>
          </w:p>
          <w:p>
            <w:pPr>
              <w:pStyle w:val="TableParagraph"/>
              <w:spacing w:line="316" w:lineRule="auto" w:before="19"/>
              <w:ind w:left="105" w:right="147"/>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审计委员会和审计部门对公司的对</w:t>
            </w:r>
            <w:r>
              <w:rPr>
                <w:rFonts w:ascii="宋体" w:hAnsi="宋体" w:cs="宋体" w:eastAsia="宋体" w:hint="default"/>
                <w:sz w:val="18"/>
                <w:szCs w:val="18"/>
              </w:rPr>
              <w:t> 外财务报告和财务报告内部控制监督无 效。</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103" w:right="20"/>
              <w:jc w:val="left"/>
              <w:rPr>
                <w:rFonts w:ascii="宋体" w:hAnsi="宋体" w:cs="宋体" w:eastAsia="宋体" w:hint="default"/>
                <w:sz w:val="16"/>
                <w:szCs w:val="16"/>
              </w:rPr>
            </w:pPr>
            <w:r>
              <w:rPr>
                <w:rFonts w:ascii="宋体" w:hAnsi="宋体" w:cs="宋体" w:eastAsia="宋体" w:hint="default"/>
                <w:sz w:val="16"/>
                <w:szCs w:val="16"/>
              </w:rPr>
              <w:t>非财务报告缺陷认定主要以缺陷对业务流程</w:t>
            </w:r>
            <w:r>
              <w:rPr>
                <w:rFonts w:ascii="宋体" w:hAnsi="宋体" w:cs="宋体" w:eastAsia="宋体" w:hint="default"/>
                <w:w w:val="100"/>
                <w:sz w:val="16"/>
                <w:szCs w:val="16"/>
              </w:rPr>
              <w:t> </w:t>
            </w:r>
            <w:r>
              <w:rPr>
                <w:rFonts w:ascii="宋体" w:hAnsi="宋体" w:cs="宋体" w:eastAsia="宋体" w:hint="default"/>
                <w:sz w:val="16"/>
                <w:szCs w:val="16"/>
              </w:rPr>
              <w:t>有效性的影响程度、发生的可能性作判定。</w:t>
            </w:r>
            <w:r>
              <w:rPr>
                <w:rFonts w:ascii="宋体" w:hAnsi="宋体" w:cs="宋体" w:eastAsia="宋体" w:hint="default"/>
                <w:w w:val="100"/>
                <w:sz w:val="16"/>
                <w:szCs w:val="16"/>
              </w:rPr>
              <w:t> </w:t>
            </w:r>
            <w:r>
              <w:rPr>
                <w:rFonts w:ascii="宋体" w:hAnsi="宋体" w:cs="宋体" w:eastAsia="宋体" w:hint="default"/>
                <w:sz w:val="16"/>
                <w:szCs w:val="16"/>
              </w:rPr>
              <w:t>如果缺陷发生的可能性高，会严重降低工作</w:t>
            </w:r>
            <w:r>
              <w:rPr>
                <w:rFonts w:ascii="宋体" w:hAnsi="宋体" w:cs="宋体" w:eastAsia="宋体" w:hint="default"/>
                <w:w w:val="100"/>
                <w:sz w:val="16"/>
                <w:szCs w:val="16"/>
              </w:rPr>
              <w:t> </w:t>
            </w:r>
            <w:r>
              <w:rPr>
                <w:rFonts w:ascii="宋体" w:hAnsi="宋体" w:cs="宋体" w:eastAsia="宋体" w:hint="default"/>
                <w:sz w:val="16"/>
                <w:szCs w:val="16"/>
              </w:rPr>
              <w:t>效率或效果、或严重加大效果的不确定性、</w:t>
            </w:r>
            <w:r>
              <w:rPr>
                <w:rFonts w:ascii="宋体" w:hAnsi="宋体" w:cs="宋体" w:eastAsia="宋体" w:hint="default"/>
                <w:w w:val="100"/>
                <w:sz w:val="16"/>
                <w:szCs w:val="16"/>
              </w:rPr>
              <w:t> </w:t>
            </w:r>
            <w:r>
              <w:rPr>
                <w:rFonts w:ascii="宋体" w:hAnsi="宋体" w:cs="宋体" w:eastAsia="宋体" w:hint="default"/>
                <w:sz w:val="16"/>
                <w:szCs w:val="16"/>
              </w:rPr>
              <w:t>或使之严重偏离预期目标为重大缺陷；</w:t>
            </w:r>
            <w:r>
              <w:rPr>
                <w:rFonts w:ascii="宋体" w:hAnsi="宋体" w:cs="宋体" w:eastAsia="宋体" w:hint="default"/>
                <w:w w:val="100"/>
                <w:sz w:val="16"/>
                <w:szCs w:val="16"/>
              </w:rPr>
              <w:t> </w:t>
            </w:r>
            <w:r>
              <w:rPr>
                <w:rFonts w:ascii="宋体" w:hAnsi="宋体" w:cs="宋体" w:eastAsia="宋体" w:hint="default"/>
                <w:sz w:val="16"/>
                <w:szCs w:val="16"/>
              </w:rPr>
              <w:t>如果缺陷发生的可能性较高，会显著降低工</w:t>
            </w:r>
            <w:r>
              <w:rPr>
                <w:rFonts w:ascii="宋体" w:hAnsi="宋体" w:cs="宋体" w:eastAsia="宋体" w:hint="default"/>
                <w:w w:val="100"/>
                <w:sz w:val="16"/>
                <w:szCs w:val="16"/>
              </w:rPr>
              <w:t> </w:t>
            </w:r>
            <w:r>
              <w:rPr>
                <w:rFonts w:ascii="宋体" w:hAnsi="宋体" w:cs="宋体" w:eastAsia="宋体" w:hint="default"/>
                <w:spacing w:val="-2"/>
                <w:sz w:val="16"/>
                <w:szCs w:val="16"/>
              </w:rPr>
              <w:t>作效率或效果、或显著加大效果的不确定性、</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或使之显著偏离预期目标为重要缺陷；</w:t>
            </w:r>
            <w:r>
              <w:rPr>
                <w:rFonts w:ascii="宋体" w:hAnsi="宋体" w:cs="宋体" w:eastAsia="宋体" w:hint="default"/>
                <w:w w:val="100"/>
                <w:sz w:val="16"/>
                <w:szCs w:val="16"/>
              </w:rPr>
              <w:t> </w:t>
            </w:r>
            <w:r>
              <w:rPr>
                <w:rFonts w:ascii="宋体" w:hAnsi="宋体" w:cs="宋体" w:eastAsia="宋体" w:hint="default"/>
                <w:sz w:val="16"/>
                <w:szCs w:val="16"/>
              </w:rPr>
              <w:t>如果缺陷发生的可能性较小，会降低工作效</w:t>
            </w:r>
            <w:r>
              <w:rPr>
                <w:rFonts w:ascii="宋体" w:hAnsi="宋体" w:cs="宋体" w:eastAsia="宋体" w:hint="default"/>
                <w:w w:val="100"/>
                <w:sz w:val="16"/>
                <w:szCs w:val="16"/>
              </w:rPr>
              <w:t> </w:t>
            </w:r>
            <w:r>
              <w:rPr>
                <w:rFonts w:ascii="宋体" w:hAnsi="宋体" w:cs="宋体" w:eastAsia="宋体" w:hint="default"/>
                <w:sz w:val="16"/>
                <w:szCs w:val="16"/>
              </w:rPr>
              <w:t>率或效果、或加大效果的不确定性、或使之</w:t>
            </w:r>
            <w:r>
              <w:rPr>
                <w:rFonts w:ascii="宋体" w:hAnsi="宋体" w:cs="宋体" w:eastAsia="宋体" w:hint="default"/>
                <w:w w:val="100"/>
                <w:sz w:val="16"/>
                <w:szCs w:val="16"/>
              </w:rPr>
              <w:t> </w:t>
            </w:r>
            <w:r>
              <w:rPr>
                <w:rFonts w:ascii="宋体" w:hAnsi="宋体" w:cs="宋体" w:eastAsia="宋体" w:hint="default"/>
                <w:sz w:val="16"/>
                <w:szCs w:val="16"/>
              </w:rPr>
              <w:t>偏离预期目标为一般缺陷。</w:t>
            </w:r>
          </w:p>
        </w:tc>
      </w:tr>
    </w:tbl>
    <w:p>
      <w:pPr>
        <w:spacing w:after="0" w:line="357" w:lineRule="auto"/>
        <w:jc w:val="left"/>
        <w:rPr>
          <w:rFonts w:ascii="宋体" w:hAnsi="宋体" w:cs="宋体" w:eastAsia="宋体" w:hint="default"/>
          <w:sz w:val="16"/>
          <w:szCs w:val="16"/>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25"/>
        <w:gridCol w:w="3324"/>
        <w:gridCol w:w="3320"/>
      </w:tblGrid>
      <w:tr>
        <w:trPr>
          <w:trHeight w:val="383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7"/>
              <w:ind w:left="105" w:right="71"/>
              <w:jc w:val="left"/>
              <w:rPr>
                <w:rFonts w:ascii="宋体" w:hAnsi="宋体" w:cs="宋体" w:eastAsia="宋体" w:hint="default"/>
                <w:sz w:val="16"/>
                <w:szCs w:val="16"/>
              </w:rPr>
            </w:pPr>
            <w:r>
              <w:rPr>
                <w:rFonts w:ascii="宋体" w:hAnsi="宋体" w:cs="宋体" w:eastAsia="宋体" w:hint="default"/>
                <w:sz w:val="16"/>
                <w:szCs w:val="16"/>
              </w:rPr>
              <w:t>定量标准以营业收入、资产总额作为衡量指</w:t>
            </w:r>
            <w:r>
              <w:rPr>
                <w:rFonts w:ascii="宋体" w:hAnsi="宋体" w:cs="宋体" w:eastAsia="宋体" w:hint="default"/>
                <w:w w:val="100"/>
                <w:sz w:val="16"/>
                <w:szCs w:val="16"/>
              </w:rPr>
              <w:t> </w:t>
            </w:r>
            <w:r>
              <w:rPr>
                <w:rFonts w:ascii="宋体" w:hAnsi="宋体" w:cs="宋体" w:eastAsia="宋体" w:hint="default"/>
                <w:sz w:val="16"/>
                <w:szCs w:val="16"/>
              </w:rPr>
              <w:t>标。如果该缺陷单独或连同其他缺陷可能导</w:t>
            </w:r>
            <w:r>
              <w:rPr>
                <w:rFonts w:ascii="宋体" w:hAnsi="宋体" w:cs="宋体" w:eastAsia="宋体" w:hint="default"/>
                <w:w w:val="100"/>
                <w:sz w:val="16"/>
                <w:szCs w:val="16"/>
              </w:rPr>
              <w:t> </w:t>
            </w:r>
            <w:r>
              <w:rPr>
                <w:rFonts w:ascii="宋体" w:hAnsi="宋体" w:cs="宋体" w:eastAsia="宋体" w:hint="default"/>
                <w:sz w:val="16"/>
                <w:szCs w:val="16"/>
              </w:rPr>
              <w:t>致的财务报告错报金额小于营业收入的</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pacing w:val="-3"/>
                <w:sz w:val="16"/>
                <w:szCs w:val="16"/>
              </w:rPr>
              <w:t>则认定为一般缺陷；如果超过营业收入的</w:t>
            </w:r>
            <w:r>
              <w:rPr>
                <w:rFonts w:ascii="宋体" w:hAnsi="宋体" w:cs="宋体" w:eastAsia="宋体" w:hint="default"/>
                <w:spacing w:val="-28"/>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5"/>
                <w:sz w:val="16"/>
                <w:szCs w:val="16"/>
              </w:rPr>
              <w:t> </w:t>
            </w:r>
            <w:r>
              <w:rPr>
                <w:rFonts w:ascii="宋体" w:hAnsi="宋体" w:cs="宋体" w:eastAsia="宋体" w:hint="default"/>
                <w:sz w:val="16"/>
                <w:szCs w:val="16"/>
              </w:rPr>
              <w:t>但小于</w:t>
            </w:r>
            <w:r>
              <w:rPr>
                <w:rFonts w:ascii="宋体" w:hAnsi="宋体" w:cs="宋体" w:eastAsia="宋体" w:hint="default"/>
                <w:spacing w:val="-32"/>
                <w:sz w:val="16"/>
                <w:szCs w:val="16"/>
              </w:rPr>
              <w:t> </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，则认定为重要缺陷；如果超过营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业收入的</w:t>
            </w:r>
            <w:r>
              <w:rPr>
                <w:rFonts w:ascii="宋体" w:hAnsi="宋体" w:cs="宋体" w:eastAsia="宋体" w:hint="default"/>
                <w:spacing w:val="-32"/>
                <w:sz w:val="16"/>
                <w:szCs w:val="16"/>
              </w:rPr>
              <w:t> </w:t>
            </w: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，则认定为重大缺陷；如果该缺</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陷单独或连同其他缺陷可能导致的财务报告</w:t>
            </w:r>
            <w:r>
              <w:rPr>
                <w:rFonts w:ascii="宋体" w:hAnsi="宋体" w:cs="宋体" w:eastAsia="宋体" w:hint="default"/>
                <w:w w:val="100"/>
                <w:sz w:val="16"/>
                <w:szCs w:val="16"/>
              </w:rPr>
              <w:t> </w:t>
            </w:r>
            <w:r>
              <w:rPr>
                <w:rFonts w:ascii="宋体" w:hAnsi="宋体" w:cs="宋体" w:eastAsia="宋体" w:hint="default"/>
                <w:sz w:val="16"/>
                <w:szCs w:val="16"/>
              </w:rPr>
              <w:t>错报金额小于资产总额的</w:t>
            </w:r>
            <w:r>
              <w:rPr>
                <w:rFonts w:ascii="宋体" w:hAnsi="宋体" w:cs="宋体" w:eastAsia="宋体" w:hint="default"/>
                <w:spacing w:val="-39"/>
                <w:sz w:val="16"/>
                <w:szCs w:val="16"/>
              </w:rPr>
              <w:t> </w:t>
            </w:r>
            <w:r>
              <w:rPr>
                <w:rFonts w:ascii="Times New Roman" w:hAnsi="Times New Roman" w:cs="Times New Roman" w:eastAsia="Times New Roman" w:hint="default"/>
                <w:spacing w:val="-4"/>
                <w:sz w:val="16"/>
                <w:szCs w:val="16"/>
              </w:rPr>
              <w:t>1%</w:t>
            </w:r>
            <w:r>
              <w:rPr>
                <w:rFonts w:ascii="宋体" w:hAnsi="宋体" w:cs="宋体" w:eastAsia="宋体" w:hint="default"/>
                <w:spacing w:val="-4"/>
                <w:sz w:val="16"/>
                <w:szCs w:val="16"/>
              </w:rPr>
              <w:t>，则认定为一般</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z w:val="16"/>
                <w:szCs w:val="16"/>
              </w:rPr>
              <w:t>缺陷；如果超过资产总额的</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但小于</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则认定为重要缺陷；如果超过资产总额</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则认定为重大缺陷；一般缺陷为重大缺陷、</w:t>
            </w:r>
            <w:r>
              <w:rPr>
                <w:rFonts w:ascii="宋体" w:hAnsi="宋体" w:cs="宋体" w:eastAsia="宋体" w:hint="default"/>
                <w:w w:val="100"/>
                <w:sz w:val="16"/>
                <w:szCs w:val="16"/>
              </w:rPr>
              <w:t> </w:t>
            </w:r>
            <w:r>
              <w:rPr>
                <w:rFonts w:ascii="宋体" w:hAnsi="宋体" w:cs="宋体" w:eastAsia="宋体" w:hint="default"/>
                <w:sz w:val="16"/>
                <w:szCs w:val="16"/>
              </w:rPr>
              <w:t>重要缺陷以外的缺陷。</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103" w:right="14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非财务报告内部控制缺陷评价的定量标 准参照财务报告内部控制缺陷的定量标 准执行。</w:t>
            </w:r>
          </w:p>
        </w:tc>
      </w:tr>
      <w:tr>
        <w:trPr>
          <w:trHeight w:val="404"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2" w:right="1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 报告内部控制。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详见公司于 </w:t>
            </w:r>
            <w:r>
              <w:rPr>
                <w:rFonts w:ascii="Times New Roman" w:hAnsi="Times New Roman" w:cs="Times New Roman" w:eastAsia="Times New Roman" w:hint="default"/>
                <w:sz w:val="18"/>
                <w:szCs w:val="18"/>
              </w:rPr>
              <w:t>20120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日在巨潮资讯网刊登的《内部控制鉴证报告》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60" w:lineRule="auto" w:before="115"/>
        <w:ind w:right="4634"/>
        <w:jc w:val="left"/>
      </w:pPr>
      <w:r>
        <w:rPr/>
        <w:t>□ 是 √</w:t>
      </w:r>
      <w:r>
        <w:rPr>
          <w:spacing w:val="3"/>
        </w:rPr>
        <w:t> </w:t>
      </w:r>
      <w:r>
        <w:rPr/>
        <w:t>否</w:t>
      </w:r>
      <w:r>
        <w:rPr/>
        <w:t> 会计师事务所出具的内部控制鉴证报告与董事会的自我评价报告意见是否一致</w:t>
      </w:r>
    </w:p>
    <w:p>
      <w:pPr>
        <w:pStyle w:val="BodyText"/>
        <w:spacing w:line="240" w:lineRule="auto" w:before="25"/>
        <w:ind w:right="1133"/>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924" w:right="1133"/>
        <w:jc w:val="left"/>
        <w:rPr>
          <w:b w:val="0"/>
          <w:bCs w:val="0"/>
        </w:rPr>
      </w:pPr>
      <w:bookmarkStart w:name="第十一节 公司债券相关情况" w:id="150"/>
      <w:bookmarkEnd w:id="150"/>
      <w:r>
        <w:rPr>
          <w:b w:val="0"/>
          <w:bCs w:val="0"/>
        </w:rPr>
      </w:r>
      <w:bookmarkStart w:name="_bookmark10" w:id="151"/>
      <w:bookmarkEnd w:id="151"/>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67" w:right="1133"/>
        <w:jc w:val="left"/>
        <w:rPr>
          <w:b w:val="0"/>
          <w:bCs w:val="0"/>
        </w:rPr>
      </w:pPr>
      <w:bookmarkStart w:name="第十二节 财务报告" w:id="152"/>
      <w:bookmarkEnd w:id="152"/>
      <w:r>
        <w:rPr>
          <w:b w:val="0"/>
          <w:bCs w:val="0"/>
        </w:rPr>
      </w:r>
      <w:bookmarkStart w:name="_bookmark11" w:id="153"/>
      <w:bookmarkEnd w:id="153"/>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1-02806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于曙光，蒲金凤</w:t>
            </w:r>
          </w:p>
        </w:tc>
      </w:tr>
    </w:tbl>
    <w:p>
      <w:pPr>
        <w:pStyle w:val="BodyText"/>
        <w:spacing w:line="240" w:lineRule="auto" w:before="49"/>
        <w:ind w:left="454" w:right="1472"/>
        <w:jc w:val="center"/>
      </w:pPr>
      <w:r>
        <w:rPr/>
        <w:t>审计报告正文</w:t>
      </w:r>
    </w:p>
    <w:p>
      <w:pPr>
        <w:pStyle w:val="Heading5"/>
        <w:spacing w:line="240" w:lineRule="auto" w:before="115"/>
        <w:ind w:right="1133"/>
        <w:jc w:val="left"/>
        <w:rPr>
          <w:b w:val="0"/>
          <w:bCs w:val="0"/>
        </w:rPr>
      </w:pPr>
      <w:r>
        <w:rPr/>
        <w:t>北京先进数通信息技术股份公司全体股东：</w:t>
      </w:r>
      <w:r>
        <w:rPr>
          <w:b w:val="0"/>
          <w:bCs w:val="0"/>
        </w:rPr>
      </w:r>
    </w:p>
    <w:p>
      <w:pPr>
        <w:spacing w:line="240" w:lineRule="auto" w:before="5"/>
        <w:rPr>
          <w:rFonts w:ascii="宋体" w:hAnsi="宋体" w:cs="宋体" w:eastAsia="宋体" w:hint="default"/>
          <w:b/>
          <w:bCs/>
          <w:sz w:val="14"/>
          <w:szCs w:val="14"/>
        </w:rPr>
      </w:pPr>
    </w:p>
    <w:p>
      <w:pPr>
        <w:pStyle w:val="BodyText"/>
        <w:spacing w:line="316" w:lineRule="auto" w:before="44"/>
        <w:ind w:left="533" w:right="1119" w:firstLine="60"/>
        <w:jc w:val="left"/>
      </w:pPr>
      <w:r>
        <w:rPr/>
        <w:t>一、审计意见 </w:t>
      </w:r>
      <w:r>
        <w:rPr>
          <w:spacing w:val="-3"/>
        </w:rPr>
        <w:t>我们审计了北京先进数通信息技术股份公司（以下简称“贵公司”）的财务报表，包括</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日的合并及母公司</w:t>
      </w:r>
    </w:p>
    <w:p>
      <w:pPr>
        <w:pStyle w:val="BodyText"/>
        <w:spacing w:line="316" w:lineRule="auto" w:before="19"/>
        <w:ind w:right="1129"/>
        <w:jc w:val="left"/>
      </w:pPr>
      <w:r>
        <w:rPr>
          <w:spacing w:val="-2"/>
        </w:rPr>
        <w:t>资产负债表，</w:t>
      </w:r>
      <w:r>
        <w:rPr>
          <w:rFonts w:ascii="宋体" w:hAnsi="宋体" w:cs="宋体" w:eastAsia="宋体" w:hint="default"/>
          <w:spacing w:val="-2"/>
        </w:rPr>
        <w:t>2019</w:t>
      </w:r>
      <w:r>
        <w:rPr>
          <w:spacing w:val="-2"/>
        </w:rPr>
        <w:t>年度的合并及母公司利润表、合并及母公司现金流量表、合并及母公司股东权益变动表，以及财务报表附</w:t>
      </w:r>
      <w:r>
        <w:rPr>
          <w:spacing w:val="-62"/>
        </w:rPr>
        <w:t> </w:t>
      </w:r>
      <w:r>
        <w:rPr>
          <w:spacing w:val="-62"/>
        </w:rPr>
      </w:r>
      <w:r>
        <w:rPr/>
        <w:t>注。</w:t>
      </w:r>
    </w:p>
    <w:p>
      <w:pPr>
        <w:pStyle w:val="BodyText"/>
        <w:spacing w:line="316" w:lineRule="auto" w:before="19"/>
        <w:ind w:right="1133" w:firstLine="420"/>
        <w:jc w:val="left"/>
      </w:pPr>
      <w:r>
        <w:rPr/>
        <w:t>我们认为，后附的财务报表在所有重大方面按照企业会计准则的规定编制，公允反映了贵公司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 及母公司财务状况以及</w:t>
      </w:r>
      <w:r>
        <w:rPr>
          <w:rFonts w:ascii="宋体" w:hAnsi="宋体" w:cs="宋体" w:eastAsia="宋体" w:hint="default"/>
        </w:rPr>
        <w:t>2019</w:t>
      </w:r>
      <w:r>
        <w:rPr/>
        <w:t>年度的合并及母公司经营成果和现金流量。</w:t>
      </w:r>
    </w:p>
    <w:p>
      <w:pPr>
        <w:spacing w:line="240" w:lineRule="auto" w:before="4"/>
        <w:rPr>
          <w:rFonts w:ascii="宋体" w:hAnsi="宋体" w:cs="宋体" w:eastAsia="宋体" w:hint="default"/>
          <w:sz w:val="25"/>
          <w:szCs w:val="25"/>
        </w:rPr>
      </w:pPr>
    </w:p>
    <w:p>
      <w:pPr>
        <w:pStyle w:val="BodyText"/>
        <w:spacing w:line="319" w:lineRule="auto"/>
        <w:ind w:left="533" w:right="1133"/>
        <w:jc w:val="left"/>
      </w:pPr>
      <w:r>
        <w:rPr/>
        <w:t>二、形成审计意见的基础 我们按照中国注册会计师审计准则的规定执行了审计工作。审计报告的“注册会计师对财务报表审计的责任”部分进</w:t>
      </w:r>
    </w:p>
    <w:p>
      <w:pPr>
        <w:pStyle w:val="BodyText"/>
        <w:spacing w:line="316" w:lineRule="auto" w:before="17"/>
        <w:ind w:right="1129"/>
        <w:jc w:val="left"/>
      </w:pPr>
      <w:r>
        <w:rPr>
          <w:spacing w:val="-2"/>
        </w:rPr>
        <w:t>一步阐述了我们在这些准则下的责任。按照中国注册会计师职业道德守则，我们独立于贵公司，并履行了职业道德方面的其</w:t>
      </w:r>
      <w:r>
        <w:rPr>
          <w:spacing w:val="-63"/>
        </w:rPr>
        <w:t> </w:t>
      </w:r>
      <w:r>
        <w:rPr>
          <w:spacing w:val="-63"/>
        </w:rPr>
      </w:r>
      <w:r>
        <w:rPr/>
        <w:t>他责任。</w:t>
      </w:r>
    </w:p>
    <w:p>
      <w:pPr>
        <w:pStyle w:val="BodyText"/>
        <w:spacing w:line="240" w:lineRule="auto" w:before="19"/>
        <w:ind w:left="533" w:right="1133"/>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33" w:right="1133"/>
        <w:jc w:val="left"/>
      </w:pPr>
      <w:r>
        <w:rPr/>
        <w:t>三、关键审计事项 关键审计事项是我们根据职业判断，认为对本期财务报表审计最为重要的事项。这些事项的应对以对财务报表整体进</w:t>
      </w:r>
    </w:p>
    <w:p>
      <w:pPr>
        <w:pStyle w:val="BodyText"/>
        <w:spacing w:line="240" w:lineRule="auto" w:before="19"/>
        <w:ind w:right="1133"/>
        <w:jc w:val="left"/>
      </w:pPr>
      <w:r>
        <w:rPr/>
        <w:t>行审计并形成审计意见为背景，我们不对这些事项单独发表意见。</w:t>
      </w:r>
    </w:p>
    <w:p>
      <w:pPr>
        <w:pStyle w:val="BodyText"/>
        <w:spacing w:line="316" w:lineRule="auto" w:before="76"/>
        <w:ind w:left="533" w:right="9073"/>
        <w:jc w:val="left"/>
      </w:pPr>
      <w:r>
        <w:rPr/>
        <w:t>（一）营业收入 </w:t>
      </w:r>
      <w:r>
        <w:rPr>
          <w:rFonts w:ascii="宋体" w:hAnsi="宋体" w:cs="宋体" w:eastAsia="宋体" w:hint="default"/>
        </w:rPr>
        <w:t>1.</w:t>
      </w:r>
      <w:r>
        <w:rPr/>
        <w:t>事项描述</w:t>
      </w:r>
    </w:p>
    <w:p>
      <w:pPr>
        <w:pStyle w:val="BodyText"/>
        <w:spacing w:line="319" w:lineRule="auto" w:before="19"/>
        <w:ind w:right="1131" w:firstLine="420"/>
        <w:jc w:val="both"/>
      </w:pPr>
      <w:r>
        <w:rPr/>
        <w:t>公司营业收入由</w:t>
      </w:r>
      <w:r>
        <w:rPr>
          <w:rFonts w:ascii="宋体" w:hAnsi="宋体" w:cs="宋体" w:eastAsia="宋体" w:hint="default"/>
        </w:rPr>
        <w:t>IT</w:t>
      </w:r>
      <w:r>
        <w:rPr/>
        <w:t>基础设施建设、软件解决方案、</w:t>
      </w:r>
      <w:r>
        <w:rPr>
          <w:rFonts w:ascii="宋体" w:hAnsi="宋体" w:cs="宋体" w:eastAsia="宋体" w:hint="default"/>
        </w:rPr>
        <w:t>IT</w:t>
      </w:r>
      <w:r>
        <w:rPr/>
        <w:t>运行维护服务三种类型组成。</w:t>
      </w:r>
      <w:r>
        <w:rPr>
          <w:rFonts w:ascii="宋体" w:hAnsi="宋体" w:cs="宋体" w:eastAsia="宋体" w:hint="default"/>
        </w:rPr>
        <w:t>IT</w:t>
      </w:r>
      <w:r>
        <w:rPr/>
        <w:t>基础设施建设主要以货物的验收 </w:t>
      </w:r>
      <w:r>
        <w:rPr>
          <w:spacing w:val="-2"/>
        </w:rPr>
        <w:t>报告作为收入确认的依据，软件解决方案主要以工作量确认单作为确认收入的依据，</w:t>
      </w:r>
      <w:r>
        <w:rPr>
          <w:rFonts w:ascii="宋体" w:hAnsi="宋体" w:cs="宋体" w:eastAsia="宋体" w:hint="default"/>
          <w:spacing w:val="-2"/>
        </w:rPr>
        <w:t>IT</w:t>
      </w:r>
      <w:r>
        <w:rPr>
          <w:spacing w:val="-2"/>
        </w:rPr>
        <w:t>运行维护服务主要以合同约定的服务</w:t>
      </w:r>
      <w:r>
        <w:rPr>
          <w:spacing w:val="-62"/>
        </w:rPr>
        <w:t> </w:t>
      </w:r>
      <w:r>
        <w:rPr>
          <w:spacing w:val="-62"/>
        </w:rPr>
      </w:r>
      <w:r>
        <w:rPr>
          <w:spacing w:val="-2"/>
        </w:rPr>
        <w:t>期限内按月确认收入。报告期内，如财务报表附注五、（三十）所述，公司营业收入分别为</w:t>
      </w:r>
      <w:r>
        <w:rPr>
          <w:rFonts w:ascii="宋体" w:hAnsi="宋体" w:cs="宋体" w:eastAsia="宋体" w:hint="default"/>
          <w:spacing w:val="-2"/>
        </w:rPr>
        <w:t>2019</w:t>
      </w:r>
      <w:r>
        <w:rPr>
          <w:spacing w:val="-2"/>
        </w:rPr>
        <w:t>年度</w:t>
      </w:r>
      <w:r>
        <w:rPr>
          <w:rFonts w:ascii="宋体" w:hAnsi="宋体" w:cs="宋体" w:eastAsia="宋体" w:hint="default"/>
          <w:spacing w:val="-2"/>
        </w:rPr>
        <w:t>1,792,508,599.81</w:t>
      </w:r>
      <w:r>
        <w:rPr>
          <w:spacing w:val="-2"/>
        </w:rPr>
        <w:t>元、</w:t>
      </w:r>
      <w:r>
        <w:rPr>
          <w:spacing w:val="-53"/>
        </w:rPr>
        <w:t> </w:t>
      </w:r>
      <w:r>
        <w:rPr>
          <w:rFonts w:ascii="宋体" w:hAnsi="宋体" w:cs="宋体" w:eastAsia="宋体" w:hint="default"/>
        </w:rPr>
        <w:t>2018</w:t>
      </w:r>
      <w:r>
        <w:rPr/>
        <w:t>年度</w:t>
      </w:r>
      <w:r>
        <w:rPr>
          <w:rFonts w:ascii="宋体" w:hAnsi="宋体" w:cs="宋体" w:eastAsia="宋体" w:hint="default"/>
        </w:rPr>
        <w:t>1,390,348,474.90</w:t>
      </w:r>
      <w:r>
        <w:rPr/>
        <w:t>，营业收入呈增长趋势。</w:t>
      </w:r>
    </w:p>
    <w:p>
      <w:pPr>
        <w:pStyle w:val="BodyText"/>
        <w:spacing w:line="316" w:lineRule="auto" w:before="17"/>
        <w:ind w:left="533" w:right="2053"/>
        <w:jc w:val="left"/>
      </w:pPr>
      <w:r>
        <w:rPr/>
        <w:t>基于营业收入的增长成为影响利润的重要指标之一，因此我们将营业收入的真实性确定为关键审计事项。 </w:t>
      </w:r>
      <w:r>
        <w:rPr>
          <w:rFonts w:ascii="宋体" w:hAnsi="宋体" w:cs="宋体" w:eastAsia="宋体" w:hint="default"/>
        </w:rPr>
        <w:t>2.</w:t>
      </w:r>
      <w:r>
        <w:rPr/>
        <w:t>审计应对</w:t>
      </w:r>
    </w:p>
    <w:p>
      <w:pPr>
        <w:pStyle w:val="BodyText"/>
        <w:spacing w:line="240" w:lineRule="auto" w:before="19"/>
        <w:ind w:left="533" w:right="1133"/>
        <w:jc w:val="left"/>
      </w:pPr>
      <w:r>
        <w:rPr/>
        <w:t>（</w:t>
      </w:r>
      <w:r>
        <w:rPr>
          <w:rFonts w:ascii="宋体" w:hAnsi="宋体" w:cs="宋体" w:eastAsia="宋体" w:hint="default"/>
        </w:rPr>
        <w:t>1</w:t>
      </w:r>
      <w:r>
        <w:rPr/>
        <w:t>）了解公司关于销售与收款的相关内部控制的有效性。</w:t>
      </w:r>
    </w:p>
    <w:p>
      <w:pPr>
        <w:pStyle w:val="BodyText"/>
        <w:spacing w:line="316" w:lineRule="auto" w:before="76"/>
        <w:ind w:right="1118" w:firstLine="420"/>
        <w:jc w:val="left"/>
      </w:pPr>
      <w:r>
        <w:rPr>
          <w:spacing w:val="-1"/>
        </w:rPr>
        <w:t>（</w:t>
      </w:r>
      <w:r>
        <w:rPr>
          <w:rFonts w:ascii="宋体" w:hAnsi="宋体" w:cs="宋体" w:eastAsia="宋体" w:hint="default"/>
          <w:spacing w:val="-1"/>
        </w:rPr>
        <w:t>2</w:t>
      </w:r>
      <w:r>
        <w:rPr>
          <w:spacing w:val="-1"/>
        </w:rPr>
        <w:t>）对</w:t>
      </w:r>
      <w:r>
        <w:rPr>
          <w:rFonts w:ascii="宋体" w:hAnsi="宋体" w:cs="宋体" w:eastAsia="宋体" w:hint="default"/>
          <w:spacing w:val="-1"/>
        </w:rPr>
        <w:t>IT</w:t>
      </w:r>
      <w:r>
        <w:rPr>
          <w:spacing w:val="-1"/>
        </w:rPr>
        <w:t>基础设施建设、软件解决方案、</w:t>
      </w:r>
      <w:r>
        <w:rPr>
          <w:rFonts w:ascii="宋体" w:hAnsi="宋体" w:cs="宋体" w:eastAsia="宋体" w:hint="default"/>
          <w:spacing w:val="-1"/>
        </w:rPr>
        <w:t>IT</w:t>
      </w:r>
      <w:r>
        <w:rPr>
          <w:spacing w:val="-1"/>
        </w:rPr>
        <w:t>运行维护服务三种类型的收入，分别按照合同检查各类收入合理保证的样</w:t>
      </w:r>
      <w:r>
        <w:rPr/>
        <w:t> 本量，分别收集样本的合同、验收报告、工作量确认单。</w:t>
      </w:r>
    </w:p>
    <w:p>
      <w:pPr>
        <w:pStyle w:val="BodyText"/>
        <w:spacing w:line="240" w:lineRule="auto" w:before="18"/>
        <w:ind w:left="533" w:right="1133"/>
        <w:jc w:val="left"/>
      </w:pPr>
      <w:r>
        <w:rPr/>
        <w:t>（</w:t>
      </w:r>
      <w:r>
        <w:rPr>
          <w:rFonts w:ascii="宋体" w:hAnsi="宋体" w:cs="宋体" w:eastAsia="宋体" w:hint="default"/>
        </w:rPr>
        <w:t>3</w:t>
      </w:r>
      <w:r>
        <w:rPr/>
        <w:t>）检查大额收入开票情况的原始凭证。</w:t>
      </w:r>
    </w:p>
    <w:p>
      <w:pPr>
        <w:pStyle w:val="BodyText"/>
        <w:spacing w:line="240" w:lineRule="auto" w:before="76"/>
        <w:ind w:left="533" w:right="1133"/>
        <w:jc w:val="left"/>
      </w:pPr>
      <w:r>
        <w:rPr/>
        <w:t>（</w:t>
      </w:r>
      <w:r>
        <w:rPr>
          <w:rFonts w:ascii="宋体" w:hAnsi="宋体" w:cs="宋体" w:eastAsia="宋体" w:hint="default"/>
        </w:rPr>
        <w:t>4</w:t>
      </w:r>
      <w:r>
        <w:rPr/>
        <w:t>）检查大额收入回款情况的银行回款单。</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533" w:right="1133"/>
        <w:jc w:val="left"/>
      </w:pPr>
      <w:r>
        <w:rPr/>
        <w:t>（</w:t>
      </w:r>
      <w:r>
        <w:rPr>
          <w:rFonts w:ascii="宋体" w:hAnsi="宋体" w:cs="宋体" w:eastAsia="宋体" w:hint="default"/>
        </w:rPr>
        <w:t>5</w:t>
      </w:r>
      <w:r>
        <w:rPr/>
        <w:t>）对收入执行独立发函程序，并保持回函达到合理保证。</w:t>
      </w:r>
    </w:p>
    <w:p>
      <w:pPr>
        <w:pStyle w:val="BodyText"/>
        <w:spacing w:line="316" w:lineRule="auto" w:before="77"/>
        <w:ind w:left="533" w:right="8713"/>
        <w:jc w:val="left"/>
      </w:pPr>
      <w:r>
        <w:rPr/>
        <w:t>（二）应收账款减值 </w:t>
      </w:r>
      <w:r>
        <w:rPr>
          <w:rFonts w:ascii="宋体" w:hAnsi="宋体" w:cs="宋体" w:eastAsia="宋体" w:hint="default"/>
        </w:rPr>
        <w:t>1</w:t>
      </w:r>
      <w:r>
        <w:rPr/>
        <w:t>、事项描述</w:t>
      </w:r>
    </w:p>
    <w:p>
      <w:pPr>
        <w:pStyle w:val="BodyText"/>
        <w:spacing w:line="316" w:lineRule="auto" w:before="19"/>
        <w:ind w:right="1034" w:firstLine="420"/>
        <w:jc w:val="left"/>
      </w:pPr>
      <w:r>
        <w:rPr/>
        <w:t>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日，贵公司的应收账款原值为人民币</w:t>
      </w:r>
      <w:r>
        <w:rPr>
          <w:rFonts w:ascii="宋体" w:hAnsi="宋体" w:cs="宋体" w:eastAsia="宋体" w:hint="default"/>
        </w:rPr>
        <w:t>58,824.02</w:t>
      </w:r>
      <w:r>
        <w:rPr/>
        <w:t>万元，坏账准备为人民币</w:t>
      </w:r>
      <w:r>
        <w:rPr>
          <w:rFonts w:ascii="宋体" w:hAnsi="宋体" w:cs="宋体" w:eastAsia="宋体" w:hint="default"/>
        </w:rPr>
        <w:t>1,165.51</w:t>
      </w:r>
      <w:r>
        <w:rPr/>
        <w:t>万元。管理层在对应 收账款的可回收性进行评估时，需要综合考虑应收账款的账龄、货物的留置权、债务人的还款记录、债务人的行业现状等。 由于应收账款余额重大且坏账准备的评估涉及管理层判断，因此我们将应收账款的减值作为关键审计事项。</w:t>
      </w:r>
    </w:p>
    <w:p>
      <w:pPr>
        <w:pStyle w:val="BodyText"/>
        <w:spacing w:line="240" w:lineRule="auto" w:before="19"/>
        <w:ind w:left="533" w:right="1133"/>
        <w:jc w:val="left"/>
      </w:pPr>
      <w:r>
        <w:rPr>
          <w:rFonts w:ascii="宋体" w:hAnsi="宋体" w:cs="宋体" w:eastAsia="宋体" w:hint="default"/>
        </w:rPr>
        <w:t>2</w:t>
      </w:r>
      <w:r>
        <w:rPr/>
        <w:t>、审计应对</w:t>
      </w:r>
    </w:p>
    <w:p>
      <w:pPr>
        <w:pStyle w:val="BodyText"/>
        <w:spacing w:line="240" w:lineRule="auto" w:before="76"/>
        <w:ind w:left="533" w:right="1133"/>
        <w:jc w:val="left"/>
      </w:pPr>
      <w:r>
        <w:rPr/>
        <w:t>（</w:t>
      </w:r>
      <w:r>
        <w:rPr>
          <w:rFonts w:ascii="宋体" w:hAnsi="宋体" w:cs="宋体" w:eastAsia="宋体" w:hint="default"/>
        </w:rPr>
        <w:t>1</w:t>
      </w:r>
      <w:r>
        <w:rPr/>
        <w:t>）核对记账凭证、发票等支持性记录，检查应收账款账龄的准确性。</w:t>
      </w:r>
    </w:p>
    <w:p>
      <w:pPr>
        <w:pStyle w:val="BodyText"/>
        <w:spacing w:line="240" w:lineRule="auto" w:before="76"/>
        <w:ind w:left="533" w:right="1133"/>
        <w:jc w:val="left"/>
      </w:pPr>
      <w:r>
        <w:rPr/>
        <w:t>（</w:t>
      </w:r>
      <w:r>
        <w:rPr>
          <w:rFonts w:ascii="宋体" w:hAnsi="宋体" w:cs="宋体" w:eastAsia="宋体" w:hint="default"/>
        </w:rPr>
        <w:t>2</w:t>
      </w:r>
      <w:r>
        <w:rPr/>
        <w:t>）与管理层进行访谈，了解主要债务人的信息以及管理层对于其可回收性的评估。</w:t>
      </w:r>
    </w:p>
    <w:p>
      <w:pPr>
        <w:pStyle w:val="BodyText"/>
        <w:spacing w:line="240" w:lineRule="auto" w:before="76"/>
        <w:ind w:left="533" w:right="1133"/>
        <w:jc w:val="left"/>
      </w:pPr>
      <w:r>
        <w:rPr/>
        <w:t>（</w:t>
      </w:r>
      <w:r>
        <w:rPr>
          <w:rFonts w:ascii="宋体" w:hAnsi="宋体" w:cs="宋体" w:eastAsia="宋体" w:hint="default"/>
        </w:rPr>
        <w:t>3</w:t>
      </w:r>
      <w:r>
        <w:rPr/>
        <w:t>）检查还款记录以及期后还款的相关信息；</w:t>
      </w:r>
    </w:p>
    <w:p>
      <w:pPr>
        <w:pStyle w:val="BodyText"/>
        <w:spacing w:line="316" w:lineRule="auto" w:before="76"/>
        <w:ind w:right="1116" w:firstLine="420"/>
        <w:jc w:val="left"/>
      </w:pPr>
      <w:r>
        <w:rPr>
          <w:spacing w:val="-1"/>
        </w:rPr>
        <w:t>（</w:t>
      </w:r>
      <w:r>
        <w:rPr>
          <w:rFonts w:ascii="宋体" w:hAnsi="宋体" w:cs="宋体" w:eastAsia="宋体" w:hint="default"/>
          <w:spacing w:val="-1"/>
        </w:rPr>
        <w:t>4</w:t>
      </w:r>
      <w:r>
        <w:rPr>
          <w:spacing w:val="-1"/>
        </w:rPr>
        <w:t>）选取样本对金额重大的应收账款余额实施函证程序，将函证结果与贵公司记录的金额进行核对。并保持回函达到</w:t>
      </w:r>
      <w:r>
        <w:rPr/>
        <w:t> 合理保证。</w:t>
      </w:r>
    </w:p>
    <w:p>
      <w:pPr>
        <w:pStyle w:val="BodyText"/>
        <w:spacing w:line="316" w:lineRule="auto" w:before="19"/>
        <w:ind w:right="1116" w:firstLine="420"/>
        <w:jc w:val="left"/>
      </w:pPr>
      <w:r>
        <w:rPr>
          <w:spacing w:val="-1"/>
        </w:rPr>
        <w:t>（</w:t>
      </w:r>
      <w:r>
        <w:rPr>
          <w:rFonts w:ascii="宋体" w:hAnsi="宋体" w:cs="宋体" w:eastAsia="宋体" w:hint="default"/>
          <w:spacing w:val="-1"/>
        </w:rPr>
        <w:t>5</w:t>
      </w:r>
      <w:r>
        <w:rPr>
          <w:spacing w:val="-1"/>
        </w:rPr>
        <w:t>）通过比较国内的同行业其他上市公司公开披露的信息，对贵公司应收账款坏账准备占应收账款余额比例的总体合</w:t>
      </w:r>
      <w:r>
        <w:rPr/>
        <w:t> 理性进行评估。</w:t>
      </w:r>
    </w:p>
    <w:p>
      <w:pPr>
        <w:pStyle w:val="BodyText"/>
        <w:spacing w:line="316" w:lineRule="auto" w:before="19"/>
        <w:ind w:right="1133" w:firstLine="420"/>
        <w:jc w:val="left"/>
      </w:pPr>
      <w:r>
        <w:rPr>
          <w:spacing w:val="-2"/>
        </w:rPr>
        <w:t>（</w:t>
      </w:r>
      <w:r>
        <w:rPr>
          <w:rFonts w:ascii="宋体" w:hAnsi="宋体" w:cs="宋体" w:eastAsia="宋体" w:hint="default"/>
          <w:spacing w:val="-2"/>
        </w:rPr>
        <w:t>6</w:t>
      </w:r>
      <w:r>
        <w:rPr>
          <w:spacing w:val="-2"/>
        </w:rPr>
        <w:t>）通过网上公开渠道查询客户的信用状况、持续经营能力，并与管理层了解各个客户的实际经营状况、资金流转情</w:t>
      </w:r>
      <w:r>
        <w:rPr/>
        <w:t> 况，对客户的信用风险自初始确认后是否显著增加、是否发生信用减值进行评估。</w:t>
      </w:r>
    </w:p>
    <w:p>
      <w:pPr>
        <w:spacing w:line="240" w:lineRule="auto" w:before="4"/>
        <w:rPr>
          <w:rFonts w:ascii="宋体" w:hAnsi="宋体" w:cs="宋体" w:eastAsia="宋体" w:hint="default"/>
          <w:sz w:val="25"/>
          <w:szCs w:val="25"/>
        </w:rPr>
      </w:pPr>
    </w:p>
    <w:p>
      <w:pPr>
        <w:pStyle w:val="BodyText"/>
        <w:spacing w:line="316" w:lineRule="auto"/>
        <w:ind w:left="533" w:right="1133"/>
        <w:jc w:val="left"/>
      </w:pPr>
      <w:r>
        <w:rPr/>
        <w:t>四、其他信息 贵公司管理层（以下简称管理层）对其他信息负责。其他信息包括贵公司</w:t>
      </w:r>
      <w:r>
        <w:rPr>
          <w:rFonts w:ascii="宋体" w:hAnsi="宋体" w:cs="宋体" w:eastAsia="宋体" w:hint="default"/>
        </w:rPr>
        <w:t>2019</w:t>
      </w:r>
      <w:r>
        <w:rPr/>
        <w:t>年年度报告中涵盖的信息，但不包括财</w:t>
      </w:r>
    </w:p>
    <w:p>
      <w:pPr>
        <w:pStyle w:val="BodyText"/>
        <w:spacing w:line="316" w:lineRule="auto" w:before="19"/>
        <w:ind w:left="533" w:right="1133" w:hanging="421"/>
        <w:jc w:val="left"/>
      </w:pPr>
      <w:r>
        <w:rPr/>
        <w:t>务报表和我们的审计报告。 我们对财务报表发表的审计意见并不涵盖其他信息，我们也不对其他信息发表任何形式的鉴证结论。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533" w:right="1133" w:hanging="421"/>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right="1133"/>
        <w:jc w:val="left"/>
      </w:pPr>
      <w:r>
        <w:rPr/>
        <w:t>要报告。</w:t>
      </w:r>
    </w:p>
    <w:p>
      <w:pPr>
        <w:spacing w:line="240" w:lineRule="auto" w:before="0"/>
        <w:rPr>
          <w:rFonts w:ascii="宋体" w:hAnsi="宋体" w:cs="宋体" w:eastAsia="宋体" w:hint="default"/>
          <w:sz w:val="18"/>
          <w:szCs w:val="18"/>
        </w:rPr>
      </w:pPr>
    </w:p>
    <w:p>
      <w:pPr>
        <w:pStyle w:val="BodyText"/>
        <w:spacing w:line="316" w:lineRule="auto" w:before="153"/>
        <w:ind w:left="533" w:right="1133"/>
        <w:jc w:val="left"/>
      </w:pPr>
      <w:r>
        <w:rPr/>
        <w:t>五、管理层和治理层对财务报表的责任 管理层负责按照企业会计准则的规定编制财务报表，使其实现公允反映，并设计、执行和维护必要的内部控制，以使</w:t>
      </w:r>
    </w:p>
    <w:p>
      <w:pPr>
        <w:pStyle w:val="BodyText"/>
        <w:spacing w:line="316" w:lineRule="auto" w:before="19"/>
        <w:ind w:left="533" w:right="1129" w:hanging="421"/>
        <w:jc w:val="left"/>
      </w:pPr>
      <w:r>
        <w:rPr/>
        <w:t>财务报表不存在由于舞弊或错误导致的重大错报。 </w:t>
      </w:r>
      <w:r>
        <w:rPr>
          <w:spacing w:val="-3"/>
        </w:rPr>
        <w:t>在编制财务报表时，管理层负责评估贵公司的持续经营能力，披露与持续经营相关的事项（如适用），并运用持续经营</w:t>
      </w:r>
    </w:p>
    <w:p>
      <w:pPr>
        <w:pStyle w:val="BodyText"/>
        <w:spacing w:line="316" w:lineRule="auto" w:before="19"/>
        <w:ind w:left="533" w:right="5174" w:hanging="421"/>
        <w:jc w:val="left"/>
      </w:pPr>
      <w:r>
        <w:rPr/>
        <w:t>假设，除非管理层计划清算贵公司、终止运营或别无其他现实的选择。 治理层负责监督贵公司的财务报告过程。</w:t>
      </w:r>
    </w:p>
    <w:p>
      <w:pPr>
        <w:spacing w:line="240" w:lineRule="auto" w:before="4"/>
        <w:rPr>
          <w:rFonts w:ascii="宋体" w:hAnsi="宋体" w:cs="宋体" w:eastAsia="宋体" w:hint="default"/>
          <w:sz w:val="25"/>
          <w:szCs w:val="25"/>
        </w:rPr>
      </w:pPr>
    </w:p>
    <w:p>
      <w:pPr>
        <w:pStyle w:val="BodyText"/>
        <w:spacing w:line="316" w:lineRule="auto"/>
        <w:ind w:left="533" w:right="1133" w:firstLine="60"/>
        <w:jc w:val="left"/>
      </w:pPr>
      <w:r>
        <w:rPr/>
        <w:t>六、注册会计师对财务报表审计的责任 我们的目标是对财务报表整体是否不存在由于舞弊或错误导致的重大错报获取合理保证，并出具包含审计意见的审计</w:t>
      </w:r>
    </w:p>
    <w:p>
      <w:pPr>
        <w:pStyle w:val="BodyText"/>
        <w:spacing w:line="316" w:lineRule="auto" w:before="19"/>
        <w:ind w:right="1130"/>
        <w:jc w:val="both"/>
      </w:pP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3"/>
        </w:rPr>
        <w:t> </w:t>
      </w:r>
      <w:r>
        <w:rPr>
          <w:spacing w:val="-63"/>
        </w:rPr>
      </w:r>
      <w:r>
        <w:rPr/>
        <w:t>是重大的。</w:t>
      </w:r>
    </w:p>
    <w:p>
      <w:pPr>
        <w:pStyle w:val="BodyText"/>
        <w:spacing w:line="240" w:lineRule="auto" w:before="19"/>
        <w:ind w:left="533" w:right="1133"/>
        <w:jc w:val="left"/>
      </w:pPr>
      <w:r>
        <w:rPr/>
        <w:t>在按照审计准则执行审计工作的过程中，我们运用职业判断，并保持职业怀疑。同时，我们也执行以下工作：</w:t>
      </w:r>
    </w:p>
    <w:p>
      <w:pPr>
        <w:pStyle w:val="BodyText"/>
        <w:spacing w:line="316" w:lineRule="auto" w:before="76"/>
        <w:ind w:right="1041" w:firstLine="420"/>
        <w:jc w:val="both"/>
      </w:pPr>
      <w:r>
        <w:rPr>
          <w:spacing w:val="-1"/>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33" w:right="1133"/>
        <w:jc w:val="left"/>
      </w:pPr>
      <w:r>
        <w:rPr/>
        <w:t>（二）了解与审计相关的内部控制，以设计恰当的审计程序。</w:t>
      </w:r>
    </w:p>
    <w:p>
      <w:pPr>
        <w:pStyle w:val="BodyText"/>
        <w:spacing w:line="240" w:lineRule="auto" w:before="76"/>
        <w:ind w:left="533" w:right="1133"/>
        <w:jc w:val="left"/>
      </w:pPr>
      <w:r>
        <w:rPr/>
        <w:t>（三）评价管理层选用会计政策的恰当性和作出会计估计及相关披露的合理性。</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3" w:firstLine="420"/>
        <w:jc w:val="both"/>
      </w:pPr>
      <w:r>
        <w:rPr/>
        <w:t>（四）对管理层使用持续经营假设的恰当性得出结论。同时，根据获取的审计证据，就可能导致对贵公司持续经营能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于截至审计报告日可获得的信息。然而，未来的事项或情况可能导致贵公司不能持续经营。</w:t>
      </w:r>
    </w:p>
    <w:p>
      <w:pPr>
        <w:pStyle w:val="BodyText"/>
        <w:spacing w:line="240" w:lineRule="auto" w:before="17"/>
        <w:ind w:left="533" w:right="1133"/>
        <w:jc w:val="left"/>
      </w:pPr>
      <w:r>
        <w:rPr/>
        <w:t>（五）评价财务报表的总体列报、结构和内容，并评价财务报表是否公允反映相关交易和事项。</w:t>
      </w:r>
    </w:p>
    <w:p>
      <w:pPr>
        <w:pStyle w:val="BodyText"/>
        <w:spacing w:line="316" w:lineRule="auto" w:before="76"/>
        <w:ind w:right="1138" w:firstLine="420"/>
        <w:jc w:val="both"/>
      </w:pPr>
      <w:r>
        <w:rPr/>
        <w:t>（六）就贵公司中实体或业务活动的财务信息获取充分、恰当的审计证据，以对财务报表发表审计意见。我们负责指 导、监督和执行集团审计，并对审计意见承担全部责任。</w:t>
      </w:r>
    </w:p>
    <w:p>
      <w:pPr>
        <w:pStyle w:val="BodyText"/>
        <w:spacing w:line="316" w:lineRule="auto" w:before="19"/>
        <w:ind w:right="1138" w:firstLine="420"/>
        <w:jc w:val="both"/>
      </w:pPr>
      <w:r>
        <w:rPr/>
        <w:t>我们与治理层就计划的审计范围、时间安排和重大审计发现等事项进行沟通，包括沟通我们在审计中识别出的值得关 注的内部控制缺陷。</w:t>
      </w:r>
    </w:p>
    <w:p>
      <w:pPr>
        <w:pStyle w:val="BodyText"/>
        <w:spacing w:line="316" w:lineRule="auto" w:before="19"/>
        <w:ind w:right="1138" w:firstLine="420"/>
        <w:jc w:val="both"/>
      </w:pPr>
      <w:r>
        <w:rPr/>
        <w:t>我们还就遵守与独立性相关的职业道德要求向治理层提供声明，并与治理层沟通可能被合理认为影响我们独立性的所 </w:t>
      </w:r>
      <w:r>
        <w:rPr>
          <w:spacing w:val="-4"/>
        </w:rPr>
        <w:t>有关系和其他事项，以及相关的防范措施（如适用）。</w:t>
      </w:r>
    </w:p>
    <w:p>
      <w:pPr>
        <w:pStyle w:val="BodyText"/>
        <w:spacing w:line="319" w:lineRule="auto" w:before="19"/>
        <w:ind w:right="1133" w:firstLine="42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2"/>
        <w:rPr>
          <w:rFonts w:ascii="宋体" w:hAnsi="宋体" w:cs="宋体" w:eastAsia="宋体" w:hint="default"/>
          <w:sz w:val="25"/>
          <w:szCs w:val="25"/>
        </w:rPr>
      </w:pPr>
    </w:p>
    <w:p>
      <w:pPr>
        <w:pStyle w:val="BodyText"/>
        <w:tabs>
          <w:tab w:pos="4412" w:val="left" w:leader="none"/>
        </w:tabs>
        <w:spacing w:line="240" w:lineRule="auto"/>
        <w:ind w:left="538" w:right="1133"/>
        <w:jc w:val="left"/>
      </w:pPr>
      <w:r>
        <w:rPr/>
        <w:t>大信会计师事务所（特殊普通合伙）</w:t>
        <w:tab/>
        <w:t>中国注册会计师：</w:t>
      </w:r>
    </w:p>
    <w:p>
      <w:pPr>
        <w:pStyle w:val="BodyText"/>
        <w:spacing w:line="240" w:lineRule="auto" w:before="76"/>
        <w:ind w:left="454" w:right="1385"/>
        <w:jc w:val="center"/>
      </w:pPr>
      <w:r>
        <w:rPr/>
        <w:t>（项目合伙人）</w:t>
      </w:r>
    </w:p>
    <w:p>
      <w:pPr>
        <w:spacing w:line="240" w:lineRule="auto" w:before="0"/>
        <w:rPr>
          <w:rFonts w:ascii="宋体" w:hAnsi="宋体" w:cs="宋体" w:eastAsia="宋体" w:hint="default"/>
          <w:sz w:val="18"/>
          <w:szCs w:val="18"/>
        </w:rPr>
      </w:pPr>
    </w:p>
    <w:p>
      <w:pPr>
        <w:pStyle w:val="BodyText"/>
        <w:tabs>
          <w:tab w:pos="4438" w:val="left" w:leader="none"/>
        </w:tabs>
        <w:spacing w:line="240" w:lineRule="auto" w:before="153"/>
        <w:ind w:left="1373" w:right="1133"/>
        <w:jc w:val="left"/>
      </w:pPr>
      <w:r>
        <w:rPr/>
        <w:t>中 国  ·  北</w:t>
      </w:r>
      <w:r>
        <w:rPr>
          <w:spacing w:val="1"/>
        </w:rPr>
        <w:t> </w:t>
      </w:r>
      <w:r>
        <w:rPr/>
        <w:t>京</w:t>
        <w:tab/>
        <w:t>中国注册会计师：</w:t>
      </w:r>
    </w:p>
    <w:p>
      <w:pPr>
        <w:spacing w:line="240" w:lineRule="auto" w:before="0"/>
        <w:rPr>
          <w:rFonts w:ascii="宋体" w:hAnsi="宋体" w:cs="宋体" w:eastAsia="宋体" w:hint="default"/>
          <w:sz w:val="18"/>
          <w:szCs w:val="18"/>
        </w:rPr>
      </w:pPr>
    </w:p>
    <w:p>
      <w:pPr>
        <w:pStyle w:val="BodyText"/>
        <w:spacing w:line="240" w:lineRule="auto" w:before="153"/>
        <w:ind w:left="0" w:right="1131"/>
        <w:jc w:val="right"/>
      </w:pPr>
      <w:r>
        <w:rPr/>
        <w:t>二○二零年四月二十三日</w:t>
      </w:r>
    </w:p>
    <w:p>
      <w:pPr>
        <w:spacing w:after="0" w:line="240" w:lineRule="auto"/>
        <w:jc w:val="righ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二、财务报表" w:id="155"/>
      <w:bookmarkEnd w:id="155"/>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编制单位：北京先进数通信息技术股份公司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3" w:equalWidth="0">
            <w:col w:w="3533" w:space="543"/>
            <w:col w:w="1602" w:space="3242"/>
            <w:col w:w="1970"/>
          </w:cols>
        </w:sectPr>
      </w:pP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664"/>
        <w:gridCol w:w="2475"/>
        <w:gridCol w:w="2350"/>
      </w:tblGrid>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7"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185,551,060.47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258,257,805.43</w:t>
            </w: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253,600.00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576,585,149.59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r>
      <w:tr>
        <w:trPr>
          <w:trHeight w:val="404"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74,670,870.26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21,046,895.54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770,804,974.38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335,165,856.00</w:t>
            </w: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3,267,679.95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747,019.88</w:t>
            </w:r>
          </w:p>
        </w:tc>
      </w:tr>
      <w:tr>
        <w:trPr>
          <w:trHeight w:val="408"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1,632,180,230.19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1,110,466,559.69</w:t>
            </w:r>
          </w:p>
        </w:tc>
      </w:tr>
      <w:tr>
        <w:trPr>
          <w:trHeight w:val="396"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96" w:type="dxa"/>
        <w:tblLayout w:type="fixed"/>
        <w:tblCellMar>
          <w:top w:w="0" w:type="dxa"/>
          <w:left w:w="0" w:type="dxa"/>
          <w:bottom w:w="0" w:type="dxa"/>
          <w:right w:w="0" w:type="dxa"/>
        </w:tblCellMar>
        <w:tblLook w:val="01E0"/>
      </w:tblPr>
      <w:tblGrid>
        <w:gridCol w:w="4664"/>
        <w:gridCol w:w="2475"/>
        <w:gridCol w:w="2350"/>
      </w:tblGrid>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115,906,847.02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100,656,313.20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72,093,470.72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21,109,187.36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9,385,732.53</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15,463,842.35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15,809,224.30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1,353,120.86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335,326.47</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3,017,058.33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2,833,686.78</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11,550,000.00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234,943,526.64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208,237,662.85</w:t>
            </w:r>
          </w:p>
        </w:tc>
      </w:tr>
      <w:tr>
        <w:trPr>
          <w:trHeight w:val="408"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1,867,123,756.83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1,318,704,222.54</w:t>
            </w:r>
          </w:p>
        </w:tc>
      </w:tr>
      <w:tr>
        <w:trPr>
          <w:trHeight w:val="39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556,346,771.11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68,497,282.05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55,857,757.69</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229,180,209.70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138,372,998.81</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81,138,378.52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48,691,758.96</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96" w:type="dxa"/>
        <w:tblLayout w:type="fixed"/>
        <w:tblCellMar>
          <w:top w:w="0" w:type="dxa"/>
          <w:left w:w="0" w:type="dxa"/>
          <w:bottom w:w="0" w:type="dxa"/>
          <w:right w:w="0" w:type="dxa"/>
        </w:tblCellMar>
        <w:tblLook w:val="01E0"/>
      </w:tblPr>
      <w:tblGrid>
        <w:gridCol w:w="4664"/>
        <w:gridCol w:w="2475"/>
        <w:gridCol w:w="2350"/>
      </w:tblGrid>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59,882,882.84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43,496,141.30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7,262,014.46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10,929,210.68</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10,287,463.26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15,300,058.19</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1,012,595,001.94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542,647,925.63</w:t>
            </w:r>
          </w:p>
        </w:tc>
      </w:tr>
      <w:tr>
        <w:trPr>
          <w:trHeight w:val="391"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7"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1,012,595,001.94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542,917,925.63</w:t>
            </w:r>
          </w:p>
        </w:tc>
      </w:tr>
      <w:tr>
        <w:trPr>
          <w:trHeight w:val="397"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181,096,722.00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181,166,996.00</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96" w:type="dxa"/>
        <w:tblLayout w:type="fixed"/>
        <w:tblCellMar>
          <w:top w:w="0" w:type="dxa"/>
          <w:left w:w="0" w:type="dxa"/>
          <w:bottom w:w="0" w:type="dxa"/>
          <w:right w:w="0" w:type="dxa"/>
        </w:tblCellMar>
        <w:tblLook w:val="01E0"/>
      </w:tblPr>
      <w:tblGrid>
        <w:gridCol w:w="4664"/>
        <w:gridCol w:w="2475"/>
        <w:gridCol w:w="2350"/>
      </w:tblGrid>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319,145,846.56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313,052,012.83</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9,205,025.52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13,597,396.78</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-9,446,642.95</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42,987,855.92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36,502,328.93</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320,503,355.93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268,108,998.88</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854,528,754.89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r>
      <w:tr>
        <w:trPr>
          <w:trHeight w:val="403"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854,528,754.89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r>
      <w:tr>
        <w:trPr>
          <w:trHeight w:val="402" w:hRule="exact"/>
        </w:trPr>
        <w:tc>
          <w:tcPr>
            <w:tcW w:w="4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1,867,123,756.83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1,318,704,222.54</w:t>
            </w:r>
          </w:p>
        </w:tc>
      </w:tr>
    </w:tbl>
    <w:p>
      <w:pPr>
        <w:spacing w:line="240" w:lineRule="auto" w:before="11"/>
        <w:rPr>
          <w:rFonts w:ascii="Times New Roman" w:hAnsi="Times New Roman" w:cs="Times New Roman" w:eastAsia="Times New Roman" w:hint="default"/>
          <w:sz w:val="22"/>
          <w:szCs w:val="22"/>
        </w:rPr>
      </w:pPr>
    </w:p>
    <w:p>
      <w:pPr>
        <w:pStyle w:val="BodyText"/>
        <w:tabs>
          <w:tab w:pos="3447" w:val="left" w:leader="none"/>
          <w:tab w:pos="7678" w:val="left" w:leader="none"/>
        </w:tabs>
        <w:spacing w:line="240" w:lineRule="auto" w:before="44"/>
        <w:ind w:right="1133"/>
        <w:jc w:val="left"/>
      </w:pPr>
      <w:r>
        <w:rPr/>
        <w:t>法定代表人：林鸿</w:t>
        <w:tab/>
      </w:r>
      <w:r>
        <w:rPr>
          <w:spacing w:val="-1"/>
        </w:rPr>
        <w:t>主管会计工作负责人：吴文胜</w:t>
        <w:tab/>
      </w:r>
      <w:r>
        <w:rPr/>
        <w:t>会计机构负责人：张淑君</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240" w:lineRule="auto" w:before="36"/>
        <w:ind w:right="1133"/>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602"/>
        <w:gridCol w:w="2537"/>
        <w:gridCol w:w="2338"/>
      </w:tblGrid>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8"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164,933,130.41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248,588,916.06</w:t>
            </w: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576,585,149.59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46,623,531.06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127,186,726.71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83,050,206.15</w:t>
            </w: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755,570,822.70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335,165,856.00</w:t>
            </w: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3,267,679.95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721,637.99</w:t>
            </w:r>
          </w:p>
        </w:tc>
      </w:tr>
      <w:tr>
        <w:trPr>
          <w:trHeight w:val="406"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1,674,420,640.42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1,170,839,175.74</w:t>
            </w:r>
          </w:p>
        </w:tc>
      </w:tr>
      <w:tr>
        <w:trPr>
          <w:trHeight w:val="394"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72,093,470.72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r>
      <w:tr>
        <w:trPr>
          <w:trHeight w:val="40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4602"/>
        <w:gridCol w:w="2537"/>
        <w:gridCol w:w="2338"/>
      </w:tblGrid>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21,109,187.36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9,385,732.53</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15,463,842.35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15,809,224.30</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1,353,120.86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335,326.47</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3,017,058.33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2,833,686.78</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11,550,000.00</w:t>
            </w: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173,036,679.62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161,581,349.65</w:t>
            </w:r>
          </w:p>
        </w:tc>
      </w:tr>
      <w:tr>
        <w:trPr>
          <w:trHeight w:val="408"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1,847,457,320.04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1,332,420,525.39</w:t>
            </w:r>
          </w:p>
        </w:tc>
      </w:tr>
      <w:tr>
        <w:trPr>
          <w:trHeight w:val="39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556,346,771.11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68,497,282.05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55,857,757.69</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229,017,209.66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138,372,998.81</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63,430,550.93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48,691,758.96</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59,882,882.84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43,496,141.30</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7,211,138.49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10,929,210.68</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10,286,958.26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15,300,058.19</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994,672,793.34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542,647,925.63</w:t>
            </w:r>
          </w:p>
        </w:tc>
      </w:tr>
      <w:tr>
        <w:trPr>
          <w:trHeight w:val="391"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4602"/>
        <w:gridCol w:w="2537"/>
        <w:gridCol w:w="2338"/>
      </w:tblGrid>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8"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994,672,793.34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542,917,925.63</w:t>
            </w:r>
          </w:p>
        </w:tc>
      </w:tr>
      <w:tr>
        <w:trPr>
          <w:trHeight w:val="39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181,096,722.00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181,166,996.00</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319,145,846.56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9,205,025.52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13,597,396.78</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42,987,855.92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318,759,127.74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272,378,658.78</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852,784,526.70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789,502,599.76</w:t>
            </w:r>
          </w:p>
        </w:tc>
      </w:tr>
      <w:tr>
        <w:trPr>
          <w:trHeight w:val="40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1,847,457,320.04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1,332,420,525.39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62"/>
        <w:ind w:right="1133"/>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203"/>
        <w:gridCol w:w="1772"/>
        <w:gridCol w:w="1553"/>
      </w:tblGrid>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1,792,508,599.81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1,792,508,599.81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1,716,467,926.58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1,326,001,524.82</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1,526,848,889.86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1,169,716,001.27</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5,290,046.14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2,526,457.10</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51,237,190.33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43,678,054.36</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58,439,547.02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52,446,578.62</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56,501,878.84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42,983,089.49</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18,150,374.39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14,651,343.98</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19,150,887.35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16,838,323.54</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1,168,918.31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2,308,538.24</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1,687,764.24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1,471,674.11</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r>
      <w:tr>
        <w:trPr>
          <w:trHeight w:val="404"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-941,714.19</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-2,614,080.70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203"/>
        <w:gridCol w:w="1772"/>
        <w:gridCol w:w="1553"/>
      </w:tblGrid>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-357.32</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82,590,614.15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60,976,809.08</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93,118.77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383,330.25</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23,482.91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391,775.99</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82,660,250.01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60,968,363.34</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11,791,092.05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9,780,247.00</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终止经营净利润（净亏损以“－”号填列）</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51,188,116.34</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-5,532,403.76</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-5,532,403.76</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80,315,800.91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45,655,712.58</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80,315,800.91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45,655,712.58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67" w:type="dxa"/>
        <w:tblLayout w:type="fixed"/>
        <w:tblCellMar>
          <w:top w:w="0" w:type="dxa"/>
          <w:left w:w="0" w:type="dxa"/>
          <w:bottom w:w="0" w:type="dxa"/>
          <w:right w:w="0" w:type="dxa"/>
        </w:tblCellMar>
        <w:tblLook w:val="01E0"/>
      </w:tblPr>
      <w:tblGrid>
        <w:gridCol w:w="6203"/>
        <w:gridCol w:w="1772"/>
        <w:gridCol w:w="1553"/>
      </w:tblGrid>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2" w:hRule="exact"/>
        </w:trPr>
        <w:tc>
          <w:tcPr>
            <w:tcW w:w="6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0.28</w:t>
            </w:r>
          </w:p>
        </w:tc>
      </w:tr>
    </w:tbl>
    <w:p>
      <w:pPr>
        <w:pStyle w:val="BodyText"/>
        <w:tabs>
          <w:tab w:pos="3507" w:val="left" w:leader="none"/>
          <w:tab w:pos="7738" w:val="left" w:leader="none"/>
        </w:tabs>
        <w:spacing w:line="595" w:lineRule="auto" w:before="49"/>
        <w:ind w:left="172"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法定代表人：林鸿</w:t>
        <w:tab/>
      </w:r>
      <w:r>
        <w:rPr>
          <w:spacing w:val="-1"/>
        </w:rPr>
        <w:t>主管会计工作负责人：吴文胜</w:t>
        <w:tab/>
      </w:r>
      <w:r>
        <w:rPr/>
        <w:t>会计机构负责人：张淑君</w:t>
      </w:r>
      <w:r>
        <w:rPr/>
        <w:t> </w:t>
      </w:r>
      <w:bookmarkStart w:name="4、母公司利润表" w:id="159"/>
      <w:bookmarkEnd w:id="1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6239"/>
        <w:gridCol w:w="1839"/>
        <w:gridCol w:w="1550"/>
      </w:tblGrid>
      <w:tr>
        <w:trPr>
          <w:trHeight w:val="404"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1,768,083,820.01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1,502,955,067.88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1,169,716,001.27</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5,223,310.08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2,526,457.10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51,237,190.33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43,678,054.36</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58,129,382.66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52,179,848.86</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56,501,878.84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42,983,089.49</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18,208,701.92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14,761,279.63</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19,150,887.35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16,838,323.54</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1,105,691.88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2,194,796.02</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1,687,764.24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1,471,674.11</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6"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-939,306.84</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-2,612,181.89</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-357.32</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76,576,745.70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63,362,879.09</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93,099.13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383,330.25</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23,482.91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391,775.99</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76,646,361.92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63,354,433.35</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11,791,092.05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9,780,247.00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64,855,269.87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53,574,186.35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9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6239"/>
        <w:gridCol w:w="1839"/>
        <w:gridCol w:w="1550"/>
      </w:tblGrid>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64,855,269.87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53,574,186.35</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64,855,269.87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53,574,186.35</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62"/>
        <w:ind w:right="1133"/>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190"/>
        <w:gridCol w:w="2237"/>
        <w:gridCol w:w="2038"/>
      </w:tblGrid>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1,970,723,338.79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1,666,831,709.83</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5,253,643.70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1,552,450.76</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40,637,835.40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25,581,715.78</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2,016,614,817.89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1,693,965,876.37</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1,942,536,293.72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1,275,477,546.45</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6"/>
              <w:jc w:val="right"/>
              <w:rPr>
                <w:rFonts w:ascii="宋体" w:hAnsi="宋体" w:cs="宋体" w:eastAsia="宋体" w:hint="default"/>
                <w:sz w:val="18"/>
                <w:szCs w:val="18"/>
              </w:rPr>
            </w:pPr>
            <w:r>
              <w:rPr>
                <w:rFonts w:ascii="宋体" w:hAnsi="宋体" w:cs="宋体" w:eastAsia="宋体" w:hint="default"/>
                <w:spacing w:val="-1"/>
                <w:sz w:val="18"/>
                <w:szCs w:val="18"/>
              </w:rPr>
              <w:t>支付给职工以及为职工支付的现金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281,904,603.61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231,234,164.51</w:t>
            </w:r>
          </w:p>
        </w:tc>
      </w:tr>
      <w:tr>
        <w:trPr>
          <w:trHeight w:val="404"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49,636,210.64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34,154,526.72</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93,383,458.07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65,623,174.43</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2,367,460,566.04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1,606,489,412.11</w:t>
            </w:r>
          </w:p>
        </w:tc>
      </w:tr>
      <w:tr>
        <w:trPr>
          <w:trHeight w:val="406"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-350,845,748.15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87,476,464.26</w:t>
            </w:r>
          </w:p>
        </w:tc>
      </w:tr>
      <w:tr>
        <w:trPr>
          <w:trHeight w:val="394"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190"/>
        <w:gridCol w:w="2237"/>
        <w:gridCol w:w="2038"/>
      </w:tblGrid>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17,458,927.91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31,312,738.23</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17,458,927.91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37,312,738.23</w:t>
            </w:r>
          </w:p>
        </w:tc>
      </w:tr>
      <w:tr>
        <w:trPr>
          <w:trHeight w:val="408"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-17,458,927.91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-37,291,738.23</w:t>
            </w:r>
          </w:p>
        </w:tc>
      </w:tr>
      <w:tr>
        <w:trPr>
          <w:trHeight w:val="39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13,058,730.00</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757,130,263.96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383,814,624.33</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757,130,263.96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396,873,354.33</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430,783,492.85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503,814,624.33</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31,154,704.34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28,838,315.48</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37"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516,513.90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462,454,711.09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532,652,939.81</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294,675,552.87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-135,779,585.48</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144.67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108,383.19</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-73,628,978.52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-85,486,476.26</w:t>
            </w:r>
          </w:p>
        </w:tc>
      </w:tr>
      <w:tr>
        <w:trPr>
          <w:trHeight w:val="402"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255,923,403.94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341,409,880.20</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182,294,425.42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255,923,403.94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62"/>
        <w:ind w:right="1133"/>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164"/>
        <w:gridCol w:w="2251"/>
        <w:gridCol w:w="2089"/>
      </w:tblGrid>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1,923,408,838.79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1,666,831,709.83</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5,253,643.70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1,552,450.76</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64,504,608.97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25,581,493.50</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1,993,167,091.46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1,693,965,654.09</w:t>
            </w:r>
          </w:p>
        </w:tc>
      </w:tr>
      <w:tr>
        <w:trPr>
          <w:trHeight w:val="404"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1,870,512,142.08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1,275,477,546.45</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281,904,603.61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231,234,164.51</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49,496,853.43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34,136,834.39</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153,048,281.18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71,469,294.53</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2,354,961,880.30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1,612,317,839.88</w:t>
            </w:r>
          </w:p>
        </w:tc>
      </w:tr>
      <w:tr>
        <w:trPr>
          <w:trHeight w:val="406"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-361,794,788.84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81,647,814.21</w:t>
            </w:r>
          </w:p>
        </w:tc>
      </w:tr>
      <w:tr>
        <w:trPr>
          <w:trHeight w:val="394"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17,458,927.91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31,312,738.23</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17,458,927.91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31,312,738.23</w:t>
            </w:r>
          </w:p>
        </w:tc>
      </w:tr>
      <w:tr>
        <w:trPr>
          <w:trHeight w:val="409"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-17,458,927.91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-31,291,738.23</w:t>
            </w:r>
          </w:p>
        </w:tc>
      </w:tr>
      <w:tr>
        <w:trPr>
          <w:trHeight w:val="39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13,058,730.00</w:t>
            </w: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757,130,263.96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383,814,624.33</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51"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757,130,263.96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396,873,354.33</w:t>
            </w:r>
          </w:p>
        </w:tc>
      </w:tr>
      <w:tr>
        <w:trPr>
          <w:trHeight w:val="403" w:hRule="exact"/>
        </w:trPr>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430,783,492.85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503,814,624.33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5162"/>
        <w:gridCol w:w="2251"/>
        <w:gridCol w:w="2089"/>
      </w:tblGrid>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31,154,704.34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28,838,315.48</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516,513.90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462,454,711.09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532,652,939.81</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294,675,552.87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-135,779,585.48</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144.67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108,383.19</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-84,578,019.21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-85,315,126.31</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246,254,514.57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331,569,640.88</w:t>
            </w:r>
          </w:p>
        </w:tc>
      </w:tr>
      <w:tr>
        <w:trPr>
          <w:trHeight w:val="402" w:hRule="exact"/>
        </w:trPr>
        <w:tc>
          <w:tcPr>
            <w:tcW w:w="5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161,676,495.36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246,254,514.57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Heading4"/>
        <w:spacing w:line="240" w:lineRule="auto" w:before="46"/>
        <w:ind w:left="1060" w:right="0"/>
        <w:jc w:val="left"/>
        <w:rPr>
          <w:b w:val="0"/>
          <w:bCs w:val="0"/>
        </w:rPr>
      </w:pPr>
      <w:r>
        <w:rPr/>
        <w:pict>
          <v:shape style="position:absolute;margin-left:589.234558pt;margin-top:570.43042pt;width:42.067787pt;height:18.946561pt;mso-position-horizontal-relative:page;mso-position-vertical-relative:page;z-index:1048" type="#_x0000_t75" stroked="false">
            <v:imagedata r:id="rId17" o:title=""/>
          </v:shape>
        </w:pict>
      </w: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060" w:right="0"/>
        <w:jc w:val="left"/>
      </w:pPr>
      <w:r>
        <w:rPr/>
        <w:t>本期金额</w:t>
      </w:r>
    </w:p>
    <w:p>
      <w:pPr>
        <w:pStyle w:val="BodyText"/>
        <w:spacing w:line="240" w:lineRule="auto" w:before="115"/>
        <w:ind w:left="0" w:right="1077"/>
        <w:jc w:val="right"/>
      </w:pPr>
      <w:r>
        <w:rPr/>
        <w:t>单位：元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012"/>
        <w:gridCol w:w="1262"/>
        <w:gridCol w:w="466"/>
        <w:gridCol w:w="466"/>
        <w:gridCol w:w="468"/>
        <w:gridCol w:w="1273"/>
        <w:gridCol w:w="1241"/>
        <w:gridCol w:w="1174"/>
        <w:gridCol w:w="584"/>
        <w:gridCol w:w="1258"/>
        <w:gridCol w:w="583"/>
        <w:gridCol w:w="1232"/>
        <w:gridCol w:w="586"/>
        <w:gridCol w:w="1308"/>
        <w:gridCol w:w="586"/>
        <w:gridCol w:w="1366"/>
      </w:tblGrid>
      <w:tr>
        <w:trPr>
          <w:trHeight w:val="403" w:hRule="exact"/>
        </w:trPr>
        <w:tc>
          <w:tcPr>
            <w:tcW w:w="2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012" w:type="dxa"/>
            <w:vMerge/>
            <w:tcBorders>
              <w:left w:val="single" w:sz="4" w:space="0" w:color="000000"/>
              <w:right w:val="single" w:sz="4" w:space="0" w:color="000000"/>
            </w:tcBorders>
            <w:shd w:val="clear" w:color="auto" w:fill="D2D2D2"/>
          </w:tcPr>
          <w:p>
            <w:pPr/>
          </w:p>
        </w:tc>
        <w:tc>
          <w:tcPr>
            <w:tcW w:w="118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05" w:right="108"/>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587" w:right="13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3" w:hRule="exact"/>
        </w:trPr>
        <w:tc>
          <w:tcPr>
            <w:tcW w:w="2012" w:type="dxa"/>
            <w:vMerge/>
            <w:tcBorders>
              <w:left w:val="single" w:sz="4" w:space="0" w:color="000000"/>
              <w:right w:val="single" w:sz="4" w:space="0" w:color="000000"/>
            </w:tcBorders>
            <w:shd w:val="clear" w:color="auto" w:fill="D2D2D2"/>
          </w:tcPr>
          <w:p>
            <w:pPr/>
          </w:p>
        </w:tc>
        <w:tc>
          <w:tcPr>
            <w:tcW w:w="1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3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491" w:right="13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6" w:right="10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5"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713" w:hRule="exact"/>
        </w:trPr>
        <w:tc>
          <w:tcPr>
            <w:tcW w:w="2012" w:type="dxa"/>
            <w:vMerge/>
            <w:tcBorders>
              <w:left w:val="single" w:sz="4" w:space="0" w:color="000000"/>
              <w:bottom w:val="single" w:sz="4" w:space="0" w:color="000000"/>
              <w:right w:val="single" w:sz="4" w:space="0" w:color="000000"/>
            </w:tcBorders>
            <w:shd w:val="clear" w:color="auto" w:fill="D2D2D2"/>
          </w:tcPr>
          <w:p>
            <w:pPr/>
          </w:p>
        </w:tc>
        <w:tc>
          <w:tcPr>
            <w:tcW w:w="1262"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8"/>
                <w:szCs w:val="8"/>
              </w:rPr>
            </w:pPr>
          </w:p>
          <w:p>
            <w:pPr>
              <w:pStyle w:val="TableParagraph"/>
              <w:spacing w:line="516" w:lineRule="auto"/>
              <w:ind w:left="172" w:right="115" w:hanging="56"/>
              <w:jc w:val="left"/>
              <w:rPr>
                <w:rFonts w:ascii="宋体" w:hAnsi="宋体" w:cs="宋体" w:eastAsia="宋体" w:hint="default"/>
                <w:sz w:val="11"/>
                <w:szCs w:val="11"/>
              </w:rPr>
            </w:pPr>
            <w:r>
              <w:rPr>
                <w:rFonts w:ascii="宋体" w:hAnsi="宋体" w:cs="宋体" w:eastAsia="宋体" w:hint="default"/>
                <w:sz w:val="11"/>
                <w:szCs w:val="11"/>
              </w:rPr>
              <w:t>优先</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8"/>
                <w:szCs w:val="8"/>
              </w:rPr>
            </w:pPr>
          </w:p>
          <w:p>
            <w:pPr>
              <w:pStyle w:val="TableParagraph"/>
              <w:spacing w:line="516" w:lineRule="auto"/>
              <w:ind w:left="172" w:right="115" w:hanging="56"/>
              <w:jc w:val="left"/>
              <w:rPr>
                <w:rFonts w:ascii="宋体" w:hAnsi="宋体" w:cs="宋体" w:eastAsia="宋体" w:hint="default"/>
                <w:sz w:val="11"/>
                <w:szCs w:val="11"/>
              </w:rPr>
            </w:pPr>
            <w:r>
              <w:rPr>
                <w:rFonts w:ascii="宋体" w:hAnsi="宋体" w:cs="宋体" w:eastAsia="宋体" w:hint="default"/>
                <w:sz w:val="11"/>
                <w:szCs w:val="11"/>
              </w:rPr>
              <w:t>永续</w:t>
            </w:r>
            <w:r>
              <w:rPr>
                <w:rFonts w:ascii="宋体" w:hAnsi="宋体" w:cs="宋体" w:eastAsia="宋体" w:hint="default"/>
                <w:w w:val="100"/>
                <w:sz w:val="11"/>
                <w:szCs w:val="11"/>
              </w:rPr>
              <w:t> </w:t>
            </w:r>
            <w:r>
              <w:rPr>
                <w:rFonts w:ascii="宋体" w:hAnsi="宋体" w:cs="宋体" w:eastAsia="宋体" w:hint="default"/>
                <w:sz w:val="11"/>
                <w:szCs w:val="11"/>
              </w:rPr>
              <w:t>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7"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1273"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1232"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181,166,996.00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313,052,012.83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13,597,396.78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 w:right="0"/>
              <w:jc w:val="center"/>
              <w:rPr>
                <w:rFonts w:ascii="Times New Roman" w:hAnsi="Times New Roman" w:cs="Times New Roman" w:eastAsia="Times New Roman" w:hint="default"/>
                <w:sz w:val="16"/>
                <w:szCs w:val="16"/>
              </w:rPr>
            </w:pPr>
            <w:r>
              <w:rPr>
                <w:rFonts w:ascii="Times New Roman"/>
                <w:sz w:val="16"/>
              </w:rPr>
              <w:t>-9,446,642.95</w:t>
            </w: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2"/>
                <w:sz w:val="16"/>
              </w:rPr>
              <w:t>36,502,328.93</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 w:right="0"/>
              <w:jc w:val="center"/>
              <w:rPr>
                <w:rFonts w:ascii="Times New Roman" w:hAnsi="Times New Roman" w:cs="Times New Roman" w:eastAsia="Times New Roman" w:hint="default"/>
                <w:sz w:val="16"/>
                <w:szCs w:val="16"/>
              </w:rPr>
            </w:pPr>
            <w:r>
              <w:rPr>
                <w:rFonts w:ascii="Times New Roman"/>
                <w:sz w:val="16"/>
              </w:rPr>
              <w:t>268,108,998.88</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775,786,296.91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775,786,296.91</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181,166,996.00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313,052,012.83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13,597,396.78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 w:right="0"/>
              <w:jc w:val="center"/>
              <w:rPr>
                <w:rFonts w:ascii="Times New Roman" w:hAnsi="Times New Roman" w:cs="Times New Roman" w:eastAsia="Times New Roman" w:hint="default"/>
                <w:sz w:val="16"/>
                <w:szCs w:val="16"/>
              </w:rPr>
            </w:pPr>
            <w:r>
              <w:rPr>
                <w:rFonts w:ascii="Times New Roman"/>
                <w:sz w:val="16"/>
              </w:rPr>
              <w:t>-9,446,642.95</w:t>
            </w: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2"/>
                <w:sz w:val="16"/>
              </w:rPr>
              <w:t>36,502,328.93</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 w:right="0"/>
              <w:jc w:val="center"/>
              <w:rPr>
                <w:rFonts w:ascii="Times New Roman" w:hAnsi="Times New Roman" w:cs="Times New Roman" w:eastAsia="Times New Roman" w:hint="default"/>
                <w:sz w:val="16"/>
                <w:szCs w:val="16"/>
              </w:rPr>
            </w:pPr>
            <w:r>
              <w:rPr>
                <w:rFonts w:ascii="Times New Roman"/>
                <w:sz w:val="16"/>
              </w:rPr>
              <w:t>268,108,998.88</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775,786,296.91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775,786,296.91</w:t>
            </w:r>
          </w:p>
        </w:tc>
      </w:tr>
      <w:tr>
        <w:trPr>
          <w:trHeight w:val="715"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03" w:right="99"/>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少以“－”号填列）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-70,274.00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6,093,833.73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-4,392,371.26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16"/>
                <w:szCs w:val="16"/>
              </w:rPr>
            </w:pPr>
            <w:r>
              <w:rPr>
                <w:rFonts w:ascii="Times New Roman"/>
                <w:sz w:val="16"/>
              </w:rPr>
              <w:t>9,446,642.95</w:t>
            </w: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6,485,526.99</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6"/>
                <w:szCs w:val="16"/>
              </w:rPr>
            </w:pPr>
            <w:r>
              <w:rPr>
                <w:rFonts w:ascii="Times New Roman"/>
                <w:sz w:val="16"/>
              </w:rPr>
              <w:t>52,394,357.05</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78,742,457.98</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78,742,457.98</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8" w:right="0"/>
              <w:jc w:val="center"/>
              <w:rPr>
                <w:rFonts w:ascii="Times New Roman" w:hAnsi="Times New Roman" w:cs="Times New Roman" w:eastAsia="Times New Roman" w:hint="default"/>
                <w:sz w:val="16"/>
                <w:szCs w:val="16"/>
              </w:rPr>
            </w:pPr>
            <w:r>
              <w:rPr>
                <w:rFonts w:ascii="Times New Roman"/>
                <w:sz w:val="16"/>
              </w:rPr>
              <w:t>9,446,642.95</w:t>
            </w: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5" w:right="0"/>
              <w:jc w:val="center"/>
              <w:rPr>
                <w:rFonts w:ascii="Times New Roman" w:hAnsi="Times New Roman" w:cs="Times New Roman" w:eastAsia="Times New Roman" w:hint="default"/>
                <w:sz w:val="16"/>
                <w:szCs w:val="16"/>
              </w:rPr>
            </w:pPr>
            <w:r>
              <w:rPr>
                <w:rFonts w:ascii="Times New Roman"/>
                <w:sz w:val="16"/>
              </w:rPr>
              <w:t>70,869,157.96</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80,315,800.91</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80,315,800.91</w:t>
            </w:r>
          </w:p>
        </w:tc>
      </w:tr>
      <w:tr>
        <w:trPr>
          <w:trHeight w:val="715"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03" w:right="99"/>
              <w:jc w:val="left"/>
              <w:rPr>
                <w:rFonts w:ascii="宋体" w:hAnsi="宋体" w:cs="宋体" w:eastAsia="宋体" w:hint="default"/>
                <w:sz w:val="15"/>
                <w:szCs w:val="15"/>
              </w:rPr>
            </w:pPr>
            <w:r>
              <w:rPr>
                <w:rFonts w:ascii="宋体" w:hAnsi="宋体" w:cs="宋体" w:eastAsia="宋体" w:hint="default"/>
                <w:spacing w:val="-2"/>
                <w:sz w:val="15"/>
                <w:szCs w:val="15"/>
              </w:rPr>
              <w:t>（二）所有者投入和减少资</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本</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-70,274.00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6,093,833.73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-4,392,371.26</w:t>
            </w: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10,415,930.99</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10,415,930.99</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88"/>
              <w:ind w:left="103" w:right="144"/>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2" w:lineRule="auto" w:before="88"/>
              <w:ind w:left="103" w:right="144"/>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6,549,489.73</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6,549,489.73</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6,549,489.73</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906" w:footer="1021" w:top="1100" w:bottom="1220" w:left="380" w:right="360"/>
        </w:sectPr>
      </w:pPr>
    </w:p>
    <w:p>
      <w:pPr>
        <w:spacing w:line="240" w:lineRule="auto" w:before="1"/>
        <w:rPr>
          <w:rFonts w:ascii="Times New Roman" w:hAnsi="Times New Roman" w:cs="Times New Roman" w:eastAsia="Times New Roman"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012"/>
        <w:gridCol w:w="1262"/>
        <w:gridCol w:w="466"/>
        <w:gridCol w:w="466"/>
        <w:gridCol w:w="468"/>
        <w:gridCol w:w="1273"/>
        <w:gridCol w:w="1241"/>
        <w:gridCol w:w="1174"/>
        <w:gridCol w:w="584"/>
        <w:gridCol w:w="1258"/>
        <w:gridCol w:w="583"/>
        <w:gridCol w:w="1232"/>
        <w:gridCol w:w="586"/>
        <w:gridCol w:w="1308"/>
        <w:gridCol w:w="586"/>
        <w:gridCol w:w="1366"/>
      </w:tblGrid>
      <w:tr>
        <w:trPr>
          <w:trHeight w:val="404"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6"/>
                <w:szCs w:val="16"/>
              </w:rPr>
            </w:pPr>
            <w:r>
              <w:rPr>
                <w:rFonts w:ascii="Times New Roman"/>
                <w:spacing w:val="-1"/>
                <w:sz w:val="16"/>
              </w:rPr>
              <w:t>-70,274.00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1"/>
                <w:sz w:val="16"/>
              </w:rPr>
              <w:t>-455,656.00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1"/>
                <w:sz w:val="16"/>
              </w:rPr>
              <w:t>-4,392,371.26</w:t>
            </w: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1"/>
                <w:sz w:val="16"/>
              </w:rPr>
              <w:t>3,866,441.26</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3,866,441.26</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6,485,526.99</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-18,474,800.91</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-11,989,273.92</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-11,989,273.92</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6,485,526.99</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-6,485,526.99</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2"/>
                <w:sz w:val="16"/>
              </w:rPr>
              <w:t>-11,998,582.88</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-11,998,582.88</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-11,998,582.88</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9,308.96</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9,308.96</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9,308.96</w:t>
            </w:r>
          </w:p>
        </w:tc>
      </w:tr>
      <w:tr>
        <w:trPr>
          <w:trHeight w:val="404"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88"/>
              <w:ind w:left="103" w:right="144"/>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w:t>
            </w:r>
            <w:r>
              <w:rPr>
                <w:rFonts w:ascii="宋体" w:hAnsi="宋体" w:cs="宋体" w:eastAsia="宋体" w:hint="default"/>
                <w:w w:val="99"/>
                <w:sz w:val="13"/>
                <w:szCs w:val="13"/>
              </w:rPr>
              <w:t> </w:t>
            </w:r>
            <w:r>
              <w:rPr>
                <w:rFonts w:ascii="宋体" w:hAnsi="宋体" w:cs="宋体" w:eastAsia="宋体" w:hint="default"/>
                <w:sz w:val="13"/>
                <w:szCs w:val="13"/>
              </w:rPr>
              <w:t>存收益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181,096,722.00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319,145,846.56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9,205,025.52</w:t>
            </w:r>
          </w:p>
        </w:tc>
        <w:tc>
          <w:tcPr>
            <w:tcW w:w="117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2"/>
                <w:sz w:val="16"/>
              </w:rPr>
              <w:t>42,987,855.92</w:t>
            </w:r>
          </w:p>
        </w:tc>
        <w:tc>
          <w:tcPr>
            <w:tcW w:w="58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320,503,355.93</w:t>
            </w:r>
          </w:p>
        </w:tc>
        <w:tc>
          <w:tcPr>
            <w:tcW w:w="58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854,528,754.89</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854,528,754.89</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6840" w:h="11910" w:orient="landscape"/>
          <w:pgMar w:footer="1021" w:header="906" w:top="1100" w:bottom="1220" w:left="380" w:right="360"/>
          <w:pgNumType w:start="82"/>
        </w:sectPr>
      </w:pPr>
    </w:p>
    <w:p>
      <w:pPr>
        <w:pStyle w:val="BodyText"/>
        <w:spacing w:line="240" w:lineRule="auto" w:before="108"/>
        <w:ind w:left="980" w:right="0"/>
        <w:jc w:val="left"/>
      </w:pPr>
      <w:r>
        <w:rPr/>
        <w:t>上期金额</w:t>
      </w:r>
    </w:p>
    <w:p>
      <w:pPr>
        <w:pStyle w:val="BodyText"/>
        <w:spacing w:line="240" w:lineRule="auto" w:before="117"/>
        <w:ind w:left="0" w:right="977"/>
        <w:jc w:val="right"/>
      </w:pPr>
      <w:r>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58"/>
        <w:gridCol w:w="1226"/>
        <w:gridCol w:w="449"/>
        <w:gridCol w:w="451"/>
        <w:gridCol w:w="490"/>
        <w:gridCol w:w="1174"/>
        <w:gridCol w:w="1159"/>
        <w:gridCol w:w="1148"/>
        <w:gridCol w:w="576"/>
        <w:gridCol w:w="1118"/>
        <w:gridCol w:w="576"/>
        <w:gridCol w:w="1157"/>
        <w:gridCol w:w="566"/>
        <w:gridCol w:w="1183"/>
        <w:gridCol w:w="718"/>
        <w:gridCol w:w="1224"/>
      </w:tblGrid>
      <w:tr>
        <w:trPr>
          <w:trHeight w:val="403" w:hRule="exact"/>
        </w:trPr>
        <w:tc>
          <w:tcPr>
            <w:tcW w:w="2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2458" w:type="dxa"/>
            <w:vMerge/>
            <w:tcBorders>
              <w:left w:val="single" w:sz="4" w:space="0" w:color="000000"/>
              <w:right w:val="single" w:sz="4" w:space="0" w:color="000000"/>
            </w:tcBorders>
            <w:shd w:val="clear" w:color="auto" w:fill="D2D2D2"/>
          </w:tcPr>
          <w:p>
            <w:pPr/>
          </w:p>
        </w:tc>
        <w:tc>
          <w:tcPr>
            <w:tcW w:w="1127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72" w:right="17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27" w:right="156"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03" w:hRule="exact"/>
        </w:trPr>
        <w:tc>
          <w:tcPr>
            <w:tcW w:w="2458" w:type="dxa"/>
            <w:vMerge/>
            <w:tcBorders>
              <w:left w:val="single" w:sz="4" w:space="0" w:color="000000"/>
              <w:right w:val="single" w:sz="4" w:space="0" w:color="000000"/>
            </w:tcBorders>
            <w:shd w:val="clear" w:color="auto" w:fill="D2D2D2"/>
          </w:tcPr>
          <w:p>
            <w:pP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77" w:right="11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0"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8"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right w:val="single" w:sz="4" w:space="0" w:color="000000"/>
            </w:tcBorders>
            <w:shd w:val="clear" w:color="auto" w:fill="D2D2D2"/>
          </w:tcPr>
          <w:p>
            <w:pPr/>
          </w:p>
        </w:tc>
      </w:tr>
      <w:tr>
        <w:trPr>
          <w:trHeight w:val="713" w:hRule="exact"/>
        </w:trPr>
        <w:tc>
          <w:tcPr>
            <w:tcW w:w="2458"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7"/>
                <w:szCs w:val="7"/>
              </w:rPr>
            </w:pPr>
          </w:p>
          <w:p>
            <w:pPr>
              <w:pStyle w:val="TableParagraph"/>
              <w:spacing w:line="520" w:lineRule="auto"/>
              <w:ind w:left="163" w:right="108" w:hanging="56"/>
              <w:jc w:val="left"/>
              <w:rPr>
                <w:rFonts w:ascii="宋体" w:hAnsi="宋体" w:cs="宋体" w:eastAsia="宋体" w:hint="default"/>
                <w:sz w:val="11"/>
                <w:szCs w:val="11"/>
              </w:rPr>
            </w:pPr>
            <w:r>
              <w:rPr>
                <w:rFonts w:ascii="宋体" w:hAnsi="宋体" w:cs="宋体" w:eastAsia="宋体" w:hint="default"/>
                <w:sz w:val="11"/>
                <w:szCs w:val="11"/>
              </w:rPr>
              <w:t>优先</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7"/>
                <w:szCs w:val="7"/>
              </w:rPr>
            </w:pPr>
          </w:p>
          <w:p>
            <w:pPr>
              <w:pStyle w:val="TableParagraph"/>
              <w:spacing w:line="520" w:lineRule="auto"/>
              <w:ind w:left="163" w:right="110" w:hanging="56"/>
              <w:jc w:val="left"/>
              <w:rPr>
                <w:rFonts w:ascii="宋体" w:hAnsi="宋体" w:cs="宋体" w:eastAsia="宋体" w:hint="default"/>
                <w:sz w:val="11"/>
                <w:szCs w:val="11"/>
              </w:rPr>
            </w:pPr>
            <w:r>
              <w:rPr>
                <w:rFonts w:ascii="宋体" w:hAnsi="宋体" w:cs="宋体" w:eastAsia="宋体" w:hint="default"/>
                <w:sz w:val="11"/>
                <w:szCs w:val="11"/>
              </w:rPr>
              <w:t>永续</w:t>
            </w:r>
            <w:r>
              <w:rPr>
                <w:rFonts w:ascii="宋体" w:hAnsi="宋体" w:cs="宋体" w:eastAsia="宋体" w:hint="default"/>
                <w:w w:val="100"/>
                <w:sz w:val="11"/>
                <w:szCs w:val="11"/>
              </w:rPr>
              <w:t> </w:t>
            </w:r>
            <w:r>
              <w:rPr>
                <w:rFonts w:ascii="宋体" w:hAnsi="宋体" w:cs="宋体" w:eastAsia="宋体" w:hint="default"/>
                <w:sz w:val="11"/>
                <w:szCs w:val="11"/>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7"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1174"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120,000,000.00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355,267,253.00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-3,914,239.19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31,144,910.29</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234,278,293.12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736,776,217.22</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736,776,217.22</w:t>
            </w: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2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120,000,000.00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355,267,253.00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-3,914,239.19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31,144,910.29</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234,278,293.12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736,776,217.22</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736,776,217.22</w:t>
            </w:r>
          </w:p>
        </w:tc>
      </w:tr>
      <w:tr>
        <w:trPr>
          <w:trHeight w:val="716"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103" w:right="240"/>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“－”号填列）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61,166,996.00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-42,215,240.17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13,597,396.78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-5,532,403.76</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33,830,705.76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39,010,079.69</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39,010,079.69</w:t>
            </w: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-5,532,403.76</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3" w:right="0"/>
              <w:jc w:val="center"/>
              <w:rPr>
                <w:rFonts w:ascii="Times New Roman" w:hAnsi="Times New Roman" w:cs="Times New Roman" w:eastAsia="Times New Roman" w:hint="default"/>
                <w:sz w:val="15"/>
                <w:szCs w:val="15"/>
              </w:rPr>
            </w:pPr>
            <w:r>
              <w:rPr>
                <w:rFonts w:ascii="Times New Roman"/>
                <w:sz w:val="15"/>
              </w:rPr>
              <w:t>51,188,116.34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45,655,712.58</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45,655,712.58</w:t>
            </w: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1,167,000.00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17,784,755.83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13,597,396.78</w:t>
            </w: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5,354,359.05</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5,354,359.05</w:t>
            </w: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1,167,000.00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11,891,730.00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13,712,972.37</w:t>
            </w: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-654,242.37</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-654,242.37</w:t>
            </w: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5,893,025.83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5,893,025.83</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5"/>
                <w:szCs w:val="15"/>
              </w:rPr>
            </w:pPr>
            <w:r>
              <w:rPr>
                <w:rFonts w:ascii="Times New Roman"/>
                <w:spacing w:val="-1"/>
                <w:sz w:val="15"/>
              </w:rPr>
              <w:t>5,893,025.83</w:t>
            </w: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-115,575.59</w:t>
            </w: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115,575.59</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115,575.59</w:t>
            </w: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 w:right="0"/>
              <w:jc w:val="center"/>
              <w:rPr>
                <w:rFonts w:ascii="Times New Roman" w:hAnsi="Times New Roman" w:cs="Times New Roman" w:eastAsia="Times New Roman" w:hint="default"/>
                <w:sz w:val="15"/>
                <w:szCs w:val="15"/>
              </w:rPr>
            </w:pPr>
            <w:r>
              <w:rPr>
                <w:rFonts w:ascii="Times New Roman"/>
                <w:sz w:val="15"/>
              </w:rPr>
              <w:t>-17,357,410.58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-11,999,991.94</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2"/>
                <w:sz w:val="15"/>
              </w:rPr>
              <w:t>-11,999,991.94</w:t>
            </w: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center"/>
              <w:rPr>
                <w:rFonts w:ascii="Times New Roman" w:hAnsi="Times New Roman" w:cs="Times New Roman" w:eastAsia="Times New Roman" w:hint="default"/>
                <w:sz w:val="15"/>
                <w:szCs w:val="15"/>
              </w:rPr>
            </w:pPr>
            <w:r>
              <w:rPr>
                <w:rFonts w:ascii="Times New Roman"/>
                <w:sz w:val="15"/>
              </w:rPr>
              <w:t>-5,357,418.64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06" w:footer="1021" w:top="1100" w:bottom="1220" w:left="460" w:right="460"/>
        </w:sectPr>
      </w:pPr>
    </w:p>
    <w:p>
      <w:pPr>
        <w:spacing w:line="240" w:lineRule="auto" w:before="1"/>
        <w:rPr>
          <w:rFonts w:ascii="Times New Roman" w:hAnsi="Times New Roman" w:cs="Times New Roman" w:eastAsia="Times New Roman"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58"/>
        <w:gridCol w:w="1226"/>
        <w:gridCol w:w="449"/>
        <w:gridCol w:w="451"/>
        <w:gridCol w:w="490"/>
        <w:gridCol w:w="1174"/>
        <w:gridCol w:w="1159"/>
        <w:gridCol w:w="1148"/>
        <w:gridCol w:w="576"/>
        <w:gridCol w:w="1118"/>
        <w:gridCol w:w="576"/>
        <w:gridCol w:w="1157"/>
        <w:gridCol w:w="566"/>
        <w:gridCol w:w="1183"/>
        <w:gridCol w:w="718"/>
        <w:gridCol w:w="1224"/>
      </w:tblGrid>
      <w:tr>
        <w:trPr>
          <w:trHeight w:val="404"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center"/>
              <w:rPr>
                <w:rFonts w:ascii="Times New Roman" w:hAnsi="Times New Roman" w:cs="Times New Roman" w:eastAsia="Times New Roman" w:hint="default"/>
                <w:sz w:val="15"/>
                <w:szCs w:val="15"/>
              </w:rPr>
            </w:pPr>
            <w:r>
              <w:rPr>
                <w:rFonts w:ascii="Times New Roman"/>
                <w:sz w:val="15"/>
              </w:rPr>
              <w:t>-11,999,991.94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2"/>
                <w:sz w:val="15"/>
              </w:rPr>
              <w:t>-11,999,991.94</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5"/>
                <w:szCs w:val="15"/>
              </w:rPr>
            </w:pPr>
            <w:r>
              <w:rPr>
                <w:rFonts w:ascii="Times New Roman"/>
                <w:spacing w:val="-2"/>
                <w:sz w:val="15"/>
              </w:rPr>
              <w:t>-11,999,991.94</w:t>
            </w: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59,999,996.00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 w:right="0"/>
              <w:jc w:val="center"/>
              <w:rPr>
                <w:rFonts w:ascii="Times New Roman" w:hAnsi="Times New Roman" w:cs="Times New Roman" w:eastAsia="Times New Roman" w:hint="default"/>
                <w:sz w:val="15"/>
                <w:szCs w:val="15"/>
              </w:rPr>
            </w:pPr>
            <w:r>
              <w:rPr>
                <w:rFonts w:ascii="Times New Roman"/>
                <w:sz w:val="15"/>
              </w:rPr>
              <w:t>-59,999,996.00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59,999,996.00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 w:right="0"/>
              <w:jc w:val="center"/>
              <w:rPr>
                <w:rFonts w:ascii="Times New Roman" w:hAnsi="Times New Roman" w:cs="Times New Roman" w:eastAsia="Times New Roman" w:hint="default"/>
                <w:sz w:val="15"/>
                <w:szCs w:val="15"/>
              </w:rPr>
            </w:pPr>
            <w:r>
              <w:rPr>
                <w:rFonts w:ascii="Times New Roman"/>
                <w:sz w:val="15"/>
              </w:rPr>
              <w:t>-59,999,996.00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181,166,996.00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 w:right="0"/>
              <w:jc w:val="center"/>
              <w:rPr>
                <w:rFonts w:ascii="Times New Roman" w:hAnsi="Times New Roman" w:cs="Times New Roman" w:eastAsia="Times New Roman" w:hint="default"/>
                <w:sz w:val="15"/>
                <w:szCs w:val="15"/>
              </w:rPr>
            </w:pPr>
            <w:r>
              <w:rPr>
                <w:rFonts w:ascii="Times New Roman"/>
                <w:sz w:val="15"/>
              </w:rPr>
              <w:t>313,052,012.83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4" w:right="0"/>
              <w:jc w:val="left"/>
              <w:rPr>
                <w:rFonts w:ascii="Times New Roman" w:hAnsi="Times New Roman" w:cs="Times New Roman" w:eastAsia="Times New Roman" w:hint="default"/>
                <w:sz w:val="15"/>
                <w:szCs w:val="15"/>
              </w:rPr>
            </w:pPr>
            <w:r>
              <w:rPr>
                <w:rFonts w:ascii="Times New Roman"/>
                <w:sz w:val="15"/>
              </w:rPr>
              <w:t>13,597,396.78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6" w:right="0"/>
              <w:jc w:val="left"/>
              <w:rPr>
                <w:rFonts w:ascii="Times New Roman" w:hAnsi="Times New Roman" w:cs="Times New Roman" w:eastAsia="Times New Roman" w:hint="default"/>
                <w:sz w:val="15"/>
                <w:szCs w:val="15"/>
              </w:rPr>
            </w:pPr>
            <w:r>
              <w:rPr>
                <w:rFonts w:ascii="Times New Roman"/>
                <w:sz w:val="15"/>
              </w:rPr>
              <w:t>-9,446,642.95</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1" w:right="0"/>
              <w:jc w:val="left"/>
              <w:rPr>
                <w:rFonts w:ascii="Times New Roman" w:hAnsi="Times New Roman" w:cs="Times New Roman" w:eastAsia="Times New Roman" w:hint="default"/>
                <w:sz w:val="15"/>
                <w:szCs w:val="15"/>
              </w:rPr>
            </w:pPr>
            <w:r>
              <w:rPr>
                <w:rFonts w:ascii="Times New Roman"/>
                <w:sz w:val="15"/>
              </w:rPr>
              <w:t>36,502,328.93</w:t>
            </w:r>
          </w:p>
        </w:tc>
        <w:tc>
          <w:tcPr>
            <w:tcW w:w="57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268,108,998.88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775,786,296.91</w:t>
            </w:r>
          </w:p>
        </w:tc>
        <w:tc>
          <w:tcPr>
            <w:tcW w:w="71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775,786,296.91</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06" w:footer="1021" w:top="1100" w:bottom="1220" w:left="460" w:right="46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36"/>
        <w:ind w:left="340"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40" w:right="0"/>
        <w:jc w:val="left"/>
      </w:pPr>
      <w:r>
        <w:rPr/>
        <w:t>本期金额</w:t>
      </w:r>
    </w:p>
    <w:p>
      <w:pPr>
        <w:pStyle w:val="BodyText"/>
        <w:spacing w:line="240" w:lineRule="auto" w:before="115"/>
        <w:ind w:left="0" w:right="357"/>
        <w:jc w:val="right"/>
      </w:pPr>
      <w:r>
        <w:rPr/>
        <w:t>单位：元</w:t>
      </w:r>
    </w:p>
    <w:p>
      <w:pPr>
        <w:spacing w:line="240" w:lineRule="auto" w:before="4"/>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216"/>
        <w:gridCol w:w="1222"/>
        <w:gridCol w:w="605"/>
        <w:gridCol w:w="602"/>
        <w:gridCol w:w="607"/>
        <w:gridCol w:w="1205"/>
        <w:gridCol w:w="1232"/>
        <w:gridCol w:w="725"/>
        <w:gridCol w:w="727"/>
        <w:gridCol w:w="1162"/>
        <w:gridCol w:w="1212"/>
        <w:gridCol w:w="710"/>
        <w:gridCol w:w="1198"/>
      </w:tblGrid>
      <w:tr>
        <w:trPr>
          <w:trHeight w:val="403" w:hRule="exact"/>
        </w:trPr>
        <w:tc>
          <w:tcPr>
            <w:tcW w:w="32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0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216" w:type="dxa"/>
            <w:vMerge/>
            <w:tcBorders>
              <w:left w:val="single" w:sz="4" w:space="0" w:color="000000"/>
              <w:right w:val="single" w:sz="4" w:space="0" w:color="000000"/>
            </w:tcBorders>
            <w:shd w:val="clear" w:color="auto" w:fill="D2D2D2"/>
          </w:tcPr>
          <w:p>
            <w:pP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8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75" w:right="179"/>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77" w:right="17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412" w:right="144"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716" w:hRule="exact"/>
        </w:trPr>
        <w:tc>
          <w:tcPr>
            <w:tcW w:w="3216"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32"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181,166,996.00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313,052,012.83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13,597,396.78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36,502,328.93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8" w:right="0"/>
              <w:jc w:val="center"/>
              <w:rPr>
                <w:rFonts w:ascii="Times New Roman" w:hAnsi="Times New Roman" w:cs="Times New Roman" w:eastAsia="Times New Roman" w:hint="default"/>
                <w:sz w:val="15"/>
                <w:szCs w:val="15"/>
              </w:rPr>
            </w:pPr>
            <w:r>
              <w:rPr>
                <w:rFonts w:ascii="Times New Roman"/>
                <w:sz w:val="15"/>
              </w:rPr>
              <w:t>272,378,658.78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789,502,599.76</w:t>
            </w: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181,166,996.00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313,052,012.83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13,597,396.78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36,502,328.93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8" w:right="0"/>
              <w:jc w:val="center"/>
              <w:rPr>
                <w:rFonts w:ascii="Times New Roman" w:hAnsi="Times New Roman" w:cs="Times New Roman" w:eastAsia="Times New Roman" w:hint="default"/>
                <w:sz w:val="15"/>
                <w:szCs w:val="15"/>
              </w:rPr>
            </w:pPr>
            <w:r>
              <w:rPr>
                <w:rFonts w:ascii="Times New Roman"/>
                <w:sz w:val="15"/>
              </w:rPr>
              <w:t>272,378,658.78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789,502,599.76</w:t>
            </w: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pacing w:val="-6"/>
                <w:sz w:val="15"/>
                <w:szCs w:val="15"/>
              </w:rPr>
              <w:t>三、本期增减变动金额（减少以“－”号填列）</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-70,274.00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6,093,833.73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-4,392,371.26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6,485,526.99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4" w:right="0"/>
              <w:jc w:val="center"/>
              <w:rPr>
                <w:rFonts w:ascii="Times New Roman" w:hAnsi="Times New Roman" w:cs="Times New Roman" w:eastAsia="Times New Roman" w:hint="default"/>
                <w:sz w:val="15"/>
                <w:szCs w:val="15"/>
              </w:rPr>
            </w:pPr>
            <w:r>
              <w:rPr>
                <w:rFonts w:ascii="Times New Roman"/>
                <w:sz w:val="15"/>
              </w:rPr>
              <w:t>46,380,468.96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63,281,926.94</w:t>
            </w: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4" w:right="0"/>
              <w:jc w:val="center"/>
              <w:rPr>
                <w:rFonts w:ascii="Times New Roman" w:hAnsi="Times New Roman" w:cs="Times New Roman" w:eastAsia="Times New Roman" w:hint="default"/>
                <w:sz w:val="15"/>
                <w:szCs w:val="15"/>
              </w:rPr>
            </w:pPr>
            <w:r>
              <w:rPr>
                <w:rFonts w:ascii="Times New Roman"/>
                <w:sz w:val="15"/>
              </w:rPr>
              <w:t>64,855,269.87</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64,855,269.87</w:t>
            </w: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-70,274.00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6,093,833.73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-4,392,371.26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10,415,930.99</w:t>
            </w: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6,549,489.73</w:t>
            </w: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6,549,489.73</w:t>
            </w:r>
          </w:p>
        </w:tc>
      </w:tr>
      <w:tr>
        <w:trPr>
          <w:trHeight w:val="404"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5"/>
                <w:szCs w:val="15"/>
              </w:rPr>
            </w:pPr>
            <w:r>
              <w:rPr>
                <w:rFonts w:ascii="Times New Roman"/>
                <w:spacing w:val="-1"/>
                <w:sz w:val="15"/>
              </w:rPr>
              <w:t>-70,274.00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-455,656.00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5"/>
                <w:szCs w:val="15"/>
              </w:rPr>
            </w:pPr>
            <w:r>
              <w:rPr>
                <w:rFonts w:ascii="Times New Roman"/>
                <w:spacing w:val="-1"/>
                <w:sz w:val="15"/>
              </w:rPr>
              <w:t>-4,392,371.26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3,866,441.26</w:t>
            </w: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6,485,526.99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4" w:right="0"/>
              <w:jc w:val="center"/>
              <w:rPr>
                <w:rFonts w:ascii="Times New Roman" w:hAnsi="Times New Roman" w:cs="Times New Roman" w:eastAsia="Times New Roman" w:hint="default"/>
                <w:sz w:val="15"/>
                <w:szCs w:val="15"/>
              </w:rPr>
            </w:pPr>
            <w:r>
              <w:rPr>
                <w:rFonts w:ascii="Times New Roman"/>
                <w:sz w:val="15"/>
              </w:rPr>
              <w:t>-18,474,800.91</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-11,989,273.92</w:t>
            </w: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6,485,526.99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8" w:right="0"/>
              <w:jc w:val="center"/>
              <w:rPr>
                <w:rFonts w:ascii="Times New Roman" w:hAnsi="Times New Roman" w:cs="Times New Roman" w:eastAsia="Times New Roman" w:hint="default"/>
                <w:sz w:val="15"/>
                <w:szCs w:val="15"/>
              </w:rPr>
            </w:pPr>
            <w:r>
              <w:rPr>
                <w:rFonts w:ascii="Times New Roman"/>
                <w:sz w:val="15"/>
              </w:rPr>
              <w:t>-6,485,526.99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9" w:right="0"/>
              <w:jc w:val="center"/>
              <w:rPr>
                <w:rFonts w:ascii="Times New Roman" w:hAnsi="Times New Roman" w:cs="Times New Roman" w:eastAsia="Times New Roman" w:hint="default"/>
                <w:sz w:val="15"/>
                <w:szCs w:val="15"/>
              </w:rPr>
            </w:pPr>
            <w:r>
              <w:rPr>
                <w:rFonts w:ascii="Times New Roman"/>
                <w:sz w:val="15"/>
              </w:rPr>
              <w:t>-11,998,582.88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-11,998,582.88</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06" w:footer="1021" w:top="1100" w:bottom="1220" w:left="1100" w:right="1080"/>
        </w:sectPr>
      </w:pPr>
    </w:p>
    <w:p>
      <w:pPr>
        <w:spacing w:line="240" w:lineRule="auto" w:before="1"/>
        <w:rPr>
          <w:rFonts w:ascii="Times New Roman" w:hAnsi="Times New Roman" w:cs="Times New Roman" w:eastAsia="Times New Roman"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16"/>
        <w:gridCol w:w="1222"/>
        <w:gridCol w:w="605"/>
        <w:gridCol w:w="602"/>
        <w:gridCol w:w="607"/>
        <w:gridCol w:w="1205"/>
        <w:gridCol w:w="1232"/>
        <w:gridCol w:w="725"/>
        <w:gridCol w:w="727"/>
        <w:gridCol w:w="1162"/>
        <w:gridCol w:w="1212"/>
        <w:gridCol w:w="710"/>
        <w:gridCol w:w="1198"/>
      </w:tblGrid>
      <w:tr>
        <w:trPr>
          <w:trHeight w:val="404"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9,308.96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9,308.96</w:t>
            </w: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0" w:right="0"/>
              <w:jc w:val="left"/>
              <w:rPr>
                <w:rFonts w:ascii="Times New Roman" w:hAnsi="Times New Roman" w:cs="Times New Roman" w:eastAsia="Times New Roman" w:hint="default"/>
                <w:sz w:val="15"/>
                <w:szCs w:val="15"/>
              </w:rPr>
            </w:pPr>
            <w:r>
              <w:rPr>
                <w:rFonts w:ascii="Times New Roman"/>
                <w:sz w:val="15"/>
              </w:rPr>
              <w:t>181,096,722.00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3" w:right="0"/>
              <w:jc w:val="left"/>
              <w:rPr>
                <w:rFonts w:ascii="Times New Roman" w:hAnsi="Times New Roman" w:cs="Times New Roman" w:eastAsia="Times New Roman" w:hint="default"/>
                <w:sz w:val="15"/>
                <w:szCs w:val="15"/>
              </w:rPr>
            </w:pPr>
            <w:r>
              <w:rPr>
                <w:rFonts w:ascii="Times New Roman"/>
                <w:sz w:val="15"/>
              </w:rPr>
              <w:t>319,145,846.56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29" w:right="0"/>
              <w:jc w:val="left"/>
              <w:rPr>
                <w:rFonts w:ascii="Times New Roman" w:hAnsi="Times New Roman" w:cs="Times New Roman" w:eastAsia="Times New Roman" w:hint="default"/>
                <w:sz w:val="15"/>
                <w:szCs w:val="15"/>
              </w:rPr>
            </w:pPr>
            <w:r>
              <w:rPr>
                <w:rFonts w:ascii="Times New Roman"/>
                <w:sz w:val="15"/>
              </w:rPr>
              <w:t>9,205,025.52</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Times New Roman" w:hAnsi="Times New Roman" w:cs="Times New Roman" w:eastAsia="Times New Roman" w:hint="default"/>
                <w:sz w:val="15"/>
                <w:szCs w:val="15"/>
              </w:rPr>
            </w:pPr>
            <w:r>
              <w:rPr>
                <w:rFonts w:ascii="Times New Roman"/>
                <w:sz w:val="15"/>
              </w:rPr>
              <w:t>42,987,855.92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318,759,127.74</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852,784,526.70</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06" w:footer="1021" w:top="1100" w:bottom="1220" w:left="1100" w:right="1080"/>
        </w:sectPr>
      </w:pPr>
    </w:p>
    <w:p>
      <w:pPr>
        <w:pStyle w:val="BodyText"/>
        <w:spacing w:line="240" w:lineRule="auto" w:before="108"/>
        <w:ind w:left="520" w:right="0"/>
        <w:jc w:val="left"/>
      </w:pPr>
      <w:r>
        <w:rPr/>
        <w:t>上期金额</w:t>
      </w:r>
    </w:p>
    <w:p>
      <w:pPr>
        <w:pStyle w:val="BodyText"/>
        <w:spacing w:line="240" w:lineRule="auto" w:before="117"/>
        <w:ind w:left="0" w:right="517"/>
        <w:jc w:val="right"/>
      </w:pPr>
      <w:r>
        <w:rPr/>
        <w:t>单位：元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252"/>
        <w:gridCol w:w="1167"/>
        <w:gridCol w:w="629"/>
        <w:gridCol w:w="754"/>
        <w:gridCol w:w="571"/>
        <w:gridCol w:w="1262"/>
        <w:gridCol w:w="1138"/>
        <w:gridCol w:w="684"/>
        <w:gridCol w:w="780"/>
        <w:gridCol w:w="1277"/>
        <w:gridCol w:w="1234"/>
        <w:gridCol w:w="797"/>
        <w:gridCol w:w="1217"/>
      </w:tblGrid>
      <w:tr>
        <w:trPr>
          <w:trHeight w:val="403" w:hRule="exact"/>
        </w:trPr>
        <w:tc>
          <w:tcPr>
            <w:tcW w:w="3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025" w:hRule="exact"/>
        </w:trPr>
        <w:tc>
          <w:tcPr>
            <w:tcW w:w="3252" w:type="dxa"/>
            <w:vMerge/>
            <w:tcBorders>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3" w:right="15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2" w:right="155"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716" w:hRule="exact"/>
        </w:trPr>
        <w:tc>
          <w:tcPr>
            <w:tcW w:w="3252"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8" w:right="12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0" w:right="19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9" w:right="191"/>
              <w:jc w:val="center"/>
              <w:rPr>
                <w:rFonts w:ascii="宋体" w:hAnsi="宋体" w:cs="宋体" w:eastAsia="宋体" w:hint="default"/>
                <w:sz w:val="18"/>
                <w:szCs w:val="18"/>
              </w:rPr>
            </w:pPr>
            <w:r>
              <w:rPr>
                <w:rFonts w:ascii="宋体" w:hAnsi="宋体" w:cs="宋体" w:eastAsia="宋体" w:hint="default"/>
                <w:sz w:val="18"/>
                <w:szCs w:val="18"/>
              </w:rPr>
              <w:t>其 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 w:right="0"/>
              <w:jc w:val="center"/>
              <w:rPr>
                <w:rFonts w:ascii="Times New Roman" w:hAnsi="Times New Roman" w:cs="Times New Roman" w:eastAsia="Times New Roman" w:hint="default"/>
                <w:sz w:val="15"/>
                <w:szCs w:val="15"/>
              </w:rPr>
            </w:pPr>
            <w:r>
              <w:rPr>
                <w:rFonts w:ascii="Times New Roman"/>
                <w:sz w:val="15"/>
              </w:rPr>
              <w:t>120,000,000.00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355,267,253.00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31,144,910.29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236,161,883.01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742,574,046.30</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05"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 w:right="0"/>
              <w:jc w:val="center"/>
              <w:rPr>
                <w:rFonts w:ascii="Times New Roman" w:hAnsi="Times New Roman" w:cs="Times New Roman" w:eastAsia="Times New Roman" w:hint="default"/>
                <w:sz w:val="15"/>
                <w:szCs w:val="15"/>
              </w:rPr>
            </w:pPr>
            <w:r>
              <w:rPr>
                <w:rFonts w:ascii="Times New Roman"/>
                <w:sz w:val="15"/>
              </w:rPr>
              <w:t>120,000,000.00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355,267,253.00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31,144,910.29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236,161,883.01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742,574,046.30</w:t>
            </w:r>
          </w:p>
        </w:tc>
      </w:tr>
      <w:tr>
        <w:trPr>
          <w:trHeight w:val="404"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三、本期增减变动金额（减少以“－”号填列）</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center"/>
              <w:rPr>
                <w:rFonts w:ascii="Times New Roman" w:hAnsi="Times New Roman" w:cs="Times New Roman" w:eastAsia="Times New Roman" w:hint="default"/>
                <w:sz w:val="15"/>
                <w:szCs w:val="15"/>
              </w:rPr>
            </w:pPr>
            <w:r>
              <w:rPr>
                <w:rFonts w:ascii="Times New Roman"/>
                <w:sz w:val="15"/>
              </w:rPr>
              <w:t>61,166,996.00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-42,215,240.17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5"/>
                <w:szCs w:val="15"/>
              </w:rPr>
            </w:pPr>
            <w:r>
              <w:rPr>
                <w:rFonts w:ascii="Times New Roman"/>
                <w:spacing w:val="-1"/>
                <w:sz w:val="15"/>
              </w:rPr>
              <w:t>13,597,396.78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pacing w:val="-1"/>
                <w:sz w:val="15"/>
              </w:rPr>
              <w:t>36,216,775.77</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5"/>
                <w:szCs w:val="15"/>
              </w:rPr>
            </w:pPr>
            <w:r>
              <w:rPr>
                <w:rFonts w:ascii="Times New Roman"/>
                <w:spacing w:val="-1"/>
                <w:sz w:val="15"/>
              </w:rPr>
              <w:t>46,928,553.46</w:t>
            </w: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53,574,186.35</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53,574,186.35</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3" w:right="0"/>
              <w:jc w:val="center"/>
              <w:rPr>
                <w:rFonts w:ascii="Times New Roman" w:hAnsi="Times New Roman" w:cs="Times New Roman" w:eastAsia="Times New Roman" w:hint="default"/>
                <w:sz w:val="15"/>
                <w:szCs w:val="15"/>
              </w:rPr>
            </w:pPr>
            <w:r>
              <w:rPr>
                <w:rFonts w:ascii="Times New Roman"/>
                <w:sz w:val="15"/>
              </w:rPr>
              <w:t>1,167,000.00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17,784,755.83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13,597,396.78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5,354,359.05</w:t>
            </w: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3" w:right="0"/>
              <w:jc w:val="center"/>
              <w:rPr>
                <w:rFonts w:ascii="Times New Roman" w:hAnsi="Times New Roman" w:cs="Times New Roman" w:eastAsia="Times New Roman" w:hint="default"/>
                <w:sz w:val="15"/>
                <w:szCs w:val="15"/>
              </w:rPr>
            </w:pPr>
            <w:r>
              <w:rPr>
                <w:rFonts w:ascii="Times New Roman"/>
                <w:sz w:val="15"/>
              </w:rPr>
              <w:t>1,167,000.00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11,891,730.00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13,712,972.37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-654,242.37</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5,893,025.83</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5,893,025.83</w:t>
            </w:r>
          </w:p>
        </w:tc>
      </w:tr>
      <w:tr>
        <w:trPr>
          <w:trHeight w:val="404"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-115,575.59</w:t>
            </w: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5"/>
                <w:szCs w:val="15"/>
              </w:rPr>
            </w:pPr>
            <w:r>
              <w:rPr>
                <w:rFonts w:ascii="Times New Roman"/>
                <w:spacing w:val="-2"/>
                <w:sz w:val="15"/>
              </w:rPr>
              <w:t>115,575.59</w:t>
            </w: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-17,357,410.58</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2"/>
                <w:sz w:val="15"/>
              </w:rPr>
              <w:t>-11,999,991.94</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1"/>
                <w:sz w:val="15"/>
              </w:rPr>
              <w:t>5,357,418.64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-5,357,418.64</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2"/>
                <w:sz w:val="15"/>
              </w:rPr>
              <w:t>-11,999,991.94</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spacing w:val="-2"/>
                <w:sz w:val="15"/>
              </w:rPr>
              <w:t>-11,999,991.94</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06" w:footer="1021" w:top="1100" w:bottom="1220" w:left="920" w:right="920"/>
        </w:sectPr>
      </w:pPr>
    </w:p>
    <w:p>
      <w:pPr>
        <w:spacing w:line="240" w:lineRule="auto" w:before="1"/>
        <w:rPr>
          <w:rFonts w:ascii="Times New Roman" w:hAnsi="Times New Roman" w:cs="Times New Roman" w:eastAsia="Times New Roman"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52"/>
        <w:gridCol w:w="1167"/>
        <w:gridCol w:w="629"/>
        <w:gridCol w:w="754"/>
        <w:gridCol w:w="571"/>
        <w:gridCol w:w="1262"/>
        <w:gridCol w:w="1138"/>
        <w:gridCol w:w="684"/>
        <w:gridCol w:w="780"/>
        <w:gridCol w:w="1277"/>
        <w:gridCol w:w="1234"/>
        <w:gridCol w:w="797"/>
        <w:gridCol w:w="1217"/>
      </w:tblGrid>
      <w:tr>
        <w:trPr>
          <w:trHeight w:val="404"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center"/>
              <w:rPr>
                <w:rFonts w:ascii="Times New Roman" w:hAnsi="Times New Roman" w:cs="Times New Roman" w:eastAsia="Times New Roman" w:hint="default"/>
                <w:sz w:val="15"/>
                <w:szCs w:val="15"/>
              </w:rPr>
            </w:pPr>
            <w:r>
              <w:rPr>
                <w:rFonts w:ascii="Times New Roman"/>
                <w:sz w:val="15"/>
              </w:rPr>
              <w:t>59,999,996.00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-59,999,996.00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8" w:right="0"/>
              <w:jc w:val="center"/>
              <w:rPr>
                <w:rFonts w:ascii="Times New Roman" w:hAnsi="Times New Roman" w:cs="Times New Roman" w:eastAsia="Times New Roman" w:hint="default"/>
                <w:sz w:val="15"/>
                <w:szCs w:val="15"/>
              </w:rPr>
            </w:pPr>
            <w:r>
              <w:rPr>
                <w:rFonts w:ascii="Times New Roman"/>
                <w:sz w:val="15"/>
              </w:rPr>
              <w:t>59,999,996.00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-59,999,996.00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 w:right="0"/>
              <w:jc w:val="center"/>
              <w:rPr>
                <w:rFonts w:ascii="Times New Roman" w:hAnsi="Times New Roman" w:cs="Times New Roman" w:eastAsia="Times New Roman" w:hint="default"/>
                <w:sz w:val="15"/>
                <w:szCs w:val="15"/>
              </w:rPr>
            </w:pPr>
            <w:r>
              <w:rPr>
                <w:rFonts w:ascii="Times New Roman"/>
                <w:sz w:val="15"/>
              </w:rPr>
              <w:t>181,166,996.00</w:t>
            </w:r>
          </w:p>
        </w:tc>
        <w:tc>
          <w:tcPr>
            <w:tcW w:w="62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313,052,012.83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3" w:right="0"/>
              <w:jc w:val="left"/>
              <w:rPr>
                <w:rFonts w:ascii="Times New Roman" w:hAnsi="Times New Roman" w:cs="Times New Roman" w:eastAsia="Times New Roman" w:hint="default"/>
                <w:sz w:val="15"/>
                <w:szCs w:val="15"/>
              </w:rPr>
            </w:pPr>
            <w:r>
              <w:rPr>
                <w:rFonts w:ascii="Times New Roman"/>
                <w:sz w:val="15"/>
              </w:rPr>
              <w:t>13,597,396.78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9" w:right="0"/>
              <w:jc w:val="left"/>
              <w:rPr>
                <w:rFonts w:ascii="Times New Roman" w:hAnsi="Times New Roman" w:cs="Times New Roman" w:eastAsia="Times New Roman" w:hint="default"/>
                <w:sz w:val="15"/>
                <w:szCs w:val="15"/>
              </w:rPr>
            </w:pPr>
            <w:r>
              <w:rPr>
                <w:rFonts w:ascii="Times New Roman"/>
                <w:sz w:val="15"/>
              </w:rPr>
              <w:t>36,502,328.93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4" w:right="0"/>
              <w:jc w:val="left"/>
              <w:rPr>
                <w:rFonts w:ascii="Times New Roman" w:hAnsi="Times New Roman" w:cs="Times New Roman" w:eastAsia="Times New Roman" w:hint="default"/>
                <w:sz w:val="15"/>
                <w:szCs w:val="15"/>
              </w:rPr>
            </w:pPr>
            <w:r>
              <w:rPr>
                <w:rFonts w:ascii="Times New Roman"/>
                <w:sz w:val="15"/>
              </w:rPr>
              <w:t>272,378,658.78</w:t>
            </w:r>
          </w:p>
        </w:tc>
        <w:tc>
          <w:tcPr>
            <w:tcW w:w="79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3" w:right="0"/>
              <w:jc w:val="left"/>
              <w:rPr>
                <w:rFonts w:ascii="Times New Roman" w:hAnsi="Times New Roman" w:cs="Times New Roman" w:eastAsia="Times New Roman" w:hint="default"/>
                <w:sz w:val="15"/>
                <w:szCs w:val="15"/>
              </w:rPr>
            </w:pPr>
            <w:r>
              <w:rPr>
                <w:rFonts w:ascii="Times New Roman"/>
                <w:sz w:val="15"/>
              </w:rPr>
              <w:t>789,502,599.76</w:t>
            </w:r>
          </w:p>
        </w:tc>
      </w:tr>
    </w:tbl>
    <w:p>
      <w:pPr>
        <w:spacing w:after="0" w:line="240" w:lineRule="auto"/>
        <w:jc w:val="left"/>
        <w:rPr>
          <w:rFonts w:ascii="Times New Roman" w:hAnsi="Times New Roman" w:cs="Times New Roman" w:eastAsia="Times New Roman" w:hint="default"/>
          <w:sz w:val="15"/>
          <w:szCs w:val="15"/>
        </w:rPr>
        <w:sectPr>
          <w:pgSz w:w="16840" w:h="11910" w:orient="landscape"/>
          <w:pgMar w:header="906" w:footer="1021" w:top="1100" w:bottom="1220" w:left="920" w:right="920"/>
        </w:sectPr>
      </w:pPr>
    </w:p>
    <w:p>
      <w:pPr>
        <w:spacing w:line="240" w:lineRule="auto" w:before="3"/>
        <w:rPr>
          <w:rFonts w:ascii="Times New Roman" w:hAnsi="Times New Roman" w:cs="Times New Roman" w:eastAsia="Times New Roman" w:hint="default"/>
          <w:sz w:val="26"/>
          <w:szCs w:val="26"/>
        </w:rPr>
      </w:pPr>
      <w:r>
        <w:rPr/>
        <w:pict>
          <v:shape style="position:absolute;margin-left:535.634705pt;margin-top:806.72052pt;width:59.493346pt;height:26.794713pt;mso-position-horizontal-relative:page;mso-position-vertical-relative:page;z-index:1072" type="#_x0000_t75" stroked="false">
            <v:imagedata r:id="rId17" o:title=""/>
          </v:shape>
        </w:pict>
      </w:r>
    </w:p>
    <w:p>
      <w:pPr>
        <w:pStyle w:val="BodyText"/>
        <w:spacing w:line="316" w:lineRule="auto" w:before="44"/>
        <w:ind w:left="533" w:right="5292" w:firstLine="91"/>
        <w:jc w:val="left"/>
      </w:pPr>
      <w:bookmarkStart w:name="三、公司基本情况" w:id="164"/>
      <w:bookmarkEnd w:id="164"/>
      <w:r>
        <w:rPr/>
      </w:r>
      <w:r>
        <w:rPr>
          <w:rFonts w:ascii="宋体" w:hAnsi="宋体" w:cs="宋体" w:eastAsia="宋体" w:hint="default"/>
        </w:rPr>
        <w:t>(</w:t>
      </w:r>
      <w:r>
        <w:rPr/>
        <w:t>一</w:t>
      </w:r>
      <w:r>
        <w:rPr>
          <w:rFonts w:ascii="宋体" w:hAnsi="宋体" w:cs="宋体" w:eastAsia="宋体" w:hint="default"/>
        </w:rPr>
        <w:t>)</w:t>
      </w:r>
      <w:r>
        <w:rPr/>
        <w:t>企业注册地：北京市海淀区车道沟一号滨河大厦</w:t>
      </w:r>
      <w:r>
        <w:rPr>
          <w:rFonts w:ascii="宋体" w:hAnsi="宋体" w:cs="宋体" w:eastAsia="宋体" w:hint="default"/>
        </w:rPr>
        <w:t>D</w:t>
      </w:r>
      <w:r>
        <w:rPr/>
        <w:t>座六层。 法定代表人：林鸿</w:t>
      </w:r>
    </w:p>
    <w:p>
      <w:pPr>
        <w:pStyle w:val="BodyText"/>
        <w:spacing w:line="316" w:lineRule="auto" w:before="19"/>
        <w:ind w:right="0" w:firstLine="420"/>
        <w:jc w:val="left"/>
      </w:pPr>
      <w:r>
        <w:rPr/>
        <w:t>（二）经营范围</w:t>
      </w:r>
      <w:r>
        <w:rPr>
          <w:rFonts w:ascii="宋体" w:hAnsi="宋体" w:cs="宋体" w:eastAsia="宋体" w:hint="default"/>
        </w:rPr>
        <w:t>:</w:t>
      </w:r>
      <w:r>
        <w:rPr/>
        <w:t>技术开发、技术转让、技术咨询、技术服务；计算机技术培训；基础软件服务；应用软件服务；计算 </w:t>
      </w:r>
      <w:r>
        <w:rPr>
          <w:spacing w:val="-4"/>
        </w:rPr>
        <w:t>机系统服务；数据处理；计算机维修；销售自行开发后的产品、计算机、软件及辅助设备、电子产品、机械设备、通讯设备；</w:t>
      </w:r>
      <w:r>
        <w:rPr>
          <w:spacing w:val="-46"/>
        </w:rPr>
        <w:t> </w:t>
      </w:r>
      <w:r>
        <w:rPr>
          <w:spacing w:val="-46"/>
        </w:rPr>
      </w:r>
      <w:r>
        <w:rPr/>
        <w:t>货物进出口、技术进出口、代理进出口。</w:t>
      </w:r>
    </w:p>
    <w:p>
      <w:pPr>
        <w:pStyle w:val="BodyText"/>
        <w:spacing w:line="316" w:lineRule="auto" w:before="19"/>
        <w:ind w:right="1133" w:firstLine="420"/>
        <w:jc w:val="left"/>
      </w:pPr>
      <w:r>
        <w:rPr/>
        <w:t>主要经营活动：公司主要提供面向商业银行为主的</w:t>
      </w:r>
      <w:r>
        <w:rPr>
          <w:rFonts w:ascii="宋体" w:hAnsi="宋体" w:cs="宋体" w:eastAsia="宋体" w:hint="default"/>
        </w:rPr>
        <w:t>IT</w:t>
      </w:r>
      <w:r>
        <w:rPr/>
        <w:t>解决方案及服务，包括软件解决方案、</w:t>
      </w:r>
      <w:r>
        <w:rPr>
          <w:rFonts w:ascii="宋体" w:hAnsi="宋体" w:cs="宋体" w:eastAsia="宋体" w:hint="default"/>
        </w:rPr>
        <w:t>IT</w:t>
      </w:r>
      <w:r>
        <w:rPr/>
        <w:t>基础设施建设及</w:t>
      </w:r>
      <w:r>
        <w:rPr>
          <w:rFonts w:ascii="宋体" w:hAnsi="宋体" w:cs="宋体" w:eastAsia="宋体" w:hint="default"/>
        </w:rPr>
        <w:t>IT</w:t>
      </w:r>
      <w:r>
        <w:rPr/>
        <w:t>运维 服务。</w:t>
      </w:r>
    </w:p>
    <w:p>
      <w:pPr>
        <w:pStyle w:val="BodyText"/>
        <w:spacing w:line="240" w:lineRule="auto" w:before="19"/>
        <w:ind w:left="533" w:right="1133"/>
        <w:jc w:val="left"/>
      </w:pPr>
      <w:r>
        <w:rPr/>
        <w:t>（三）本财务报表业经本公司董事会于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23</w:t>
      </w:r>
      <w:r>
        <w:rPr/>
        <w:t>日决议批准。</w:t>
      </w:r>
    </w:p>
    <w:p>
      <w:pPr>
        <w:pStyle w:val="BodyText"/>
        <w:spacing w:line="316" w:lineRule="auto" w:before="76"/>
        <w:ind w:left="533" w:right="2053"/>
        <w:jc w:val="left"/>
      </w:pPr>
      <w:r>
        <w:rPr/>
        <w:t>（四）本年度合并财务报表范围 本年度合并报表范围含二家子公司：西藏先进数通信息技术有限公司、广州先进数通信息技术有限公司。</w:t>
      </w:r>
    </w:p>
    <w:p>
      <w:pPr>
        <w:spacing w:line="240" w:lineRule="auto" w:before="12"/>
        <w:rPr>
          <w:rFonts w:ascii="宋体" w:hAnsi="宋体" w:cs="宋体" w:eastAsia="宋体" w:hint="default"/>
          <w:sz w:val="20"/>
          <w:szCs w:val="20"/>
        </w:rPr>
      </w:pPr>
    </w:p>
    <w:p>
      <w:pPr>
        <w:pStyle w:val="Heading3"/>
        <w:spacing w:line="240" w:lineRule="auto"/>
        <w:ind w:right="1133"/>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6" w:firstLine="420"/>
        <w:jc w:val="left"/>
      </w:pPr>
      <w:r>
        <w:rPr>
          <w:spacing w:val="-1"/>
        </w:rPr>
        <w:t>本公司财务报表以持续经营为基础，根据实际发生的交易和事项，按照财政部颁布的《企业会计准则</w:t>
      </w:r>
      <w:r>
        <w:rPr>
          <w:rFonts w:ascii="宋体" w:hAnsi="宋体" w:cs="宋体" w:eastAsia="宋体" w:hint="default"/>
          <w:spacing w:val="-1"/>
        </w:rPr>
        <w:t>-</w:t>
      </w:r>
      <w:r>
        <w:rPr>
          <w:spacing w:val="-1"/>
        </w:rPr>
        <w:t>基本准则》和具</w:t>
      </w:r>
      <w:r>
        <w:rPr/>
        <w:t> </w:t>
      </w:r>
      <w:r>
        <w:rPr>
          <w:spacing w:val="-4"/>
        </w:rPr>
        <w:t>体会计准则等规定（以下合称“企业会计准则”），并基于以下所述重要会计政策、会计估计进行编制。</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1133"/>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left"/>
      </w:pPr>
      <w:r>
        <w:rPr/>
        <w:t>本公司编制的财务报表符合《企业会计准则》的要求，真实、完整地反映了本公司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日的财务状况、</w:t>
      </w:r>
      <w:r>
        <w:rPr>
          <w:rFonts w:ascii="宋体" w:hAnsi="宋体" w:cs="宋体" w:eastAsia="宋体" w:hint="default"/>
        </w:rPr>
        <w:t>2019</w:t>
      </w:r>
      <w:r>
        <w:rPr>
          <w:rFonts w:ascii="宋体" w:hAnsi="宋体" w:cs="宋体" w:eastAsia="宋体" w:hint="default"/>
          <w:spacing w:val="1"/>
        </w:rPr>
        <w:t> </w:t>
      </w:r>
      <w:r>
        <w:rPr/>
        <w:t>年度的经营成果和现金流量等相关信息。</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本公司以一年 </w:t>
      </w:r>
      <w:r>
        <w:rPr>
          <w:rFonts w:ascii="宋体" w:hAnsi="宋体" w:cs="宋体" w:eastAsia="宋体"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本公司以人民币为记账本位币。</w:t>
      </w:r>
    </w:p>
    <w:p>
      <w:pPr>
        <w:spacing w:after="0" w:line="240" w:lineRule="auto"/>
        <w:jc w:val="left"/>
        <w:sectPr>
          <w:headerReference w:type="default" r:id="rId19"/>
          <w:footerReference w:type="default" r:id="rId20"/>
          <w:pgSz w:w="11910" w:h="16840"/>
          <w:pgMar w:header="916" w:footer="1021" w:top="1700" w:bottom="1220" w:left="1020" w:right="0"/>
        </w:sectPr>
      </w:pPr>
    </w:p>
    <w:p>
      <w:pPr>
        <w:spacing w:line="240" w:lineRule="auto" w:before="1"/>
        <w:rPr>
          <w:rFonts w:ascii="宋体" w:hAnsi="宋体" w:cs="宋体" w:eastAsia="宋体" w:hint="default"/>
          <w:sz w:val="23"/>
          <w:szCs w:val="23"/>
        </w:rPr>
      </w:pPr>
    </w:p>
    <w:p>
      <w:pPr>
        <w:pStyle w:val="BodyText"/>
        <w:spacing w:line="316" w:lineRule="auto" w:before="44"/>
        <w:ind w:left="533" w:right="1133"/>
        <w:jc w:val="left"/>
      </w:pPr>
      <w:bookmarkStart w:name="5、同一控制下和非同一控制下企业合并的会计处理方法" w:id="173"/>
      <w:bookmarkEnd w:id="173"/>
      <w:r>
        <w:rPr/>
      </w:r>
      <w:r>
        <w:rPr/>
        <w:t>（</w:t>
      </w:r>
      <w:r>
        <w:rPr>
          <w:rFonts w:ascii="宋体" w:hAnsi="宋体" w:cs="宋体" w:eastAsia="宋体" w:hint="default"/>
        </w:rPr>
        <w:t>1</w:t>
      </w:r>
      <w:r>
        <w:rPr/>
        <w:t>）同一控制下的企业合并 同一控制下企业合并形成的长期股权投资合并方以支付现金、转让非现金资产或承担债务方式作为合并对价的，本公</w:t>
      </w:r>
    </w:p>
    <w:p>
      <w:pPr>
        <w:pStyle w:val="BodyText"/>
        <w:spacing w:line="316" w:lineRule="auto" w:before="19"/>
        <w:ind w:right="1133"/>
        <w:jc w:val="both"/>
      </w:pPr>
      <w:r>
        <w:rPr>
          <w:spacing w:val="-2"/>
        </w:rPr>
        <w:t>司在合并日按照被合并方所有者权益在最终控制方合并财务报表中的账面价值的份额作为长期股权投资的初始投资成本。合</w:t>
      </w:r>
      <w:r>
        <w:rPr>
          <w:spacing w:val="-64"/>
        </w:rPr>
        <w:t> </w:t>
      </w:r>
      <w:r>
        <w:rPr>
          <w:spacing w:val="-64"/>
        </w:rPr>
      </w:r>
      <w:r>
        <w:rPr>
          <w:spacing w:val="-2"/>
        </w:rPr>
        <w:t>并方以发行权益性工具作为合并对价的，按发行股份的面值总额作为股本。长期股权投资的初始投资成本与合并对价账面价</w:t>
      </w:r>
      <w:r>
        <w:rPr>
          <w:spacing w:val="-64"/>
        </w:rPr>
        <w:t> </w:t>
      </w:r>
      <w:r>
        <w:rPr>
          <w:spacing w:val="-64"/>
        </w:rPr>
      </w:r>
      <w:r>
        <w:rPr/>
        <w:t>值（或发行股份面值总额）的差额，应当调整资本公积；资本公积不足冲减的，调整留存收益。</w:t>
      </w:r>
    </w:p>
    <w:p>
      <w:pPr>
        <w:pStyle w:val="BodyText"/>
        <w:spacing w:line="316" w:lineRule="auto" w:before="19"/>
        <w:ind w:left="533" w:right="1133" w:firstLine="91"/>
        <w:jc w:val="left"/>
      </w:pPr>
      <w:r>
        <w:rPr/>
        <w:t>（</w:t>
      </w:r>
      <w:r>
        <w:rPr>
          <w:rFonts w:ascii="宋体" w:hAnsi="宋体" w:cs="宋体" w:eastAsia="宋体" w:hint="default"/>
        </w:rPr>
        <w:t>2</w:t>
      </w:r>
      <w:r>
        <w:rPr/>
        <w:t>）非同一控制下的企业合并 对于非同一控制下的企业合并，合并成本为购买方在购买日为取得对被购买方的控制权而付出的资产、发生或承担的</w:t>
      </w:r>
    </w:p>
    <w:p>
      <w:pPr>
        <w:pStyle w:val="BodyText"/>
        <w:spacing w:line="319" w:lineRule="auto" w:before="19"/>
        <w:ind w:right="1034"/>
        <w:jc w:val="left"/>
      </w:pPr>
      <w:r>
        <w:rPr>
          <w:spacing w:val="-2"/>
        </w:rPr>
        <w:t>负债以及发行的权益性证券的公允价值之和。非同一控制下企业合并中所取得的被购买方符合确认条件的可辨认资产、负债</w:t>
      </w:r>
      <w:r>
        <w:rPr>
          <w:spacing w:val="-64"/>
        </w:rPr>
        <w:t> </w:t>
      </w:r>
      <w:r>
        <w:rPr>
          <w:spacing w:val="-64"/>
        </w:rPr>
      </w:r>
      <w:r>
        <w:rPr/>
        <w:t>及或有负债，在购买日以公允价值计量。购买方对合并成本大于合并中取得的被购买方可辨认净资产公允价值份额的差额， </w:t>
      </w:r>
      <w:r>
        <w:rPr>
          <w:spacing w:val="-2"/>
        </w:rPr>
        <w:t>体现为商誉价值。购买方对合并成本小于合并中取得的被购买方可辨认净资产公允价值份额的，经复核后合并成本仍小于合</w:t>
      </w:r>
      <w:r>
        <w:rPr>
          <w:spacing w:val="-64"/>
        </w:rPr>
        <w:t> </w:t>
      </w:r>
      <w:r>
        <w:rPr>
          <w:spacing w:val="-64"/>
        </w:rPr>
      </w:r>
      <w:r>
        <w:rPr/>
        <w:t>并中取得的被购买方可辨认净资产公允价值份额的差额，计入当期营业外收入。</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）合并财务报表范围 本公司将全部子公司（包括本公司所控制的单独主体）纳入合并财务报表范围，包括被本公司控制的企业、被投资单</w:t>
      </w:r>
    </w:p>
    <w:p>
      <w:pPr>
        <w:pStyle w:val="BodyText"/>
        <w:spacing w:line="240" w:lineRule="auto" w:before="19"/>
        <w:ind w:right="0"/>
        <w:jc w:val="both"/>
      </w:pPr>
      <w:r>
        <w:rPr/>
        <w:t>位中可分割的部分以及结构化主体。</w:t>
      </w:r>
    </w:p>
    <w:p>
      <w:pPr>
        <w:pStyle w:val="BodyText"/>
        <w:spacing w:line="316" w:lineRule="auto" w:before="76"/>
        <w:ind w:left="533" w:right="1133"/>
        <w:jc w:val="left"/>
      </w:pPr>
      <w:r>
        <w:rPr/>
        <w:t>（</w:t>
      </w:r>
      <w:r>
        <w:rPr>
          <w:rFonts w:ascii="宋体" w:hAnsi="宋体" w:cs="宋体" w:eastAsia="宋体" w:hint="default"/>
        </w:rPr>
        <w:t>2</w:t>
      </w:r>
      <w:r>
        <w:rPr/>
        <w:t>）统一母子公司的会计政策、统一母子公司的资产负债表日及会计期间 子公司与本公司采用的会计政策或会计期间不一致的，在编制合并财务报表时，按照本公司的会计政策或会计期间对</w:t>
      </w:r>
    </w:p>
    <w:p>
      <w:pPr>
        <w:pStyle w:val="BodyText"/>
        <w:spacing w:line="240" w:lineRule="auto" w:before="19"/>
        <w:ind w:right="0"/>
        <w:jc w:val="both"/>
      </w:pPr>
      <w:r>
        <w:rPr/>
        <w:t>子公司财务报表进行必要的调整。</w:t>
      </w:r>
    </w:p>
    <w:p>
      <w:pPr>
        <w:pStyle w:val="BodyText"/>
        <w:spacing w:line="316" w:lineRule="auto" w:before="76"/>
        <w:ind w:left="533" w:right="1133"/>
        <w:jc w:val="left"/>
      </w:pPr>
      <w:r>
        <w:rPr/>
        <w:t>（</w:t>
      </w:r>
      <w:r>
        <w:rPr>
          <w:rFonts w:ascii="宋体" w:hAnsi="宋体" w:cs="宋体" w:eastAsia="宋体" w:hint="default"/>
        </w:rPr>
        <w:t>3</w:t>
      </w:r>
      <w:r>
        <w:rPr/>
        <w:t>）合并财务报表抵销事项 合并财务报表以本公司和子公司的财务报表为基础，已抵销了本公司与子公司、子公司相互之间发生的内部交易。子</w:t>
      </w:r>
    </w:p>
    <w:p>
      <w:pPr>
        <w:pStyle w:val="BodyText"/>
        <w:spacing w:line="316" w:lineRule="auto" w:before="19"/>
        <w:ind w:right="1128"/>
        <w:jc w:val="both"/>
      </w:pPr>
      <w:r>
        <w:rPr>
          <w:spacing w:val="-2"/>
        </w:rPr>
        <w:t>公司所有者权益中不属于本公司的份额，作为少数股东权益，在合并资产负债表中股东权益项目下以“少数股东权益”项目</w:t>
      </w:r>
      <w:r>
        <w:rPr>
          <w:spacing w:val="-62"/>
        </w:rPr>
        <w:t> </w:t>
      </w:r>
      <w:r>
        <w:rPr>
          <w:spacing w:val="-62"/>
        </w:rPr>
      </w:r>
      <w:r>
        <w:rPr>
          <w:spacing w:val="-2"/>
        </w:rPr>
        <w:t>列示。子公司持有本公司的长期股权投资，视为本公司的库存股，作为股东权益的减项，在合并资产负债表中股东权益项目</w:t>
      </w:r>
      <w:r>
        <w:rPr>
          <w:spacing w:val="-64"/>
        </w:rPr>
        <w:t> </w:t>
      </w:r>
      <w:r>
        <w:rPr>
          <w:spacing w:val="-64"/>
        </w:rPr>
      </w:r>
      <w:r>
        <w:rPr/>
        <w:t>下以“减：库存股”项目列示。</w:t>
      </w:r>
    </w:p>
    <w:p>
      <w:pPr>
        <w:pStyle w:val="BodyText"/>
        <w:spacing w:line="316" w:lineRule="auto" w:before="19"/>
        <w:ind w:left="533" w:right="1133"/>
        <w:jc w:val="left"/>
      </w:pPr>
      <w:r>
        <w:rPr/>
        <w:t>（</w:t>
      </w:r>
      <w:r>
        <w:rPr>
          <w:rFonts w:ascii="宋体" w:hAnsi="宋体" w:cs="宋体" w:eastAsia="宋体" w:hint="default"/>
        </w:rPr>
        <w:t>4</w:t>
      </w:r>
      <w:r>
        <w:rPr/>
        <w:t>）合并取得子公司会计处理 对于同一控制下企业合并取得的子公司，视同该企业合并于自最终控制方开始实施控制时已经发生，从合并当期的期</w:t>
      </w:r>
    </w:p>
    <w:p>
      <w:pPr>
        <w:pStyle w:val="BodyText"/>
        <w:spacing w:line="316" w:lineRule="auto" w:before="19"/>
        <w:ind w:right="1129"/>
        <w:jc w:val="left"/>
      </w:pPr>
      <w:r>
        <w:rPr>
          <w:spacing w:val="-2"/>
        </w:rPr>
        <w:t>初起将其资产、负债、经营成果和现金流量纳入合并财务报表；对于非同一控制下企业合并取得的子公司，在编制合并财务</w:t>
      </w:r>
      <w:r>
        <w:rPr>
          <w:spacing w:val="-64"/>
        </w:rPr>
        <w:t> </w:t>
      </w:r>
      <w:r>
        <w:rPr>
          <w:spacing w:val="-64"/>
        </w:rPr>
      </w:r>
      <w:r>
        <w:rPr/>
        <w:t>报表时，以购买日可辨认净资产公允价值为基础对其个别财务报表进行调整。</w:t>
      </w:r>
    </w:p>
    <w:p>
      <w:pPr>
        <w:pStyle w:val="BodyText"/>
        <w:spacing w:line="316" w:lineRule="auto" w:before="19"/>
        <w:ind w:left="533" w:right="1133"/>
        <w:jc w:val="left"/>
      </w:pPr>
      <w:r>
        <w:rPr/>
        <w:t>（</w:t>
      </w:r>
      <w:r>
        <w:rPr>
          <w:rFonts w:ascii="宋体" w:hAnsi="宋体" w:cs="宋体" w:eastAsia="宋体" w:hint="default"/>
        </w:rPr>
        <w:t>5</w:t>
      </w:r>
      <w:r>
        <w:rPr/>
        <w:t>）处置子公司的会计处理 在不丧失控制权的情况下部分处置对子公司的长期股权投资，在合并财务报表中，处置价款与处置长期股权投资相对</w:t>
      </w:r>
    </w:p>
    <w:p>
      <w:pPr>
        <w:pStyle w:val="BodyText"/>
        <w:spacing w:line="316" w:lineRule="auto" w:before="19"/>
        <w:ind w:right="1129"/>
        <w:jc w:val="left"/>
      </w:pPr>
      <w:r>
        <w:rPr>
          <w:spacing w:val="-2"/>
        </w:rPr>
        <w:t>应享有子公司自购买日或合并日开始持续计算的净资产份额之间的差额，调整资本公积（资本溢价或股本溢价），资本公积</w:t>
      </w:r>
      <w:r>
        <w:rPr>
          <w:spacing w:val="-65"/>
        </w:rPr>
        <w:t> </w:t>
      </w:r>
      <w:r>
        <w:rPr>
          <w:spacing w:val="-65"/>
        </w:rPr>
      </w:r>
      <w:r>
        <w:rPr/>
        <w:t>不足冲减的，调整留存收益。</w:t>
      </w:r>
    </w:p>
    <w:p>
      <w:pPr>
        <w:pStyle w:val="BodyText"/>
        <w:spacing w:line="316" w:lineRule="auto" w:before="19"/>
        <w:ind w:right="1132" w:firstLine="420"/>
        <w:jc w:val="both"/>
      </w:pPr>
      <w:r>
        <w:rPr/>
        <w:t>因处置部分股权投资等原因丧失了对被投资方的控制权的，在编制合并财务报表时，对于剩余股权，按照其在丧失控 </w:t>
      </w:r>
      <w:r>
        <w:rPr>
          <w:spacing w:val="-2"/>
        </w:rPr>
        <w:t>制权日的公允价值进行重新计量。处置股权取得的对价与剩余股权公允价值之和，减去按原持股比例计算应享有原有子公司</w:t>
      </w:r>
      <w:r>
        <w:rPr>
          <w:spacing w:val="-64"/>
        </w:rPr>
        <w:t> </w:t>
      </w:r>
      <w:r>
        <w:rPr>
          <w:spacing w:val="-64"/>
        </w:rPr>
      </w:r>
      <w:r>
        <w:rPr>
          <w:spacing w:val="-2"/>
        </w:rPr>
        <w:t>自购买日或合并日开始持续计算的净资产的份额之间的差额，计入丧失控制权当期的投资收益，同时冲减商誉。与原有子公</w:t>
      </w:r>
      <w:r>
        <w:rPr>
          <w:spacing w:val="-66"/>
        </w:rPr>
        <w:t> </w:t>
      </w:r>
      <w:r>
        <w:rPr>
          <w:spacing w:val="-66"/>
        </w:rPr>
      </w:r>
      <w:r>
        <w:rPr/>
        <w:t>司股权投资相关的其他综合收益等，在丧失控制权时转为当期投资收益。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）合营安排的分类 合营安排分为共同经营和合营企业。未通过单独主体达成的合营安排，划分为共同经营。单独主体，是指具有单独可</w:t>
      </w:r>
    </w:p>
    <w:p>
      <w:pPr>
        <w:pStyle w:val="BodyText"/>
        <w:spacing w:line="240" w:lineRule="auto" w:before="19"/>
        <w:ind w:right="0"/>
        <w:jc w:val="both"/>
      </w:pPr>
      <w:r>
        <w:rPr/>
        <w:t>辨认的财务架构的主体，包括单独的法人主体和不具备法人主体资格但法律认可的主体。通过单独主体达成的合营安排，通</w:t>
      </w:r>
    </w:p>
    <w:p>
      <w:pPr>
        <w:spacing w:after="0" w:line="240" w:lineRule="auto"/>
        <w:jc w:val="both"/>
        <w:sectPr>
          <w:headerReference w:type="default" r:id="rId21"/>
          <w:footerReference w:type="default" r:id="rId22"/>
          <w:pgSz w:w="11910" w:h="16840"/>
          <w:pgMar w:header="916" w:footer="1021" w:top="1700" w:bottom="1220" w:left="1020" w:right="0"/>
          <w:pgNumType w:start="90"/>
        </w:sectPr>
      </w:pPr>
    </w:p>
    <w:p>
      <w:pPr>
        <w:spacing w:line="240" w:lineRule="auto" w:before="10"/>
        <w:rPr>
          <w:rFonts w:ascii="宋体" w:hAnsi="宋体" w:cs="宋体" w:eastAsia="宋体" w:hint="default"/>
          <w:sz w:val="22"/>
          <w:szCs w:val="22"/>
        </w:rPr>
      </w:pPr>
    </w:p>
    <w:p>
      <w:pPr>
        <w:pStyle w:val="BodyText"/>
        <w:spacing w:line="319" w:lineRule="auto" w:before="44"/>
        <w:ind w:right="1129"/>
        <w:jc w:val="left"/>
      </w:pPr>
      <w:r>
        <w:rPr>
          <w:spacing w:val="-2"/>
        </w:rPr>
        <w:t>常划分为合营企业。相关事实和情况变化导致合营方在合营安排中享有的权利和承担的义务发生变化的，合营方对合营安排</w:t>
      </w:r>
      <w:r>
        <w:rPr>
          <w:spacing w:val="-62"/>
        </w:rPr>
        <w:t> </w:t>
      </w:r>
      <w:r>
        <w:rPr>
          <w:spacing w:val="-62"/>
        </w:rPr>
      </w:r>
      <w:r>
        <w:rPr/>
        <w:t>的分类进行重新评估。</w:t>
      </w:r>
    </w:p>
    <w:p>
      <w:pPr>
        <w:pStyle w:val="BodyText"/>
        <w:spacing w:line="316" w:lineRule="auto" w:before="17"/>
        <w:ind w:left="533" w:right="1133"/>
        <w:jc w:val="left"/>
      </w:pPr>
      <w:r>
        <w:rPr/>
        <w:t>（</w:t>
      </w:r>
      <w:r>
        <w:rPr>
          <w:rFonts w:ascii="宋体" w:hAnsi="宋体" w:cs="宋体" w:eastAsia="宋体" w:hint="default"/>
        </w:rPr>
        <w:t>2</w:t>
      </w:r>
      <w:r>
        <w:rPr/>
        <w:t>）共同经营的会计处理 本公司为共同经营参与方，确认与共同经营中利益份额相关的下列项目，并按照相关企业会计准则的规定进行会计处</w:t>
      </w:r>
    </w:p>
    <w:p>
      <w:pPr>
        <w:pStyle w:val="BodyText"/>
        <w:spacing w:line="316" w:lineRule="auto" w:before="19"/>
        <w:ind w:right="1129"/>
        <w:jc w:val="left"/>
      </w:pPr>
      <w:r>
        <w:rPr>
          <w:spacing w:val="-2"/>
        </w:rPr>
        <w:t>理：确认单独所持有的资产或负债，以及按份额确认共同持有的资产或负债；确认出售享有的共同经营产出份额所产生的收</w:t>
      </w:r>
      <w:r>
        <w:rPr>
          <w:spacing w:val="-63"/>
        </w:rPr>
        <w:t> </w:t>
      </w:r>
      <w:r>
        <w:rPr>
          <w:spacing w:val="-63"/>
        </w:rPr>
      </w:r>
      <w:r>
        <w:rPr/>
        <w:t>入；按份额确认共同经营因出售产出所产生的收入；确认单独所发生的费用，以及按份额确认共同经营发生的费用。</w:t>
      </w:r>
    </w:p>
    <w:p>
      <w:pPr>
        <w:pStyle w:val="BodyText"/>
        <w:spacing w:line="316" w:lineRule="auto" w:before="19"/>
        <w:ind w:right="1138" w:firstLine="420"/>
        <w:jc w:val="both"/>
      </w:pPr>
      <w:r>
        <w:rPr/>
        <w:t>本公司为对共同经营不享有共同控制的参与方，如果享有该共同经营相关资产且承担该共同经营相关负债，则参照共 同经营参与方的规定进行会计处理；否则，按照相关企业会计准则的规定进行会计处理。</w:t>
      </w:r>
    </w:p>
    <w:p>
      <w:pPr>
        <w:pStyle w:val="BodyText"/>
        <w:spacing w:line="316" w:lineRule="auto" w:before="19"/>
        <w:ind w:left="533" w:right="1133"/>
        <w:jc w:val="left"/>
      </w:pPr>
      <w:r>
        <w:rPr/>
        <w:t>（</w:t>
      </w:r>
      <w:r>
        <w:rPr>
          <w:rFonts w:ascii="宋体" w:hAnsi="宋体" w:cs="宋体" w:eastAsia="宋体" w:hint="default"/>
        </w:rPr>
        <w:t>3</w:t>
      </w:r>
      <w:r>
        <w:rPr/>
        <w:t>）合营企业的会计处理 </w:t>
      </w:r>
      <w:r>
        <w:rPr>
          <w:spacing w:val="-2"/>
        </w:rPr>
        <w:t>本公司为合营企业合营方，按照《企业会计准则第</w:t>
      </w:r>
      <w:r>
        <w:rPr>
          <w:rFonts w:ascii="宋体" w:hAnsi="宋体" w:cs="宋体" w:eastAsia="宋体" w:hint="default"/>
          <w:spacing w:val="-2"/>
        </w:rPr>
        <w:t>2</w:t>
      </w:r>
      <w:r>
        <w:rPr>
          <w:spacing w:val="-2"/>
        </w:rPr>
        <w:t>号——长期股权投资》的规定对合营企业的投资进行会计处理；本</w:t>
      </w:r>
    </w:p>
    <w:p>
      <w:pPr>
        <w:pStyle w:val="BodyText"/>
        <w:spacing w:line="240" w:lineRule="auto" w:before="19"/>
        <w:ind w:right="1133"/>
        <w:jc w:val="left"/>
      </w:pPr>
      <w:r>
        <w:rPr/>
        <w:t>公司为非合营方，根据对该合营企业的影响程度进行会计处理。</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8" w:firstLine="420"/>
        <w:jc w:val="both"/>
      </w:pPr>
      <w:r>
        <w:rPr/>
        <w:t>本公司在编制现金流量表时所确定的现金，是指本公司库存现金以及可以随时用于支付的存款。在编制现金流量表时 所确定的现金等价物，是指持有的期限短、流动性强、易于转换为已知金额现金、价值变动风险很小的投资。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）外币业务折算 本公司对发生的外币交易，采用与交易发生日即期汇率折合本位币入账。资产负债表日外币货币性项目按资产负债表</w:t>
      </w:r>
    </w:p>
    <w:p>
      <w:pPr>
        <w:pStyle w:val="BodyText"/>
        <w:spacing w:line="319" w:lineRule="auto" w:before="19"/>
        <w:ind w:right="0"/>
        <w:jc w:val="left"/>
      </w:pPr>
      <w:r>
        <w:rPr>
          <w:spacing w:val="-2"/>
        </w:rPr>
        <w:t>日即期汇率折算，因该日的即期汇率与初始确认时或者前一资产负债表日即期汇率不同而产生的汇兑差额，除符合资本化条</w:t>
      </w:r>
      <w:r>
        <w:rPr>
          <w:spacing w:val="-64"/>
        </w:rPr>
        <w:t> </w:t>
      </w:r>
      <w:r>
        <w:rPr>
          <w:spacing w:val="-64"/>
        </w:rPr>
      </w:r>
      <w:r>
        <w:rPr>
          <w:spacing w:val="-2"/>
        </w:rPr>
        <w:t>件的外币专门借款的汇兑差额在资本化期间予以资本化计入相关资产的成本外，均计入当期损益。以历史成本计量的外币非</w:t>
      </w:r>
      <w:r>
        <w:rPr>
          <w:spacing w:val="-64"/>
        </w:rPr>
        <w:t> </w:t>
      </w:r>
      <w:r>
        <w:rPr>
          <w:spacing w:val="-64"/>
        </w:rPr>
      </w:r>
      <w:r>
        <w:rPr>
          <w:spacing w:val="-2"/>
        </w:rPr>
        <w:t>货币性项目，仍采用交易发生日的即期汇率折算，不改变其记账本位币金额。以公允价值计量的外币非货币性项目，采用公</w:t>
      </w:r>
      <w:r>
        <w:rPr>
          <w:spacing w:val="-65"/>
        </w:rPr>
        <w:t> </w:t>
      </w:r>
      <w:r>
        <w:rPr>
          <w:spacing w:val="-65"/>
        </w:rPr>
      </w:r>
      <w:r>
        <w:rPr>
          <w:spacing w:val="-4"/>
        </w:rPr>
        <w:t>允价值确定日的即期汇率折算，折算后的记账本位币金额与原记账本位币金额的差额，作为公允价值变动</w:t>
      </w:r>
      <w:r>
        <w:rPr>
          <w:rFonts w:ascii="宋体" w:hAnsi="宋体" w:cs="宋体" w:eastAsia="宋体" w:hint="default"/>
          <w:spacing w:val="-4"/>
        </w:rPr>
        <w:t>(</w:t>
      </w:r>
      <w:r>
        <w:rPr>
          <w:spacing w:val="-4"/>
        </w:rPr>
        <w:t>含汇率变动</w:t>
      </w:r>
      <w:r>
        <w:rPr>
          <w:rFonts w:ascii="宋体" w:hAnsi="宋体" w:cs="宋体" w:eastAsia="宋体" w:hint="default"/>
          <w:spacing w:val="-4"/>
        </w:rPr>
        <w:t>)</w:t>
      </w:r>
      <w:r>
        <w:rPr>
          <w:spacing w:val="-4"/>
        </w:rPr>
        <w:t>处理，</w:t>
      </w:r>
      <w:r>
        <w:rPr>
          <w:spacing w:val="-37"/>
        </w:rPr>
        <w:t> </w:t>
      </w:r>
      <w:r>
        <w:rPr/>
        <w:t>计入当期损益或确认为其他综合收益。</w:t>
      </w:r>
    </w:p>
    <w:p>
      <w:pPr>
        <w:pStyle w:val="BodyText"/>
        <w:spacing w:line="316" w:lineRule="auto" w:before="17"/>
        <w:ind w:left="533" w:right="1133"/>
        <w:jc w:val="left"/>
      </w:pPr>
      <w:r>
        <w:rPr/>
        <w:t>（</w:t>
      </w:r>
      <w:r>
        <w:rPr>
          <w:rFonts w:ascii="宋体" w:hAnsi="宋体" w:cs="宋体" w:eastAsia="宋体" w:hint="default"/>
        </w:rPr>
        <w:t>2</w:t>
      </w:r>
      <w:r>
        <w:rPr/>
        <w:t>）外币财务报表折算 本公司的子公司、合营企业、联营企业等，若采用与本公司不同的记账本位币，需对其外币财务报表折算后，再进行</w:t>
      </w:r>
    </w:p>
    <w:p>
      <w:pPr>
        <w:pStyle w:val="BodyText"/>
        <w:spacing w:line="316" w:lineRule="auto" w:before="19"/>
        <w:ind w:right="1128"/>
        <w:jc w:val="both"/>
      </w:pPr>
      <w:r>
        <w:rPr>
          <w:spacing w:val="-2"/>
        </w:rPr>
        <w:t>会计核算及合并财务报表的编报。资产负债表中的资产和负债项目，采用资产负债表日的即期汇率折算，所有者权益项目除</w:t>
      </w:r>
      <w:r>
        <w:rPr>
          <w:spacing w:val="-63"/>
        </w:rPr>
        <w:t> </w:t>
      </w:r>
      <w:r>
        <w:rPr>
          <w:spacing w:val="-63"/>
        </w:rPr>
      </w:r>
      <w:r>
        <w:rPr>
          <w:spacing w:val="-2"/>
        </w:rPr>
        <w:t>“未分配利润”项目外，其他项目采用发生时的即期汇率折算。利润表中的收入和费用项目，采用交易发生日的即期汇率折</w:t>
      </w:r>
      <w:r>
        <w:rPr>
          <w:spacing w:val="-65"/>
        </w:rPr>
        <w:t> </w:t>
      </w:r>
      <w:r>
        <w:rPr>
          <w:spacing w:val="-65"/>
        </w:rPr>
      </w:r>
      <w:r>
        <w:rPr>
          <w:spacing w:val="-2"/>
        </w:rPr>
        <w:t>算。折算产生的外币财务报表折算差额，在资产负债表中所有者权益项目其他综合收益下列示。外币现金流量应当采用现金</w:t>
      </w:r>
      <w:r>
        <w:rPr>
          <w:spacing w:val="-61"/>
        </w:rPr>
        <w:t> </w:t>
      </w:r>
      <w:r>
        <w:rPr>
          <w:spacing w:val="-61"/>
        </w:rPr>
      </w:r>
      <w:r>
        <w:rPr>
          <w:spacing w:val="-2"/>
        </w:rPr>
        <w:t>流量发生日的即期汇率。汇率变动对现金的影响额，在现金流量表中单独列示。处置境外经营时，与该境外经营有关的外币</w:t>
      </w:r>
      <w:r>
        <w:rPr>
          <w:spacing w:val="-65"/>
        </w:rPr>
        <w:t> </w:t>
      </w:r>
      <w:r>
        <w:rPr>
          <w:spacing w:val="-65"/>
        </w:rPr>
      </w:r>
      <w:r>
        <w:rPr/>
        <w:t>报表折算差额，全部或按处置该境外经营的比例转入处置当期损益。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33" w:right="3853"/>
        <w:jc w:val="left"/>
      </w:pPr>
      <w:r>
        <w:rPr>
          <w:rFonts w:ascii="宋体" w:hAnsi="宋体" w:cs="宋体" w:eastAsia="宋体" w:hint="default"/>
        </w:rPr>
        <w:t>(</w:t>
      </w:r>
      <w:r>
        <w:rPr/>
        <w:t>一）金融工具的分类及重分类 金融工具，是指形成一方的金融资产并形成其他方的金融负债或权益工具的合同。</w:t>
      </w:r>
    </w:p>
    <w:p>
      <w:pPr>
        <w:pStyle w:val="BodyText"/>
        <w:spacing w:line="316" w:lineRule="auto" w:before="19"/>
        <w:ind w:left="533" w:right="1133"/>
        <w:jc w:val="left"/>
      </w:pPr>
      <w:r>
        <w:rPr/>
        <w:t>（</w:t>
      </w:r>
      <w:r>
        <w:rPr>
          <w:rFonts w:ascii="宋体" w:hAnsi="宋体" w:cs="宋体" w:eastAsia="宋体" w:hint="default"/>
        </w:rPr>
        <w:t>1</w:t>
      </w:r>
      <w:r>
        <w:rPr/>
        <w:t>）金融资产 本公司将同时符合下列条件的金融资产分类为以摊余成本计量的金融资产：①本公司管理金融资产的业务模式是以收</w:t>
      </w:r>
    </w:p>
    <w:p>
      <w:pPr>
        <w:pStyle w:val="BodyText"/>
        <w:spacing w:line="316" w:lineRule="auto" w:before="19"/>
        <w:ind w:right="1129"/>
        <w:jc w:val="left"/>
      </w:pPr>
      <w:r>
        <w:rPr>
          <w:spacing w:val="-2"/>
        </w:rPr>
        <w:t>取合同现金流量为目标；②该金融资产的合同条款规定，在特定日期产生的现金流量仅为对本金和以未偿付本金金额为基础</w:t>
      </w:r>
      <w:r>
        <w:rPr>
          <w:spacing w:val="-63"/>
        </w:rPr>
        <w:t> </w:t>
      </w:r>
      <w:r>
        <w:rPr>
          <w:spacing w:val="-63"/>
        </w:rPr>
      </w:r>
      <w:r>
        <w:rPr/>
        <w:t>的利息的支付。</w:t>
      </w:r>
    </w:p>
    <w:p>
      <w:pPr>
        <w:pStyle w:val="BodyText"/>
        <w:spacing w:line="316" w:lineRule="auto" w:before="19"/>
        <w:ind w:right="1131" w:firstLine="420"/>
        <w:jc w:val="both"/>
      </w:pPr>
      <w:r>
        <w:rPr/>
        <w:t>本公司将同时符合下列条件的金融资产分类为以公允价值计量且其变动计入其他综合收益的金融资产：①本公司管理 </w:t>
      </w:r>
      <w:r>
        <w:rPr>
          <w:spacing w:val="-2"/>
        </w:rPr>
        <w:t>金融资产的业务模式既以收取合同现金流量又以出售该金融资产为目标；②该金融资产的合同条款规定，在特定日期产生的</w:t>
      </w:r>
      <w:r>
        <w:rPr>
          <w:spacing w:val="-63"/>
        </w:rPr>
        <w:t> </w:t>
      </w:r>
      <w:r>
        <w:rPr>
          <w:spacing w:val="-63"/>
        </w:rPr>
      </w:r>
      <w:r>
        <w:rPr/>
        <w:t>现金流量，仅为对本金和以未偿付本金金额为基础的利息的支付。</w:t>
      </w:r>
    </w:p>
    <w:p>
      <w:pPr>
        <w:spacing w:after="0" w:line="316" w:lineRule="auto"/>
        <w:jc w:val="both"/>
        <w:sectPr>
          <w:headerReference w:type="default" r:id="rId23"/>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8" w:firstLine="420"/>
        <w:jc w:val="both"/>
      </w:pPr>
      <w:r>
        <w:rPr/>
        <w:t>对于非交易性权益工具投资，本公司可在初始确认时将其不可撤销地指定为以公允价值计量且其变动计入其他综合收 益的金融资产。该指定在单项投资的基础上作出，且相关投资从发行者的角度符合权益工具的定义。</w:t>
      </w:r>
    </w:p>
    <w:p>
      <w:pPr>
        <w:pStyle w:val="BodyText"/>
        <w:spacing w:line="316" w:lineRule="auto" w:before="17"/>
        <w:ind w:right="1133" w:firstLine="420"/>
        <w:jc w:val="both"/>
      </w:pPr>
      <w:r>
        <w:rPr/>
        <w:t>除分类为以摊余成本计量的金融资产和以公允价值计量且其变动计入其他综合收益的金融资产之外的金融资产，本公 </w:t>
      </w:r>
      <w:r>
        <w:rPr>
          <w:spacing w:val="-2"/>
        </w:rPr>
        <w:t>司将其分类为以公允价值计量且其变动计入当期损益的金融资产。在初始确认时，如果能消除或减少会计错配，本公司可以</w:t>
      </w:r>
      <w:r>
        <w:rPr>
          <w:spacing w:val="-66"/>
        </w:rPr>
        <w:t> </w:t>
      </w:r>
      <w:r>
        <w:rPr>
          <w:spacing w:val="-66"/>
        </w:rPr>
      </w:r>
      <w:r>
        <w:rPr/>
        <w:t>将金融资产不可撤销地指定为以公允价值计量且其变动计入当期损益的金融资产。</w:t>
      </w:r>
    </w:p>
    <w:p>
      <w:pPr>
        <w:pStyle w:val="BodyText"/>
        <w:spacing w:line="316" w:lineRule="auto" w:before="19"/>
        <w:ind w:right="1131" w:firstLine="420"/>
        <w:jc w:val="both"/>
      </w:pPr>
      <w:r>
        <w:rPr/>
        <w:t>本公司改变管理金融资产的业务模式时，将对所有受影响的相关金融资产在业务模式发生变更后的首个报告期间的第 </w:t>
      </w:r>
      <w:r>
        <w:rPr>
          <w:spacing w:val="-2"/>
        </w:rPr>
        <w:t>一天进行重分类，且自重分类日起采用未来适用法进行相关会计处理，不对以前已经确认的利得、损失（包括减值损失或利</w:t>
      </w:r>
      <w:r>
        <w:rPr>
          <w:spacing w:val="-64"/>
        </w:rPr>
        <w:t> </w:t>
      </w:r>
      <w:r>
        <w:rPr>
          <w:spacing w:val="-64"/>
        </w:rPr>
      </w:r>
      <w:r>
        <w:rPr/>
        <w:t>得）或利息进行追溯调整。</w:t>
      </w:r>
    </w:p>
    <w:p>
      <w:pPr>
        <w:pStyle w:val="BodyText"/>
        <w:spacing w:line="316" w:lineRule="auto" w:before="19"/>
        <w:ind w:left="533" w:right="5473"/>
        <w:jc w:val="left"/>
      </w:pPr>
      <w:r>
        <w:rPr/>
        <w:t>（</w:t>
      </w:r>
      <w:r>
        <w:rPr>
          <w:rFonts w:ascii="宋体" w:hAnsi="宋体" w:cs="宋体" w:eastAsia="宋体" w:hint="default"/>
        </w:rPr>
        <w:t>2</w:t>
      </w:r>
      <w:r>
        <w:rPr/>
        <w:t>）金融负债 以摊余成本计量的金融负债。所有的金融负债不进行重分类。</w:t>
      </w:r>
    </w:p>
    <w:p>
      <w:pPr>
        <w:pStyle w:val="BodyText"/>
        <w:spacing w:line="316" w:lineRule="auto" w:before="19"/>
        <w:ind w:left="533" w:right="1133"/>
        <w:jc w:val="left"/>
      </w:pPr>
      <w:r>
        <w:rPr/>
        <w:t>（二）金融工具的计量 本公司金融工具初始确认按照公允价值计量。对于以公允价值计量且其变动计入当期损益的金融资产和金融负债，相</w:t>
      </w:r>
    </w:p>
    <w:p>
      <w:pPr>
        <w:pStyle w:val="BodyText"/>
        <w:spacing w:line="316" w:lineRule="auto" w:before="19"/>
        <w:ind w:right="1130"/>
        <w:jc w:val="both"/>
      </w:pPr>
      <w:r>
        <w:rPr>
          <w:spacing w:val="-2"/>
        </w:rPr>
        <w:t>关交易费用直接计入当期损益；对于其他类别的金融资产或金融负债，相关交易费用计入初始确认金额。因销售产品或提供</w:t>
      </w:r>
      <w:r>
        <w:rPr>
          <w:spacing w:val="-63"/>
        </w:rPr>
        <w:t> </w:t>
      </w:r>
      <w:r>
        <w:rPr>
          <w:spacing w:val="-63"/>
        </w:rPr>
      </w:r>
      <w:r>
        <w:rPr>
          <w:spacing w:val="-2"/>
        </w:rPr>
        <w:t>劳务而产生的、未包含或不考虑重大融资成分的应收账款或应收票据，本公司按照预期有权收取的对价金额作为初始确认金</w:t>
      </w:r>
      <w:r>
        <w:rPr>
          <w:spacing w:val="-64"/>
        </w:rPr>
        <w:t> </w:t>
      </w:r>
      <w:r>
        <w:rPr>
          <w:spacing w:val="-64"/>
        </w:rPr>
      </w:r>
      <w:r>
        <w:rPr/>
        <w:t>额。金融工具的后续计量取决于其分类。</w:t>
      </w:r>
    </w:p>
    <w:p>
      <w:pPr>
        <w:pStyle w:val="BodyText"/>
        <w:spacing w:line="240" w:lineRule="auto" w:before="19"/>
        <w:ind w:left="533" w:right="1133"/>
        <w:jc w:val="left"/>
      </w:pPr>
      <w:r>
        <w:rPr/>
        <w:t>（</w:t>
      </w:r>
      <w:r>
        <w:rPr>
          <w:rFonts w:ascii="宋体" w:hAnsi="宋体" w:cs="宋体" w:eastAsia="宋体" w:hint="default"/>
        </w:rPr>
        <w:t>1</w:t>
      </w:r>
      <w:r>
        <w:rPr/>
        <w:t>）金融资产</w:t>
      </w:r>
    </w:p>
    <w:p>
      <w:pPr>
        <w:pStyle w:val="BodyText"/>
        <w:spacing w:line="316" w:lineRule="auto" w:before="76"/>
        <w:ind w:right="1131" w:firstLine="420"/>
        <w:jc w:val="both"/>
      </w:pPr>
      <w:r>
        <w:rPr/>
        <w:t>①以摊余成本计量的金融资产。初始确认后，对于该类金融资产采用实际利率法以摊余成本计量。以摊余成本计量且 </w:t>
      </w:r>
      <w:r>
        <w:rPr>
          <w:spacing w:val="-2"/>
        </w:rPr>
        <w:t>不属于任何套期关系的金融资产所产生的利得或损失，在终止确认、重分类、按照实际利率法摊销或确认减值时，计入当期</w:t>
      </w:r>
      <w:r>
        <w:rPr>
          <w:spacing w:val="-64"/>
        </w:rPr>
        <w:t> </w:t>
      </w:r>
      <w:r>
        <w:rPr>
          <w:spacing w:val="-64"/>
        </w:rPr>
      </w:r>
      <w:r>
        <w:rPr/>
        <w:t>损益。</w:t>
      </w:r>
    </w:p>
    <w:p>
      <w:pPr>
        <w:pStyle w:val="BodyText"/>
        <w:spacing w:line="316" w:lineRule="auto" w:before="19"/>
        <w:ind w:right="1138" w:firstLine="420"/>
        <w:jc w:val="both"/>
      </w:pPr>
      <w:r>
        <w:rPr/>
        <w:t>②以公允价值计量且其变动计入当期损益的金融资产。初始确认后，对于该类金融资产（除属于套期关系的一部分金 </w:t>
      </w:r>
      <w:r>
        <w:rPr>
          <w:spacing w:val="-3"/>
        </w:rPr>
        <w:t>融资产外），以公允价值进行后续计量，产生的利得或损失（包括利息和股利收入）计入当期损益。</w:t>
      </w:r>
    </w:p>
    <w:p>
      <w:pPr>
        <w:pStyle w:val="BodyText"/>
        <w:spacing w:line="316" w:lineRule="auto" w:before="19"/>
        <w:ind w:right="1129" w:firstLine="420"/>
        <w:jc w:val="both"/>
      </w:pPr>
      <w:r>
        <w:rPr/>
        <w:t>③以公允价值计量且其变动计入其他综合收益的债务工具投资。初始确认后，对于该类金融资产以公允价值进行后续 </w:t>
      </w:r>
      <w:r>
        <w:rPr>
          <w:spacing w:val="-2"/>
        </w:rPr>
        <w:t>计量。采用实际利率法计算的利息、减值损失或利得及汇兑损益计入当期损益，其他利得或损失均计入其他综合收益。终止</w:t>
      </w:r>
      <w:r>
        <w:rPr>
          <w:spacing w:val="-64"/>
        </w:rPr>
        <w:t> </w:t>
      </w:r>
      <w:r>
        <w:rPr>
          <w:spacing w:val="-64"/>
        </w:rPr>
      </w:r>
      <w:r>
        <w:rPr/>
        <w:t>确认时，将之前计入其他综合收益的累计利得或损失从其他综合收益中转出，计入当期损益。</w:t>
      </w:r>
    </w:p>
    <w:p>
      <w:pPr>
        <w:pStyle w:val="BodyText"/>
        <w:spacing w:line="240" w:lineRule="auto" w:before="19"/>
        <w:ind w:left="533" w:right="1133"/>
        <w:jc w:val="left"/>
      </w:pPr>
      <w:r>
        <w:rPr/>
        <w:t>（</w:t>
      </w:r>
      <w:r>
        <w:rPr>
          <w:rFonts w:ascii="宋体" w:hAnsi="宋体" w:cs="宋体" w:eastAsia="宋体" w:hint="default"/>
        </w:rPr>
        <w:t>2</w:t>
      </w:r>
      <w:r>
        <w:rPr/>
        <w:t>）金融负债</w:t>
      </w:r>
    </w:p>
    <w:p>
      <w:pPr>
        <w:pStyle w:val="BodyText"/>
        <w:spacing w:line="316" w:lineRule="auto" w:before="76"/>
        <w:ind w:right="1033" w:firstLine="420"/>
        <w:jc w:val="left"/>
      </w:pPr>
      <w:r>
        <w:rPr/>
        <w:t>①以公允价值计量且其变动计入当期损益的金融负债。该类金融负债包括交易性金融负债</w:t>
      </w:r>
      <w:r>
        <w:rPr>
          <w:spacing w:val="20"/>
        </w:rPr>
        <w:t> </w:t>
      </w:r>
      <w:r>
        <w:rPr>
          <w:rFonts w:ascii="宋体" w:hAnsi="宋体" w:cs="宋体" w:eastAsia="宋体" w:hint="default"/>
        </w:rPr>
        <w:t>(</w:t>
      </w:r>
      <w:r>
        <w:rPr/>
        <w:t>含属于金融负债的衍生工 具</w:t>
      </w:r>
      <w:r>
        <w:rPr>
          <w:rFonts w:ascii="宋体" w:hAnsi="宋体" w:cs="宋体" w:eastAsia="宋体" w:hint="default"/>
        </w:rPr>
        <w:t>)</w:t>
      </w:r>
      <w:r>
        <w:rPr>
          <w:rFonts w:ascii="宋体" w:hAnsi="宋体" w:cs="宋体" w:eastAsia="宋体" w:hint="default"/>
          <w:spacing w:val="33"/>
        </w:rPr>
        <w:t> </w:t>
      </w:r>
      <w:r>
        <w:rPr>
          <w:spacing w:val="-4"/>
        </w:rPr>
        <w:t>和指定为以公允价值计量且其变动计入当期损益的金融负债。初始确认后，对于该类金融负债以公允价值进行后续计量，</w:t>
      </w:r>
      <w:r>
        <w:rPr>
          <w:spacing w:val="-87"/>
        </w:rPr>
        <w:t> </w:t>
      </w:r>
      <w:r>
        <w:rPr>
          <w:spacing w:val="-87"/>
        </w:rPr>
      </w:r>
      <w:r>
        <w:rPr>
          <w:spacing w:val="-2"/>
        </w:rPr>
        <w:t>除与套期会计有关外，交易性金融负债公允价值变动形成的利得或损失（包括利息费用）计入当期损益。指定为以公允价值</w:t>
      </w:r>
      <w:r>
        <w:rPr>
          <w:spacing w:val="-64"/>
        </w:rPr>
        <w:t> </w:t>
      </w:r>
      <w:r>
        <w:rPr>
          <w:spacing w:val="-64"/>
        </w:rPr>
      </w:r>
      <w:r>
        <w:rPr>
          <w:spacing w:val="-2"/>
        </w:rPr>
        <w:t>计量且其变动计入当期损益的金融负债的，由企业自身信用风险变动引起的该金融负债公允价值的变动金额，计入其他综合</w:t>
      </w:r>
      <w:r>
        <w:rPr>
          <w:spacing w:val="-63"/>
        </w:rPr>
        <w:t> </w:t>
      </w:r>
      <w:r>
        <w:rPr>
          <w:spacing w:val="-63"/>
        </w:rPr>
      </w:r>
      <w:r>
        <w:rPr>
          <w:spacing w:val="-2"/>
        </w:rPr>
        <w:t>收益，其他公允价值变动计入当期损益。如果对该金融负债的自身信用风险变动的影响计入其他综合收益会造成或扩大损益</w:t>
      </w:r>
      <w:r>
        <w:rPr>
          <w:spacing w:val="-64"/>
        </w:rPr>
        <w:t> </w:t>
      </w:r>
      <w:r>
        <w:rPr>
          <w:spacing w:val="-64"/>
        </w:rPr>
      </w:r>
      <w:r>
        <w:rPr/>
        <w:t>中的会计错配的，本公司将该金融负债的全部利得或损失计入当期损益。</w:t>
      </w:r>
    </w:p>
    <w:p>
      <w:pPr>
        <w:pStyle w:val="BodyText"/>
        <w:spacing w:line="240" w:lineRule="auto" w:before="19"/>
        <w:ind w:left="533" w:right="1133"/>
        <w:jc w:val="left"/>
      </w:pPr>
      <w:r>
        <w:rPr/>
        <w:t>②以摊余成本计量的金融负债。初始确认后，对此类金融负债采用实际利率法以摊余成本计量。</w:t>
      </w:r>
    </w:p>
    <w:p>
      <w:pPr>
        <w:pStyle w:val="BodyText"/>
        <w:spacing w:line="316" w:lineRule="auto" w:before="76"/>
        <w:ind w:left="533" w:right="1133"/>
        <w:jc w:val="left"/>
      </w:pPr>
      <w:r>
        <w:rPr/>
        <w:t>（三）本公司对金融工具的公允价值的确认方法 如存在活跃市场的金融工具，以活跃市场中的报价确定其公允价值；如不存在活跃市场的金融工具，采用估值技术确</w:t>
      </w:r>
    </w:p>
    <w:p>
      <w:pPr>
        <w:pStyle w:val="BodyText"/>
        <w:spacing w:line="319" w:lineRule="auto" w:before="19"/>
        <w:ind w:right="1133"/>
        <w:jc w:val="both"/>
      </w:pPr>
      <w:r>
        <w:rPr>
          <w:spacing w:val="-2"/>
        </w:rPr>
        <w:t>定其公允价值。估值技术主要包括市场法、收益法和成本法。在有限情况下，如果用以确定公允价值的近期信息不足，或者</w:t>
      </w:r>
      <w:r>
        <w:rPr>
          <w:spacing w:val="-67"/>
        </w:rPr>
        <w:t> </w:t>
      </w:r>
      <w:r>
        <w:rPr>
          <w:spacing w:val="-67"/>
        </w:rPr>
      </w:r>
      <w:r>
        <w:rPr>
          <w:spacing w:val="-2"/>
        </w:rPr>
        <w:t>公允价值的可能估计金额分布范围很广，而成本代表了该范围内对公允价值的最佳估计的，该成本可代表其在该分布范围内</w:t>
      </w:r>
      <w:r>
        <w:rPr>
          <w:spacing w:val="-64"/>
        </w:rPr>
        <w:t> </w:t>
      </w:r>
      <w:r>
        <w:rPr>
          <w:spacing w:val="-64"/>
        </w:rPr>
      </w:r>
      <w:r>
        <w:rPr>
          <w:spacing w:val="-2"/>
        </w:rPr>
        <w:t>对公允价值的恰当估计。本公司利用初始确认日后可获得的关于被投资方业绩和经营的所有信息，判断成本能否代表公允价</w:t>
      </w:r>
      <w:r>
        <w:rPr>
          <w:spacing w:val="-64"/>
        </w:rPr>
        <w:t> </w:t>
      </w:r>
      <w:r>
        <w:rPr>
          <w:spacing w:val="-64"/>
        </w:rPr>
      </w:r>
      <w:r>
        <w:rPr/>
        <w:t>值。</w:t>
      </w:r>
    </w:p>
    <w:p>
      <w:pPr>
        <w:pStyle w:val="BodyText"/>
        <w:spacing w:line="240" w:lineRule="auto" w:before="17"/>
        <w:ind w:left="533" w:right="1133"/>
        <w:jc w:val="left"/>
      </w:pPr>
      <w:r>
        <w:rPr/>
        <w:t>（四）金融资产和金融负债转移的确认依据和计量方法</w:t>
      </w:r>
    </w:p>
    <w:p>
      <w:pPr>
        <w:pStyle w:val="BodyText"/>
        <w:spacing w:line="316" w:lineRule="auto" w:before="76"/>
        <w:ind w:left="533" w:right="1133"/>
        <w:jc w:val="left"/>
      </w:pPr>
      <w:r>
        <w:rPr/>
        <w:t>（</w:t>
      </w:r>
      <w:r>
        <w:rPr>
          <w:rFonts w:ascii="宋体" w:hAnsi="宋体" w:cs="宋体" w:eastAsia="宋体" w:hint="default"/>
        </w:rPr>
        <w:t>1</w:t>
      </w:r>
      <w:r>
        <w:rPr/>
        <w:t>）金融资产 本公司金融资产满足下列条件之一的，予以终止确认：①收取该金融资产现金流量的合同权利终止；②该金融资产已</w:t>
      </w:r>
    </w:p>
    <w:p>
      <w:pPr>
        <w:pStyle w:val="BodyText"/>
        <w:spacing w:line="316" w:lineRule="auto" w:before="19"/>
        <w:ind w:right="1129"/>
        <w:jc w:val="left"/>
      </w:pPr>
      <w:r>
        <w:rPr>
          <w:spacing w:val="-2"/>
        </w:rPr>
        <w:t>转移，且本公司转移了金融资产所有权上几乎所有的风险和报酬；③该金融资产已转移，虽然本公司既没有转移也没有保留</w:t>
      </w:r>
      <w:r>
        <w:rPr>
          <w:spacing w:val="-63"/>
        </w:rPr>
        <w:t> </w:t>
      </w:r>
      <w:r>
        <w:rPr>
          <w:spacing w:val="-63"/>
        </w:rPr>
      </w:r>
      <w:r>
        <w:rPr/>
        <w:t>金融资产所有权上几乎所有报酬的，但未保留对该金融资产的控制。</w:t>
      </w:r>
    </w:p>
    <w:p>
      <w:pPr>
        <w:pStyle w:val="BodyText"/>
        <w:spacing w:line="240" w:lineRule="auto" w:before="18"/>
        <w:ind w:left="533" w:right="1133"/>
        <w:jc w:val="left"/>
      </w:pPr>
      <w:r>
        <w:rPr/>
        <w:t>本公司既没有转移也没有保留金融资产所有权上几乎所有报酬的，且保留了对该金融资产控制的，按照继续涉入被转</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left="533" w:right="1133" w:hanging="421"/>
        <w:jc w:val="left"/>
      </w:pPr>
      <w:r>
        <w:rPr/>
        <w:t>移金融资产的程度确认有关金融资产，并相应确认相关负债。 金融资产转移整体满足终止确认条件的，将以下两项金额的差额计入当期损益：①被转移金融资产在终止确认日的账</w:t>
      </w:r>
    </w:p>
    <w:p>
      <w:pPr>
        <w:pStyle w:val="BodyText"/>
        <w:spacing w:line="316" w:lineRule="auto" w:before="17"/>
        <w:ind w:right="1129"/>
        <w:jc w:val="left"/>
      </w:pPr>
      <w:r>
        <w:rPr>
          <w:spacing w:val="-5"/>
        </w:rPr>
        <w:t>面价值；②因转移金融资产而收到的对价，与原直接计入其他综合收益的公允价值变动累计额中对应终止确认部分的金额（涉</w:t>
      </w:r>
      <w:r>
        <w:rPr>
          <w:spacing w:val="-75"/>
        </w:rPr>
        <w:t> </w:t>
      </w:r>
      <w:r>
        <w:rPr>
          <w:spacing w:val="-75"/>
        </w:rPr>
      </w:r>
      <w:r>
        <w:rPr/>
        <w:t>及转移的金融资产为分类为以公允价值计量且其变动计入其他综合收益的金融资产）之和。</w:t>
      </w:r>
    </w:p>
    <w:p>
      <w:pPr>
        <w:pStyle w:val="BodyText"/>
        <w:spacing w:line="316" w:lineRule="auto" w:before="19"/>
        <w:ind w:right="0" w:firstLine="420"/>
        <w:jc w:val="left"/>
      </w:pPr>
      <w:r>
        <w:rPr>
          <w:spacing w:val="-2"/>
        </w:rPr>
        <w:t>金融资产部分转移满足终止确认条件的，将所转移金融资产整体的账面价值，在终止确认部分和未终止确认部分之间，</w:t>
      </w:r>
      <w:r>
        <w:rPr/>
        <w:t> </w:t>
      </w:r>
      <w:r>
        <w:rPr>
          <w:spacing w:val="-2"/>
        </w:rPr>
        <w:t>先按照转移日各自的相对公允价值进行分摊，然后将以下两项金额的差额计入当期损益：①终止确认部分在终止确认日的账</w:t>
      </w:r>
      <w:r>
        <w:rPr>
          <w:spacing w:val="-63"/>
        </w:rPr>
        <w:t> </w:t>
      </w:r>
      <w:r>
        <w:rPr>
          <w:spacing w:val="-63"/>
        </w:rPr>
      </w:r>
      <w:r>
        <w:rPr>
          <w:spacing w:val="-2"/>
        </w:rPr>
        <w:t>面价值；②终止确认部分收到的对价，与原计入其他综合收益的公允价值变动累计额中对应终止确认部分的金额（涉及转移</w:t>
      </w:r>
      <w:r>
        <w:rPr>
          <w:spacing w:val="-63"/>
        </w:rPr>
        <w:t> </w:t>
      </w:r>
      <w:r>
        <w:rPr>
          <w:spacing w:val="-63"/>
        </w:rPr>
      </w:r>
      <w:r>
        <w:rPr/>
        <w:t>的金融资产为分类为以公允价值计量且其变动计入其他综合收益的金融资产）之和。</w:t>
      </w:r>
    </w:p>
    <w:p>
      <w:pPr>
        <w:pStyle w:val="BodyText"/>
        <w:spacing w:line="316" w:lineRule="auto" w:before="19"/>
        <w:ind w:left="533" w:right="1301"/>
        <w:jc w:val="left"/>
      </w:pPr>
      <w:r>
        <w:rPr/>
        <w:t>（</w:t>
      </w:r>
      <w:r>
        <w:rPr>
          <w:rFonts w:ascii="宋体" w:hAnsi="宋体" w:cs="宋体" w:eastAsia="宋体" w:hint="default"/>
        </w:rPr>
        <w:t>2</w:t>
      </w:r>
      <w:r>
        <w:rPr/>
        <w:t>）金融负债 </w:t>
      </w:r>
      <w:r>
        <w:rPr>
          <w:spacing w:val="-3"/>
        </w:rPr>
        <w:t>金融负债（或其一部分）的现时义务已经解除的，本公司终止确认该金融负债（或该部分金融负债）。</w:t>
      </w:r>
    </w:p>
    <w:p>
      <w:pPr>
        <w:pStyle w:val="BodyText"/>
        <w:spacing w:line="316" w:lineRule="auto" w:before="19"/>
        <w:ind w:right="1133" w:firstLine="420"/>
        <w:jc w:val="left"/>
      </w:pPr>
      <w:r>
        <w:rPr/>
        <w:t>金融负债（或其一部分）终止确认的，本公司将其账面价值与支付的对价（包括转出的非现金资产或承担的负债）之 间的差额，计入当期损益。</w:t>
      </w:r>
    </w:p>
    <w:p>
      <w:pPr>
        <w:pStyle w:val="BodyText"/>
        <w:spacing w:line="316" w:lineRule="auto" w:before="19"/>
        <w:ind w:left="533" w:right="6553"/>
        <w:jc w:val="left"/>
      </w:pPr>
      <w:r>
        <w:rPr/>
        <w:t>（五）预期信用损失的确定方法及会计处理方法 </w:t>
      </w:r>
      <w:r>
        <w:rPr>
          <w:rFonts w:ascii="宋体" w:hAnsi="宋体" w:cs="宋体" w:eastAsia="宋体" w:hint="default"/>
        </w:rPr>
        <w:t>1.</w:t>
      </w:r>
      <w:r>
        <w:rPr>
          <w:rFonts w:ascii="宋体" w:hAnsi="宋体" w:cs="宋体" w:eastAsia="宋体" w:hint="default"/>
          <w:spacing w:val="3"/>
        </w:rPr>
        <w:t> </w:t>
      </w:r>
      <w:r>
        <w:rPr/>
        <w:t>预期信用损失的确定方法</w:t>
      </w:r>
    </w:p>
    <w:p>
      <w:pPr>
        <w:pStyle w:val="BodyText"/>
        <w:spacing w:line="316" w:lineRule="auto" w:before="19"/>
        <w:ind w:right="1117" w:firstLine="420"/>
        <w:jc w:val="left"/>
      </w:pPr>
      <w:r>
        <w:rPr/>
        <w:t>本公司以预期信用损失为基础</w:t>
      </w:r>
      <w:r>
        <w:rPr>
          <w:spacing w:val="-17"/>
        </w:rPr>
        <w:t>，</w:t>
      </w:r>
      <w:r>
        <w:rPr/>
        <w:t>对以摊余成本计量的金融资</w:t>
      </w:r>
      <w:r>
        <w:rPr>
          <w:spacing w:val="-17"/>
        </w:rPr>
        <w:t>产</w:t>
      </w:r>
      <w:r>
        <w:rPr/>
        <w:t>（含应收款项</w:t>
      </w:r>
      <w:r>
        <w:rPr>
          <w:spacing w:val="-92"/>
        </w:rPr>
        <w:t>）</w:t>
      </w:r>
      <w:r>
        <w:rPr>
          <w:spacing w:val="-17"/>
        </w:rPr>
        <w:t>、</w:t>
      </w:r>
      <w:r>
        <w:rPr/>
        <w:t>分类为以公允价值计量且其变动计入其</w:t>
      </w:r>
      <w:r>
        <w:rPr/>
        <w:t> 他综合收益的金融资产（含应收款项融资</w:t>
      </w:r>
      <w:r>
        <w:rPr>
          <w:spacing w:val="-92"/>
        </w:rPr>
        <w:t>）</w:t>
      </w:r>
      <w:r>
        <w:rPr/>
        <w:t>、租赁应收款进</w:t>
      </w:r>
      <w:r>
        <w:rPr>
          <w:spacing w:val="2"/>
        </w:rPr>
        <w:t>行</w:t>
      </w:r>
      <w:r>
        <w:rPr/>
        <w:t>减值会计处理并确认损失准备。</w:t>
      </w:r>
    </w:p>
    <w:p>
      <w:pPr>
        <w:pStyle w:val="BodyText"/>
        <w:spacing w:line="316" w:lineRule="auto" w:before="19"/>
        <w:ind w:right="0" w:firstLine="420"/>
        <w:jc w:val="left"/>
      </w:pPr>
      <w:r>
        <w:rPr/>
        <w:t>本公司在每个资产负债表日评估相关金融工具的信用风险自初始确认后是否显著增加，将金融工具发生信用减值的过 </w:t>
      </w:r>
      <w:r>
        <w:rPr>
          <w:spacing w:val="-4"/>
        </w:rPr>
        <w:t>程分为三个阶段，对于不同阶段的金融工具减值采用不同的会计处理方法：（</w:t>
      </w:r>
      <w:r>
        <w:rPr>
          <w:rFonts w:ascii="宋体" w:hAnsi="宋体" w:cs="宋体" w:eastAsia="宋体" w:hint="default"/>
          <w:spacing w:val="-4"/>
        </w:rPr>
        <w:t>1</w:t>
      </w:r>
      <w:r>
        <w:rPr>
          <w:spacing w:val="-4"/>
        </w:rPr>
        <w:t>）第一阶段，金融工具的信用风险自初始确认</w:t>
      </w:r>
      <w:r>
        <w:rPr>
          <w:spacing w:val="-41"/>
        </w:rPr>
        <w:t> </w:t>
      </w:r>
      <w:r>
        <w:rPr>
          <w:spacing w:val="-41"/>
        </w:rPr>
      </w:r>
      <w:r>
        <w:rPr>
          <w:spacing w:val="-4"/>
        </w:rPr>
        <w:t>后未显著增加的，本公司按照该金融工具未来</w:t>
      </w:r>
      <w:r>
        <w:rPr>
          <w:rFonts w:ascii="宋体" w:hAnsi="宋体" w:cs="宋体" w:eastAsia="宋体" w:hint="default"/>
          <w:spacing w:val="-4"/>
        </w:rPr>
        <w:t>12</w:t>
      </w:r>
      <w:r>
        <w:rPr>
          <w:spacing w:val="-4"/>
        </w:rPr>
        <w:t>个月的预期信用损失计量损失准备，并按照其账面余额（即未扣除减值准备）</w:t>
      </w:r>
      <w:r>
        <w:rPr>
          <w:spacing w:val="-40"/>
        </w:rPr>
        <w:t> </w:t>
      </w:r>
      <w:r>
        <w:rPr>
          <w:spacing w:val="-40"/>
        </w:rPr>
      </w:r>
      <w:r>
        <w:rPr>
          <w:spacing w:val="-4"/>
        </w:rPr>
        <w:t>和实际利率计算利息收入；（</w:t>
      </w:r>
      <w:r>
        <w:rPr>
          <w:rFonts w:ascii="宋体" w:hAnsi="宋体" w:cs="宋体" w:eastAsia="宋体" w:hint="default"/>
          <w:spacing w:val="-4"/>
        </w:rPr>
        <w:t>2</w:t>
      </w:r>
      <w:r>
        <w:rPr>
          <w:spacing w:val="-4"/>
        </w:rPr>
        <w:t>）第二阶段，金融工具的信用风险自初始确认后已显著增加但未发生信用减值的，本公司按照</w:t>
      </w:r>
      <w:r>
        <w:rPr>
          <w:spacing w:val="-42"/>
        </w:rPr>
        <w:t> </w:t>
      </w:r>
      <w:r>
        <w:rPr>
          <w:spacing w:val="-42"/>
        </w:rPr>
      </w:r>
      <w:r>
        <w:rPr>
          <w:spacing w:val="-4"/>
        </w:rPr>
        <w:t>该金融工具整个存续期的预期信用损失计量损失准备，并按照其账面余额和实际利率计算利息收入；（</w:t>
      </w:r>
      <w:r>
        <w:rPr>
          <w:rFonts w:ascii="宋体" w:hAnsi="宋体" w:cs="宋体" w:eastAsia="宋体" w:hint="default"/>
          <w:spacing w:val="-4"/>
        </w:rPr>
        <w:t>3</w:t>
      </w:r>
      <w:r>
        <w:rPr>
          <w:spacing w:val="-4"/>
        </w:rPr>
        <w:t>）第三阶段，初始确</w:t>
      </w:r>
      <w:r>
        <w:rPr>
          <w:spacing w:val="-42"/>
        </w:rPr>
        <w:t> </w:t>
      </w:r>
      <w:r>
        <w:rPr>
          <w:spacing w:val="-42"/>
        </w:rPr>
      </w:r>
      <w:r>
        <w:rPr>
          <w:spacing w:val="-2"/>
        </w:rPr>
        <w:t>认后发生信用减值的，本公司按照该金融工具整个存续期的预期信用损失计量损失准备，并按照其摊余成本（账面余额减已</w:t>
      </w:r>
      <w:r>
        <w:rPr>
          <w:spacing w:val="-62"/>
        </w:rPr>
        <w:t> </w:t>
      </w:r>
      <w:r>
        <w:rPr>
          <w:spacing w:val="-62"/>
        </w:rPr>
      </w:r>
      <w:r>
        <w:rPr/>
        <w:t>计提减值准备）和实际利率计算利息收入。</w:t>
      </w:r>
    </w:p>
    <w:p>
      <w:pPr>
        <w:pStyle w:val="BodyText"/>
        <w:spacing w:line="319" w:lineRule="auto" w:before="19"/>
        <w:ind w:left="533" w:right="1133"/>
        <w:jc w:val="left"/>
      </w:pPr>
      <w:r>
        <w:rPr/>
        <w:t>（</w:t>
      </w:r>
      <w:r>
        <w:rPr>
          <w:rFonts w:ascii="宋体" w:hAnsi="宋体" w:cs="宋体" w:eastAsia="宋体" w:hint="default"/>
        </w:rPr>
        <w:t>1</w:t>
      </w:r>
      <w:r>
        <w:rPr/>
        <w:t>）较低信用风险的金融工具计量损失准备的方法 对于在资产负债表日具有较低信用风险的金融工具，本公司可以不用与其初始确认时的信用风险进行比较，而直接做</w:t>
      </w:r>
    </w:p>
    <w:p>
      <w:pPr>
        <w:pStyle w:val="BodyText"/>
        <w:spacing w:line="316" w:lineRule="auto" w:before="17"/>
        <w:ind w:left="533" w:right="1133" w:hanging="421"/>
        <w:jc w:val="left"/>
      </w:pPr>
      <w:r>
        <w:rPr/>
        <w:t>出该工具的信用风险自初始确认后未显著增加的假定。 如果金融工具的违约风险较低，债务人在短期内履行其合同现金流量义务的能力很强，并且即便较长时期内经济形势</w:t>
      </w:r>
    </w:p>
    <w:p>
      <w:pPr>
        <w:pStyle w:val="BodyText"/>
        <w:spacing w:line="240" w:lineRule="auto" w:before="19"/>
        <w:ind w:right="0"/>
        <w:jc w:val="left"/>
      </w:pPr>
      <w:r>
        <w:rPr/>
        <w:t>和经营环境存在不利变化但未必一定降低借款人履行其合同现金流量义务的能力，该金融工具被视为具有较低的信用风险。</w:t>
      </w:r>
    </w:p>
    <w:p>
      <w:pPr>
        <w:pStyle w:val="BodyText"/>
        <w:spacing w:line="240" w:lineRule="auto" w:before="76"/>
        <w:ind w:left="533" w:right="1133"/>
        <w:jc w:val="left"/>
      </w:pPr>
      <w:r>
        <w:rPr/>
        <w:t>（</w:t>
      </w:r>
      <w:r>
        <w:rPr>
          <w:rFonts w:ascii="宋体" w:hAnsi="宋体" w:cs="宋体" w:eastAsia="宋体" w:hint="default"/>
        </w:rPr>
        <w:t>2</w:t>
      </w:r>
      <w:r>
        <w:rPr/>
        <w:t>）应收款项、租赁应收款计量损失准备的方法</w:t>
      </w:r>
    </w:p>
    <w:p>
      <w:pPr>
        <w:pStyle w:val="BodyText"/>
        <w:spacing w:line="316" w:lineRule="auto" w:before="76"/>
        <w:ind w:right="1133" w:firstLine="420"/>
        <w:jc w:val="left"/>
      </w:pPr>
      <w:r>
        <w:rPr/>
        <w:t>①不包含重大融资成分的应收款项。对于由《企业会计准则第</w:t>
      </w:r>
      <w:r>
        <w:rPr>
          <w:rFonts w:ascii="宋体" w:hAnsi="宋体" w:cs="宋体" w:eastAsia="宋体" w:hint="default"/>
        </w:rPr>
        <w:t>14</w:t>
      </w:r>
      <w:r>
        <w:rPr/>
        <w:t>号——收入》规范的交易形成的不含重大融资成分的 应收款项，本公司采用简化方法，即始终按整个存续期预期信用损失计量损失准备。</w:t>
      </w:r>
    </w:p>
    <w:p>
      <w:pPr>
        <w:pStyle w:val="BodyText"/>
        <w:spacing w:line="316" w:lineRule="auto" w:before="19"/>
        <w:ind w:right="1133" w:firstLine="420"/>
        <w:jc w:val="left"/>
      </w:pPr>
      <w:r>
        <w:rPr/>
        <w:t>根据金融工具的性质，本公司以单项金融资产或金融资产组合为基础评估信用风险是否显著增加。本公司根据信用风 险特征将应收票据、应收账款划分为若干组合，在组合基础上计算预期信用损失，确定组合的依据如下：</w:t>
      </w:r>
    </w:p>
    <w:p>
      <w:pPr>
        <w:pStyle w:val="BodyText"/>
        <w:spacing w:line="319" w:lineRule="auto" w:before="19"/>
        <w:ind w:left="533" w:right="7543"/>
        <w:jc w:val="left"/>
      </w:pPr>
      <w:r>
        <w:rPr/>
        <w:t>应收票据组合</w:t>
      </w:r>
      <w:r>
        <w:rPr>
          <w:rFonts w:ascii="宋体" w:hAnsi="宋体" w:cs="宋体" w:eastAsia="宋体" w:hint="default"/>
        </w:rPr>
        <w:t>1</w:t>
      </w:r>
      <w:r>
        <w:rPr/>
        <w:t>：银行承兑汇票 应收票据组合</w:t>
      </w:r>
      <w:r>
        <w:rPr>
          <w:rFonts w:ascii="宋体" w:hAnsi="宋体" w:cs="宋体" w:eastAsia="宋体" w:hint="default"/>
        </w:rPr>
        <w:t>2</w:t>
      </w:r>
      <w:r>
        <w:rPr/>
        <w:t>：商业承兑汇票 应收账款组合</w:t>
      </w:r>
      <w:r>
        <w:rPr>
          <w:rFonts w:ascii="宋体" w:hAnsi="宋体" w:cs="宋体" w:eastAsia="宋体" w:hint="default"/>
        </w:rPr>
        <w:t>1</w:t>
      </w:r>
      <w:r>
        <w:rPr/>
        <w:t>：应收关联方的款项 应收账款组合</w:t>
      </w:r>
      <w:r>
        <w:rPr>
          <w:rFonts w:ascii="宋体" w:hAnsi="宋体" w:cs="宋体" w:eastAsia="宋体" w:hint="default"/>
        </w:rPr>
        <w:t>2</w:t>
      </w:r>
      <w:r>
        <w:rPr/>
        <w:t>：应收客户款项</w:t>
      </w:r>
    </w:p>
    <w:p>
      <w:pPr>
        <w:pStyle w:val="BodyText"/>
        <w:spacing w:line="316" w:lineRule="auto" w:before="17"/>
        <w:ind w:right="0" w:firstLine="420"/>
        <w:jc w:val="left"/>
      </w:pPr>
      <w:r>
        <w:rPr/>
        <w:t>对于划分为组合的应收账款，本公司参考历史信用损失经验，结合当前状况及对未来经济状况的预测，编制应收账款 </w:t>
      </w:r>
      <w:r>
        <w:rPr>
          <w:spacing w:val="-4"/>
        </w:rPr>
        <w:t>账龄与整个存续期预期信用损失率对照表，计算预期信用损失。对于划分为组合的应收票据，本公司参考历史信用损失经验，</w:t>
      </w:r>
      <w:r>
        <w:rPr>
          <w:spacing w:val="-44"/>
        </w:rPr>
        <w:t> </w:t>
      </w:r>
      <w:r>
        <w:rPr>
          <w:spacing w:val="-44"/>
        </w:rPr>
      </w:r>
      <w:r>
        <w:rPr/>
        <w:t>结合当前状况及对未来经济状况的预测，通过违约风险敞口和整个存续期预期信用损失率，计算预期信用损失。</w:t>
      </w:r>
    </w:p>
    <w:p>
      <w:pPr>
        <w:pStyle w:val="BodyText"/>
        <w:spacing w:line="316" w:lineRule="auto" w:before="19"/>
        <w:ind w:right="1133" w:firstLine="420"/>
        <w:jc w:val="left"/>
      </w:pPr>
      <w:r>
        <w:rPr/>
        <w:t>②包含重大融资成分的应收款项和租赁应收款。对于包含重大融资成分的应收款项、和《企业会计准则第</w:t>
      </w:r>
      <w:r>
        <w:rPr>
          <w:rFonts w:ascii="宋体" w:hAnsi="宋体" w:cs="宋体" w:eastAsia="宋体" w:hint="default"/>
        </w:rPr>
        <w:t>21</w:t>
      </w:r>
      <w:r>
        <w:rPr/>
        <w:t>号——租 赁》规范的租赁应收款，本公司按照一般方法，即“三阶段”模型计量损失准备。</w:t>
      </w:r>
    </w:p>
    <w:p>
      <w:pPr>
        <w:pStyle w:val="BodyText"/>
        <w:spacing w:line="316" w:lineRule="auto" w:before="19"/>
        <w:ind w:left="533" w:right="1873"/>
        <w:jc w:val="left"/>
      </w:pPr>
      <w:r>
        <w:rPr/>
        <w:t>（</w:t>
      </w:r>
      <w:r>
        <w:rPr>
          <w:rFonts w:ascii="宋体" w:hAnsi="宋体" w:cs="宋体" w:eastAsia="宋体" w:hint="default"/>
        </w:rPr>
        <w:t>4</w:t>
      </w:r>
      <w:r>
        <w:rPr/>
        <w:t>）其他金融资产计量损失准备的方法 对于除上述以外的金融资产，如：其他应收款等，本公司按照一般方法，即“三阶段”模型计量损失准备。</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left="533" w:right="1693"/>
        <w:jc w:val="left"/>
      </w:pPr>
      <w:r>
        <w:rPr/>
        <w:t>本公司根据款项性质将其他应收款划分为若干组合，在组合基础上计算预期信用损失，确定组合的依据如下： 其他应收款组合</w:t>
      </w:r>
      <w:r>
        <w:rPr>
          <w:rFonts w:ascii="宋体" w:hAnsi="宋体" w:cs="宋体" w:eastAsia="宋体" w:hint="default"/>
        </w:rPr>
        <w:t>1</w:t>
      </w:r>
      <w:r>
        <w:rPr/>
        <w:t>：押金及保证金</w:t>
      </w:r>
    </w:p>
    <w:p>
      <w:pPr>
        <w:pStyle w:val="BodyText"/>
        <w:spacing w:line="316" w:lineRule="auto" w:before="17"/>
        <w:ind w:left="533" w:right="7739"/>
        <w:jc w:val="left"/>
      </w:pPr>
      <w:r>
        <w:rPr/>
        <w:t>其他应收款组合</w:t>
      </w:r>
      <w:r>
        <w:rPr>
          <w:rFonts w:ascii="宋体" w:hAnsi="宋体" w:cs="宋体" w:eastAsia="宋体" w:hint="default"/>
        </w:rPr>
        <w:t>2</w:t>
      </w:r>
      <w:r>
        <w:rPr/>
        <w:t>：代垫款项 其他应收款组合</w:t>
      </w:r>
      <w:r>
        <w:rPr>
          <w:rFonts w:ascii="宋体" w:hAnsi="宋体" w:cs="宋体" w:eastAsia="宋体" w:hint="default"/>
        </w:rPr>
        <w:t>3</w:t>
      </w:r>
      <w:r>
        <w:rPr/>
        <w:t>：关联方款项 </w:t>
      </w:r>
      <w:r>
        <w:rPr>
          <w:rFonts w:ascii="宋体" w:hAnsi="宋体" w:cs="宋体" w:eastAsia="宋体" w:hint="default"/>
        </w:rPr>
        <w:t>2. </w:t>
      </w:r>
      <w:r>
        <w:rPr/>
        <w:t>预期信用损失的会计处理方法</w:t>
      </w:r>
    </w:p>
    <w:p>
      <w:pPr>
        <w:pStyle w:val="BodyText"/>
        <w:spacing w:line="316" w:lineRule="auto" w:before="19"/>
        <w:ind w:right="1129" w:firstLine="420"/>
        <w:jc w:val="both"/>
      </w:pPr>
      <w:r>
        <w:rPr/>
        <w:t>为反映金融工具的信用风险自初始确认后的变化，本公司在每个资产负债表日重新计量预期信用损失，由此形成的损 </w:t>
      </w:r>
      <w:r>
        <w:rPr>
          <w:spacing w:val="-2"/>
        </w:rPr>
        <w:t>失准备的增加或转回金额，应当作为减值损失或利得计入当期损益，并根据金融工具的种类，抵减该金融资产在资产负债表</w:t>
      </w:r>
      <w:r>
        <w:rPr>
          <w:spacing w:val="-62"/>
        </w:rPr>
        <w:t> </w:t>
      </w:r>
      <w:r>
        <w:rPr>
          <w:spacing w:val="-62"/>
        </w:rPr>
      </w:r>
      <w:r>
        <w:rPr>
          <w:spacing w:val="-2"/>
        </w:rPr>
        <w:t>中列示的账面价值或计入预计负债（贷款承诺或财务担保合同）或计入其他综合收益（以公允价值计量且其变动计入其他综</w:t>
      </w:r>
      <w:r>
        <w:rPr>
          <w:spacing w:val="-66"/>
        </w:rPr>
        <w:t> </w:t>
      </w:r>
      <w:r>
        <w:rPr>
          <w:spacing w:val="-66"/>
        </w:rPr>
      </w:r>
      <w:r>
        <w:rPr>
          <w:spacing w:val="-10"/>
        </w:rPr>
        <w:t>合收益的债权投资）。</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1、应收票据" w:id="179"/>
      <w:bookmarkEnd w:id="179"/>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33" w:right="1133"/>
        <w:jc w:val="left"/>
      </w:pPr>
      <w:r>
        <w:rPr/>
        <w:t>本公司对应收票据的预期信用损失的确定方法及会计处理方法，详见本章节“</w:t>
      </w:r>
      <w:r>
        <w:rPr>
          <w:rFonts w:ascii="宋体" w:hAnsi="宋体" w:cs="宋体" w:eastAsia="宋体" w:hint="default"/>
          <w:spacing w:val="1"/>
        </w:rPr>
        <w:t>10</w:t>
      </w:r>
      <w:r>
        <w:rPr/>
        <w:t>、金融</w:t>
      </w:r>
      <w:r>
        <w:rPr>
          <w:spacing w:val="-3"/>
        </w:rPr>
        <w:t>资</w:t>
      </w:r>
      <w:r>
        <w:rPr/>
        <w:t>产工具</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2、应收账款" w:id="180"/>
      <w:bookmarkEnd w:id="180"/>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本公司对应收账款的预期信用损失的确定方法及会计处理方法，详见本章节“</w:t>
      </w:r>
      <w:r>
        <w:rPr>
          <w:rFonts w:ascii="宋体" w:hAnsi="宋体" w:cs="宋体" w:eastAsia="宋体" w:hint="default"/>
          <w:spacing w:val="1"/>
        </w:rPr>
        <w:t>10</w:t>
      </w:r>
      <w:r>
        <w:rPr/>
        <w:t>、金融</w:t>
      </w:r>
      <w:r>
        <w:rPr>
          <w:spacing w:val="-3"/>
        </w:rPr>
        <w:t>资</w:t>
      </w:r>
      <w:r>
        <w:rPr/>
        <w:t>产工具</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3、应收款项融资" w:id="181"/>
      <w:bookmarkEnd w:id="181"/>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3" w:right="1133"/>
        <w:jc w:val="left"/>
      </w:pPr>
      <w:r>
        <w:rPr/>
        <w:t>其他应收款的预期信用损失的确定方法及会计处理方法 </w:t>
      </w:r>
      <w:r>
        <w:rPr>
          <w:spacing w:val="-3"/>
        </w:rPr>
        <w:t>本公司对其他应收款的预期信用损失的确定方法及会计处理方法，详见本章节“</w:t>
      </w:r>
      <w:r>
        <w:rPr>
          <w:rFonts w:ascii="宋体" w:hAnsi="宋体" w:cs="宋体" w:eastAsia="宋体" w:hint="default"/>
          <w:spacing w:val="-3"/>
        </w:rPr>
        <w:t>10</w:t>
      </w:r>
      <w:r>
        <w:rPr>
          <w:spacing w:val="-3"/>
        </w:rPr>
        <w:t>、金融资产工具”。</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）存货的分类 存货是指本公司在日常活动中持有以备出售的产成品或商品、处在生产过程中的在产品、在生产过程或提供劳务过程</w:t>
      </w:r>
    </w:p>
    <w:p>
      <w:pPr>
        <w:pStyle w:val="BodyText"/>
        <w:spacing w:line="240" w:lineRule="auto" w:before="19"/>
        <w:ind w:right="1133"/>
        <w:jc w:val="left"/>
      </w:pPr>
      <w:r>
        <w:rPr/>
        <w:t>中耗用的材料和物料等。主要包括原材料、在产品等。</w:t>
      </w:r>
    </w:p>
    <w:p>
      <w:pPr>
        <w:pStyle w:val="BodyText"/>
        <w:spacing w:line="316" w:lineRule="auto" w:before="76"/>
        <w:ind w:left="533" w:right="6013"/>
        <w:jc w:val="left"/>
      </w:pPr>
      <w:r>
        <w:rPr/>
        <w:t>（</w:t>
      </w:r>
      <w:r>
        <w:rPr>
          <w:rFonts w:ascii="宋体" w:hAnsi="宋体" w:cs="宋体" w:eastAsia="宋体" w:hint="default"/>
        </w:rPr>
        <w:t>2</w:t>
      </w:r>
      <w:r>
        <w:rPr/>
        <w:t>）发出存货的计价方法 存货发出时，采取个别计价法确定其发出的实际成本。</w:t>
      </w:r>
    </w:p>
    <w:p>
      <w:pPr>
        <w:pStyle w:val="BodyText"/>
        <w:spacing w:line="316" w:lineRule="auto" w:before="19"/>
        <w:ind w:left="533" w:right="1133"/>
        <w:jc w:val="left"/>
      </w:pPr>
      <w:r>
        <w:rPr/>
        <w:t>（</w:t>
      </w:r>
      <w:r>
        <w:rPr>
          <w:rFonts w:ascii="宋体" w:hAnsi="宋体" w:cs="宋体" w:eastAsia="宋体" w:hint="default"/>
        </w:rPr>
        <w:t>3</w:t>
      </w:r>
      <w:r>
        <w:rPr/>
        <w:t>）存货跌价准备的计提方法 资产负债表日，存货按照成本与可变现净值孰低计量，并按单个存货项目计提存货跌价准备，但对于数量繁多、单价</w:t>
      </w:r>
    </w:p>
    <w:p>
      <w:pPr>
        <w:pStyle w:val="BodyText"/>
        <w:spacing w:line="240" w:lineRule="auto" w:before="19"/>
        <w:ind w:right="1133"/>
        <w:jc w:val="left"/>
      </w:pPr>
      <w:r>
        <w:rPr/>
        <w:t>较低的存货，按照存货类别计提存货跌价准备。</w:t>
      </w:r>
    </w:p>
    <w:p>
      <w:pPr>
        <w:pStyle w:val="BodyText"/>
        <w:spacing w:line="316" w:lineRule="auto" w:before="76"/>
        <w:ind w:left="533" w:right="7273"/>
        <w:jc w:val="left"/>
      </w:pPr>
      <w:r>
        <w:rPr/>
        <w:t>（</w:t>
      </w:r>
      <w:r>
        <w:rPr>
          <w:rFonts w:ascii="宋体" w:hAnsi="宋体" w:cs="宋体" w:eastAsia="宋体" w:hint="default"/>
        </w:rPr>
        <w:t>4</w:t>
      </w:r>
      <w:r>
        <w:rPr/>
        <w:t>）存货的盘存制度 本公司的存货盘存制度为永续盘存制。</w:t>
      </w:r>
    </w:p>
    <w:p>
      <w:pPr>
        <w:pStyle w:val="BodyText"/>
        <w:spacing w:line="316" w:lineRule="auto" w:before="19"/>
        <w:ind w:left="533" w:right="6913"/>
        <w:jc w:val="left"/>
      </w:pPr>
      <w:r>
        <w:rPr/>
        <w:t>（</w:t>
      </w:r>
      <w:r>
        <w:rPr>
          <w:rFonts w:ascii="宋体" w:hAnsi="宋体" w:cs="宋体" w:eastAsia="宋体" w:hint="default"/>
        </w:rPr>
        <w:t>5</w:t>
      </w:r>
      <w:r>
        <w:rPr/>
        <w:t>）低值易耗品和包装物的摊销方法 低值易耗品和包装物采用一次转销法摊销。</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6、合同资产" w:id="184"/>
      <w:bookmarkEnd w:id="184"/>
      <w:r>
        <w:rPr>
          <w:b w:val="0"/>
          <w:bCs w:val="0"/>
        </w:rPr>
      </w:r>
      <w:r>
        <w:rPr>
          <w:rFonts w:ascii="Times New Roman" w:hAnsi="Times New Roman" w:cs="Times New Roman" w:eastAsia="Times New Roman" w:hint="default"/>
        </w:rPr>
        <w:t>16</w:t>
      </w:r>
      <w:r>
        <w:rPr/>
        <w:t>、合同资产</w:t>
      </w:r>
      <w:r>
        <w:rPr>
          <w:b w:val="0"/>
          <w:bCs w:val="0"/>
        </w:rPr>
      </w:r>
    </w:p>
    <w:p>
      <w:pPr>
        <w:spacing w:after="0" w:line="240" w:lineRule="auto"/>
        <w:jc w:val="left"/>
        <w:sectPr>
          <w:footerReference w:type="default" r:id="rId24"/>
          <w:pgSz w:w="11910" w:h="16840"/>
          <w:pgMar w:footer="1551" w:header="906" w:top="1100" w:bottom="1740" w:left="1020" w:right="0"/>
          <w:pgNumType w:start="94"/>
        </w:sectPr>
      </w:pPr>
    </w:p>
    <w:p>
      <w:pPr>
        <w:spacing w:line="240" w:lineRule="auto" w:before="11"/>
        <w:rPr>
          <w:rFonts w:ascii="宋体" w:hAnsi="宋体" w:cs="宋体" w:eastAsia="宋体" w:hint="default"/>
          <w:b/>
          <w:bCs/>
          <w:sz w:val="21"/>
          <w:szCs w:val="21"/>
        </w:rPr>
      </w:pPr>
    </w:p>
    <w:p>
      <w:pPr>
        <w:pStyle w:val="Heading4"/>
        <w:spacing w:line="240" w:lineRule="auto" w:before="36"/>
        <w:ind w:right="0"/>
        <w:jc w:val="both"/>
        <w:rPr>
          <w:b w:val="0"/>
          <w:bCs w:val="0"/>
        </w:rPr>
      </w:pPr>
      <w:bookmarkStart w:name="17、合同成本" w:id="185"/>
      <w:bookmarkEnd w:id="185"/>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18、持有待售资产" w:id="186"/>
      <w:bookmarkEnd w:id="186"/>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19、债权投资" w:id="187"/>
      <w:bookmarkEnd w:id="187"/>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bookmarkStart w:name="20、其他债权投资" w:id="188"/>
      <w:bookmarkEnd w:id="188"/>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1、长期应收款" w:id="189"/>
      <w:bookmarkEnd w:id="189"/>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2、长期股权投资" w:id="190"/>
      <w:bookmarkEnd w:id="190"/>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）初始投资成本确定 对于企业合并取得的长期股权投资，如为同一控制下的企业合并，应当在合并日按照被合并方所有者权益在最终控制</w:t>
      </w:r>
    </w:p>
    <w:p>
      <w:pPr>
        <w:pStyle w:val="BodyText"/>
        <w:spacing w:line="316" w:lineRule="auto" w:before="19"/>
        <w:ind w:right="1130"/>
        <w:jc w:val="both"/>
      </w:pPr>
      <w:r>
        <w:rPr>
          <w:spacing w:val="-2"/>
        </w:rPr>
        <w:t>方合并财务报表中的账面价值的份额作为长期股权投资的初始投资成本；非同一控制下的企业合并，按照购买日确定的合并</w:t>
      </w:r>
      <w:r>
        <w:rPr>
          <w:spacing w:val="-63"/>
        </w:rPr>
        <w:t> </w:t>
      </w:r>
      <w:r>
        <w:rPr>
          <w:spacing w:val="-63"/>
        </w:rPr>
      </w:r>
      <w:r>
        <w:rPr>
          <w:spacing w:val="-2"/>
        </w:rPr>
        <w:t>成本作为长期股权投资的初始投资成本；以支付现金取得的长期股权投资，初始投资成本为实际支付的购买价款；以发行权</w:t>
      </w:r>
      <w:r>
        <w:rPr>
          <w:spacing w:val="-63"/>
        </w:rPr>
        <w:t> </w:t>
      </w:r>
      <w:r>
        <w:rPr>
          <w:spacing w:val="-63"/>
        </w:rPr>
      </w:r>
      <w:r>
        <w:rPr>
          <w:spacing w:val="-2"/>
        </w:rPr>
        <w:t>益性证券取得的长期股权投资，初始投资成本为发行权益性证券的公允价值；通过债务重组取得的长期股权投资，其初始投</w:t>
      </w:r>
      <w:r>
        <w:rPr>
          <w:spacing w:val="-63"/>
        </w:rPr>
        <w:t> </w:t>
      </w:r>
      <w:r>
        <w:rPr>
          <w:spacing w:val="-63"/>
        </w:rPr>
      </w:r>
      <w:r>
        <w:rPr>
          <w:spacing w:val="-2"/>
        </w:rPr>
        <w:t>资成本按照《企业会计准则第</w:t>
      </w:r>
      <w:r>
        <w:rPr>
          <w:rFonts w:ascii="宋体" w:hAnsi="宋体" w:cs="宋体" w:eastAsia="宋体" w:hint="default"/>
          <w:spacing w:val="-2"/>
        </w:rPr>
        <w:t>12</w:t>
      </w:r>
      <w:r>
        <w:rPr>
          <w:spacing w:val="-2"/>
        </w:rPr>
        <w:t>号——债务重组》的有关规定确定；非货币性资产交换取得的长期股权投资，初始投资成本</w:t>
      </w:r>
      <w:r>
        <w:rPr>
          <w:spacing w:val="-62"/>
        </w:rPr>
        <w:t> </w:t>
      </w:r>
      <w:r>
        <w:rPr>
          <w:spacing w:val="-62"/>
        </w:rPr>
      </w:r>
      <w:r>
        <w:rPr/>
        <w:t>按照《企业会计准则第</w:t>
      </w:r>
      <w:r>
        <w:rPr>
          <w:rFonts w:ascii="宋体" w:hAnsi="宋体" w:cs="宋体" w:eastAsia="宋体" w:hint="default"/>
        </w:rPr>
        <w:t>7</w:t>
      </w:r>
      <w:r>
        <w:rPr/>
        <w:t>号——非货币性资产交换》的有关规定确定。</w:t>
      </w:r>
    </w:p>
    <w:p>
      <w:pPr>
        <w:pStyle w:val="BodyText"/>
        <w:spacing w:line="316" w:lineRule="auto" w:before="19"/>
        <w:ind w:left="533" w:right="1133"/>
        <w:jc w:val="left"/>
      </w:pPr>
      <w:r>
        <w:rPr/>
        <w:t>（</w:t>
      </w:r>
      <w:r>
        <w:rPr>
          <w:rFonts w:ascii="宋体" w:hAnsi="宋体" w:cs="宋体" w:eastAsia="宋体" w:hint="default"/>
        </w:rPr>
        <w:t>2</w:t>
      </w:r>
      <w:r>
        <w:rPr/>
        <w:t>）后续计量及损益确认方法 本公司能够对被投资单位实施控制的长期股权投资采用成本法核算，对联营企业和合营企业的长期股权投资采用权益</w:t>
      </w:r>
    </w:p>
    <w:p>
      <w:pPr>
        <w:pStyle w:val="BodyText"/>
        <w:spacing w:line="316" w:lineRule="auto" w:before="19"/>
        <w:ind w:right="1131"/>
        <w:jc w:val="both"/>
      </w:pPr>
      <w:r>
        <w:rPr>
          <w:spacing w:val="-2"/>
        </w:rPr>
        <w:t>法核算。本公司对联营企业的权益性投资，其中一部分通过风险投资机构、共同基金、信托公司或包括投连险基金在内的类</w:t>
      </w:r>
      <w:r>
        <w:rPr>
          <w:spacing w:val="-64"/>
        </w:rPr>
        <w:t> </w:t>
      </w:r>
      <w:r>
        <w:rPr>
          <w:spacing w:val="-64"/>
        </w:rPr>
      </w:r>
      <w:r>
        <w:rPr>
          <w:spacing w:val="-2"/>
        </w:rPr>
        <w:t>似主体间接持有的，无论以上主体是否对这部分投资具有重大影响，本公司按照《企业会计准则第</w:t>
      </w:r>
      <w:r>
        <w:rPr>
          <w:rFonts w:ascii="宋体" w:hAnsi="宋体" w:cs="宋体" w:eastAsia="宋体" w:hint="default"/>
          <w:spacing w:val="-2"/>
        </w:rPr>
        <w:t>22</w:t>
      </w:r>
      <w:r>
        <w:rPr>
          <w:spacing w:val="-2"/>
        </w:rPr>
        <w:t>号——金融工具确认和</w:t>
      </w:r>
      <w:r>
        <w:rPr>
          <w:spacing w:val="-64"/>
        </w:rPr>
        <w:t> </w:t>
      </w:r>
      <w:r>
        <w:rPr>
          <w:spacing w:val="-64"/>
        </w:rPr>
      </w:r>
      <w:r>
        <w:rPr/>
        <w:t>计量》的有关规定处理，并对其余部分采用权益法核算。</w:t>
      </w:r>
    </w:p>
    <w:p>
      <w:pPr>
        <w:pStyle w:val="BodyText"/>
        <w:spacing w:line="316" w:lineRule="auto" w:before="19"/>
        <w:ind w:left="533" w:right="1133"/>
        <w:jc w:val="left"/>
      </w:pPr>
      <w:r>
        <w:rPr/>
        <w:t>（</w:t>
      </w:r>
      <w:r>
        <w:rPr>
          <w:rFonts w:ascii="宋体" w:hAnsi="宋体" w:cs="宋体" w:eastAsia="宋体" w:hint="default"/>
        </w:rPr>
        <w:t>3</w:t>
      </w:r>
      <w:r>
        <w:rPr/>
        <w:t>）确定对被投资单位具有共同控制、重大影响的依据 对被投资单位具有共同控制，是指对某项安排的回报产生重大影响的活动必须经过分享控制权的参与方一致同意后才</w:t>
      </w:r>
    </w:p>
    <w:p>
      <w:pPr>
        <w:pStyle w:val="BodyText"/>
        <w:spacing w:line="316" w:lineRule="auto" w:before="19"/>
        <w:ind w:right="1131"/>
        <w:jc w:val="both"/>
      </w:pPr>
      <w:r>
        <w:rPr>
          <w:spacing w:val="-2"/>
        </w:rPr>
        <w:t>能决策，包括商品或劳务的销售和购买、金融资产的管理、资产的购买和处置、研究与开发活动以及融资活动等；对被投资</w:t>
      </w:r>
      <w:r>
        <w:rPr>
          <w:spacing w:val="-67"/>
        </w:rPr>
        <w:t> </w:t>
      </w:r>
      <w:r>
        <w:rPr>
          <w:spacing w:val="-67"/>
        </w:rPr>
      </w:r>
      <w:r>
        <w:rPr/>
        <w:t>单位具有重大影响，是指当持有被投资单位</w:t>
      </w:r>
      <w:r>
        <w:rPr>
          <w:rFonts w:ascii="宋体" w:hAnsi="宋体" w:cs="宋体" w:eastAsia="宋体" w:hint="default"/>
        </w:rPr>
        <w:t>20%</w:t>
      </w:r>
      <w:r>
        <w:rPr/>
        <w:t>以上至</w:t>
      </w:r>
      <w:r>
        <w:rPr>
          <w:rFonts w:ascii="宋体" w:hAnsi="宋体" w:cs="宋体" w:eastAsia="宋体" w:hint="default"/>
        </w:rPr>
        <w:t>50%</w:t>
      </w:r>
      <w:r>
        <w:rPr/>
        <w:t>的表决权资本时，具有重大影响。或虽不足</w:t>
      </w:r>
      <w:r>
        <w:rPr>
          <w:rFonts w:ascii="宋体" w:hAnsi="宋体" w:cs="宋体" w:eastAsia="宋体" w:hint="default"/>
        </w:rPr>
        <w:t>20%</w:t>
      </w:r>
      <w:r>
        <w:rPr/>
        <w:t>，但符合下列条件</w:t>
      </w:r>
      <w:r>
        <w:rPr>
          <w:spacing w:val="-85"/>
        </w:rPr>
        <w:t> </w:t>
      </w:r>
      <w:r>
        <w:rPr>
          <w:spacing w:val="-85"/>
        </w:rPr>
      </w:r>
      <w:r>
        <w:rPr>
          <w:spacing w:val="-2"/>
        </w:rPr>
        <w:t>之一时，具有重大影响：在被投资单位的董事会或类似的权力机构中派有代表；参与被投资单位的政策制定过程；向被投资</w:t>
      </w:r>
      <w:r>
        <w:rPr>
          <w:spacing w:val="-64"/>
        </w:rPr>
        <w:t> </w:t>
      </w:r>
      <w:r>
        <w:rPr>
          <w:spacing w:val="-64"/>
        </w:rPr>
      </w:r>
      <w:r>
        <w:rPr/>
        <w:t>单位派出管理人员；被投资单位依赖投资公司的技术或技术资料；与被投资单位之间发生重要交易。</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23、投资性房地产" w:id="191"/>
      <w:bookmarkEnd w:id="191"/>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投资性房地产计量模式</w:t>
      </w:r>
    </w:p>
    <w:p>
      <w:pPr>
        <w:spacing w:after="0" w:line="240" w:lineRule="auto"/>
        <w:jc w:val="left"/>
        <w:sectPr>
          <w:pgSz w:w="11910" w:h="16840"/>
          <w:pgMar w:header="906" w:footer="1551" w:top="1100" w:bottom="174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4、固定资产" w:id="192"/>
      <w:bookmarkEnd w:id="192"/>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left"/>
      </w:pPr>
      <w:r>
        <w:rPr/>
        <w:t>固定资产指为生产商品、提供劳务、出租或经营管理而持有的，使用寿命超过一个会计年度的有形资产。同时满足以 下条件时予以确认：与该固定资产有关的经济利益很可能流入企业；该固定资产的成本能够可靠地计量。</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3.17-1.90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11.88-19.00</w:t>
            </w:r>
          </w:p>
        </w:tc>
      </w:tr>
    </w:tbl>
    <w:p>
      <w:pPr>
        <w:pStyle w:val="BodyText"/>
        <w:spacing w:line="316" w:lineRule="auto" w:before="8"/>
        <w:ind w:right="1130" w:firstLine="694"/>
        <w:jc w:val="both"/>
      </w:pPr>
      <w:r>
        <w:rPr>
          <w:spacing w:val="-2"/>
        </w:rPr>
        <w:t>本公司固定资产主要分为：房屋及建筑物、机器设备、电子设备、运输设备等；折旧方法采用年限平均法。根据各</w:t>
      </w:r>
      <w:r>
        <w:rPr/>
        <w:t> </w:t>
      </w:r>
      <w:r>
        <w:rPr>
          <w:spacing w:val="-2"/>
        </w:rPr>
        <w:t>类固定资产的性质和使用情况，确定固定资产的使用寿命和预计净残值。并在年度终了，对固定资产的使用寿命、预计净残</w:t>
      </w:r>
      <w:r>
        <w:rPr>
          <w:spacing w:val="-64"/>
        </w:rPr>
        <w:t> </w:t>
      </w:r>
      <w:r>
        <w:rPr>
          <w:spacing w:val="-64"/>
        </w:rPr>
      </w:r>
      <w:r>
        <w:rPr>
          <w:spacing w:val="-2"/>
        </w:rPr>
        <w:t>值和折旧方法进行复核，如与原先估计数存在差异的，进行相应的调整。除已提足折旧仍继续使用的固定资产和单独计价入</w:t>
      </w:r>
      <w:r>
        <w:rPr>
          <w:spacing w:val="-63"/>
        </w:rPr>
        <w:t> </w:t>
      </w:r>
      <w:r>
        <w:rPr>
          <w:spacing w:val="-63"/>
        </w:rPr>
      </w:r>
      <w:r>
        <w:rPr/>
        <w:t>账的土地之外，本公司对所有固定资产计提折旧。</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both"/>
      </w:pPr>
      <w:r>
        <w:rPr/>
        <w:t>融资租入固定资产为实质上转移了与资产所有权有关的全部风险和报酬的租赁。融资租入固定资产初始计价为租赁期 </w:t>
      </w:r>
      <w:r>
        <w:rPr>
          <w:spacing w:val="-2"/>
        </w:rPr>
        <w:t>开始日租赁资产公允价值与最低租赁付款额现值较低者作为入账价值；融资租入固定资产后续计价采用与自有固定资产相一</w:t>
      </w:r>
      <w:r>
        <w:rPr>
          <w:spacing w:val="-64"/>
        </w:rPr>
        <w:t> </w:t>
      </w:r>
      <w:r>
        <w:rPr>
          <w:spacing w:val="-64"/>
        </w:rPr>
      </w:r>
      <w:r>
        <w:rPr/>
        <w:t>致的折旧政策计提折旧及减值准备。</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bookmarkStart w:name="25、在建工程" w:id="196"/>
      <w:bookmarkEnd w:id="196"/>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420"/>
        <w:jc w:val="left"/>
      </w:pPr>
      <w:r>
        <w:rPr>
          <w:spacing w:val="-2"/>
        </w:rPr>
        <w:t>本公司在建工程分为自营方式建造和出包方式建造两种。在建工程在工程完工达到预定可使用状态时，结转固定资产。</w:t>
      </w:r>
      <w:r>
        <w:rPr/>
        <w:t> </w:t>
      </w:r>
      <w:r>
        <w:rPr>
          <w:spacing w:val="-2"/>
        </w:rPr>
        <w:t>预定可使用状态的判断标准，应符合下列情况之一：固定资产的实体建造（包括安装）工作已经全部完成或实质上已经全部</w:t>
      </w:r>
      <w:r>
        <w:rPr>
          <w:spacing w:val="-64"/>
        </w:rPr>
        <w:t> </w:t>
      </w:r>
      <w:r>
        <w:rPr>
          <w:spacing w:val="-64"/>
        </w:rPr>
      </w:r>
      <w:r>
        <w:rPr>
          <w:spacing w:val="-2"/>
        </w:rPr>
        <w:t>完成；已经试生产或试运行，并且其结果表明资产能够正常运行或能够稳定地生产出合格产品，或者试运行结果表明其能够</w:t>
      </w:r>
      <w:r>
        <w:rPr>
          <w:spacing w:val="-65"/>
        </w:rPr>
        <w:t> </w:t>
      </w:r>
      <w:r>
        <w:rPr>
          <w:spacing w:val="-65"/>
        </w:rPr>
      </w:r>
      <w:r>
        <w:rPr/>
        <w:t>正常运转或营业；该项建造的固定资产上的支出金额很少或者几乎不再发生；所购建的固定资产已经达到设计或合同要求， 或与设计或合同要求基本相符。</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6、借款费用" w:id="197"/>
      <w:bookmarkEnd w:id="197"/>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）借款费用资本化的确认原则 本公司发生的借款费用，可直接归属于符合资本化条件的资产的购建或者生产的，予以资本化，计入相关资产成本；</w:t>
      </w:r>
    </w:p>
    <w:p>
      <w:pPr>
        <w:pStyle w:val="BodyText"/>
        <w:spacing w:line="316" w:lineRule="auto" w:before="19"/>
        <w:ind w:right="1129"/>
        <w:jc w:val="left"/>
      </w:pPr>
      <w:r>
        <w:rPr>
          <w:spacing w:val="-2"/>
        </w:rPr>
        <w:t>其他借款费用，在发生时根据其发生额确认为费用，计入当期损益。符合资本化条件的资产，是指需要经过相当长时间的购</w:t>
      </w:r>
      <w:r>
        <w:rPr>
          <w:spacing w:val="-65"/>
        </w:rPr>
        <w:t> </w:t>
      </w:r>
      <w:r>
        <w:rPr>
          <w:spacing w:val="-65"/>
        </w:rPr>
      </w:r>
      <w:r>
        <w:rPr/>
        <w:t>建或者生产活动才能达到预定可使用或者可销售状态的固定资产、投资性房地产和存货等资产。</w:t>
      </w:r>
    </w:p>
    <w:p>
      <w:pPr>
        <w:pStyle w:val="BodyText"/>
        <w:spacing w:line="316" w:lineRule="auto" w:before="19"/>
        <w:ind w:left="533" w:right="1133"/>
        <w:jc w:val="left"/>
      </w:pPr>
      <w:r>
        <w:rPr/>
        <w:t>（</w:t>
      </w:r>
      <w:r>
        <w:rPr>
          <w:rFonts w:ascii="宋体" w:hAnsi="宋体" w:cs="宋体" w:eastAsia="宋体" w:hint="default"/>
        </w:rPr>
        <w:t>2</w:t>
      </w:r>
      <w:r>
        <w:rPr/>
        <w:t>）资本化金额计算方法 资本化期间，是指从借款费用开始资本化时点到停止资本化时点的期间。借款费用暂停资本化的期间不包括在内。在</w:t>
      </w:r>
    </w:p>
    <w:p>
      <w:pPr>
        <w:pStyle w:val="BodyText"/>
        <w:spacing w:line="316" w:lineRule="auto" w:before="19"/>
        <w:ind w:left="533" w:right="1133" w:hanging="421"/>
        <w:jc w:val="left"/>
      </w:pPr>
      <w:r>
        <w:rPr/>
        <w:t>购建或生产过程中发生非正常中断、且中断时间连续超过</w:t>
      </w:r>
      <w:r>
        <w:rPr>
          <w:rFonts w:ascii="宋体" w:hAnsi="宋体" w:cs="宋体" w:eastAsia="宋体" w:hint="default"/>
        </w:rPr>
        <w:t>3</w:t>
      </w:r>
      <w:r>
        <w:rPr/>
        <w:t>个月的，应当暂停借款费用的资本化。 借入专门借款，按照专门借款当期实际发生的利息费用，减去将尚未动用的借款资金存入银行取得的利息收入或进行</w:t>
      </w:r>
    </w:p>
    <w:p>
      <w:pPr>
        <w:pStyle w:val="BodyText"/>
        <w:spacing w:line="316" w:lineRule="auto" w:before="18"/>
        <w:ind w:right="1129"/>
        <w:jc w:val="left"/>
      </w:pPr>
      <w:r>
        <w:rPr>
          <w:spacing w:val="-2"/>
        </w:rPr>
        <w:t>暂时性投资取得的投资收益后的金额确定；占用一般借款按照累计资产支出超过专门借款部分的资产支出加权平均数乘以所</w:t>
      </w:r>
      <w:r>
        <w:rPr>
          <w:spacing w:val="-64"/>
        </w:rPr>
        <w:t> </w:t>
      </w:r>
      <w:r>
        <w:rPr>
          <w:spacing w:val="-64"/>
        </w:rPr>
      </w:r>
      <w:r>
        <w:rPr>
          <w:spacing w:val="-2"/>
        </w:rPr>
        <w:t>占用一般借款的资本化率计算确定，资本化率为一般借款的加权平均利率；借款存在折价或溢价的，按照实际利率法确定每</w:t>
      </w:r>
    </w:p>
    <w:p>
      <w:pPr>
        <w:spacing w:after="0" w:line="316" w:lineRule="auto"/>
        <w:jc w:val="left"/>
        <w:sectPr>
          <w:footerReference w:type="default" r:id="rId25"/>
          <w:pgSz w:w="11910" w:h="16840"/>
          <w:pgMar w:footer="1021" w:header="906" w:top="1100" w:bottom="1220" w:left="1020" w:right="0"/>
          <w:pgNumType w:start="96"/>
        </w:sectPr>
      </w:pPr>
    </w:p>
    <w:p>
      <w:pPr>
        <w:spacing w:line="240" w:lineRule="auto" w:before="10"/>
        <w:rPr>
          <w:rFonts w:ascii="宋体" w:hAnsi="宋体" w:cs="宋体" w:eastAsia="宋体" w:hint="default"/>
          <w:sz w:val="22"/>
          <w:szCs w:val="22"/>
        </w:rPr>
      </w:pPr>
    </w:p>
    <w:p>
      <w:pPr>
        <w:pStyle w:val="BodyText"/>
        <w:spacing w:line="319" w:lineRule="auto" w:before="44"/>
        <w:ind w:left="533" w:right="1133" w:hanging="421"/>
        <w:jc w:val="left"/>
      </w:pPr>
      <w:r>
        <w:rPr/>
        <w:t>一会计期间应摊销的折价或溢价金额，调整每期利息金额。 实际利率法是根据借款实际利率计算其摊余折价或溢价或利息费用的方法。其中实际利率是借款在预期存续期间的未</w:t>
      </w:r>
    </w:p>
    <w:p>
      <w:pPr>
        <w:pStyle w:val="BodyText"/>
        <w:spacing w:line="240" w:lineRule="auto" w:before="17"/>
        <w:ind w:right="1133"/>
        <w:jc w:val="left"/>
      </w:pPr>
      <w:r>
        <w:rPr/>
        <w:t>来现金流量，折现为该借款当前账面价值所使用的利率。</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7、生物资产" w:id="198"/>
      <w:bookmarkEnd w:id="198"/>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8、油气资产" w:id="199"/>
      <w:bookmarkEnd w:id="199"/>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9、使用权资产" w:id="200"/>
      <w:bookmarkEnd w:id="200"/>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0、无形资产" w:id="201"/>
      <w:bookmarkEnd w:id="201"/>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33" w:right="1133"/>
        <w:jc w:val="left"/>
      </w:pPr>
      <w:r>
        <w:rPr>
          <w:rFonts w:ascii="宋体" w:hAnsi="宋体" w:cs="宋体" w:eastAsia="宋体" w:hint="default"/>
        </w:rPr>
        <w:t>1.</w:t>
      </w:r>
      <w:r>
        <w:rPr/>
        <w:t>无形资产的计价方法 本公司无形资产按照成本进行初始计量。购入的无形资产，按实际支付的价款和相关支出作为实际成本。投资者投入</w:t>
      </w:r>
    </w:p>
    <w:p>
      <w:pPr>
        <w:pStyle w:val="BodyText"/>
        <w:spacing w:line="316" w:lineRule="auto" w:before="19"/>
        <w:ind w:right="1129"/>
        <w:jc w:val="left"/>
      </w:pPr>
      <w:r>
        <w:rPr>
          <w:spacing w:val="-2"/>
        </w:rPr>
        <w:t>的无形资产，按投资合同或协议约定的价值确定实际成本，但合同或协议约定价值不公允的，按公允价值确定实际成本。自</w:t>
      </w:r>
      <w:r>
        <w:rPr>
          <w:spacing w:val="-64"/>
        </w:rPr>
        <w:t> </w:t>
      </w:r>
      <w:r>
        <w:rPr>
          <w:spacing w:val="-64"/>
        </w:rPr>
      </w:r>
      <w:r>
        <w:rPr/>
        <w:t>行开发的无形资产，其成本为达到预定用途前所发生的支出总额。</w:t>
      </w:r>
    </w:p>
    <w:p>
      <w:pPr>
        <w:pStyle w:val="BodyText"/>
        <w:spacing w:line="316" w:lineRule="auto" w:before="19"/>
        <w:ind w:right="0" w:firstLine="420"/>
        <w:jc w:val="left"/>
      </w:pPr>
      <w:r>
        <w:rPr/>
        <w:t>本公司无形资产后续计量方法分别为：使用寿命有限无形资产采用直线法摊销，并在年度终了，对无形资产的使用寿 </w:t>
      </w:r>
      <w:r>
        <w:rPr>
          <w:spacing w:val="-4"/>
        </w:rPr>
        <w:t>命和摊销方法进行复核，如与原先估计数存在差异的，进行相应的调整；使用寿命不确定的无形资产不摊销，但在年度终了，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pStyle w:val="BodyText"/>
        <w:spacing w:line="316" w:lineRule="auto" w:before="19"/>
        <w:ind w:left="533" w:right="1133"/>
        <w:jc w:val="left"/>
      </w:pPr>
      <w:r>
        <w:rPr>
          <w:rFonts w:ascii="宋体" w:hAnsi="宋体" w:cs="宋体" w:eastAsia="宋体" w:hint="default"/>
        </w:rPr>
        <w:t>2.</w:t>
      </w:r>
      <w:r>
        <w:rPr/>
        <w:t>使用寿命不确定的判断依据 本公司将无法预见该资产为公司带来经济利益的期限，或使用期限不确定的无形资产确定为使用寿命不确定的无形资</w:t>
      </w:r>
    </w:p>
    <w:p>
      <w:pPr>
        <w:pStyle w:val="BodyText"/>
        <w:spacing w:line="316" w:lineRule="auto" w:before="19"/>
        <w:ind w:right="1129"/>
        <w:jc w:val="left"/>
      </w:pPr>
      <w:r>
        <w:rPr>
          <w:spacing w:val="-2"/>
        </w:rPr>
        <w:t>产。使用寿命不确定的判断依据为：来源于合同性权利或其他法定权利，但合同规定或法律规定无明确使用年限；综合同行</w:t>
      </w:r>
      <w:r>
        <w:rPr>
          <w:spacing w:val="-65"/>
        </w:rPr>
        <w:t> </w:t>
      </w:r>
      <w:r>
        <w:rPr>
          <w:spacing w:val="-65"/>
        </w:rPr>
      </w:r>
      <w:r>
        <w:rPr/>
        <w:t>业情况或相关专家论证等，仍无法判断无形资产为公司带来经济利益的期限。</w:t>
      </w:r>
    </w:p>
    <w:p>
      <w:pPr>
        <w:pStyle w:val="BodyText"/>
        <w:spacing w:line="316" w:lineRule="auto" w:before="19"/>
        <w:ind w:right="1133" w:firstLine="420"/>
        <w:jc w:val="left"/>
      </w:pPr>
      <w:r>
        <w:rPr/>
        <w:t>每年年末，对使用寿命不确定的无形资产的使用寿命进行复核，主要采取自下而上的方式，由无形资产使用相关部门 进行基础复核，评价使用寿命不确定判断依据是否存在变化等。</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left"/>
      </w:pPr>
      <w:r>
        <w:rPr/>
        <w:t>内部研究开发项目研究阶段的支出，于发生时计入当期损益；开发阶段的支出，满足确认为无形资产条件的转入无形 资产核算。</w:t>
      </w:r>
    </w:p>
    <w:p>
      <w:pPr>
        <w:pStyle w:val="BodyText"/>
        <w:spacing w:line="316" w:lineRule="auto" w:before="19"/>
        <w:ind w:right="1129" w:firstLine="420"/>
        <w:jc w:val="both"/>
      </w:pPr>
      <w:r>
        <w:rPr/>
        <w:t>划分内部研究开发项目的研究阶段和开发阶段的具体标准：为获取新的技术和知识等进行的有计划的调查阶段，应确 </w:t>
      </w:r>
      <w:r>
        <w:rPr>
          <w:spacing w:val="-2"/>
        </w:rPr>
        <w:t>定为研究阶段，该阶段具有计划性和探索性等特点；在进行商业性生产或使用前，将研究成果或其他知识应用于某项计划或</w:t>
      </w:r>
      <w:r>
        <w:rPr>
          <w:spacing w:val="-62"/>
        </w:rPr>
        <w:t> </w:t>
      </w:r>
      <w:r>
        <w:rPr>
          <w:spacing w:val="-62"/>
        </w:rPr>
      </w:r>
      <w:r>
        <w:rPr>
          <w:spacing w:val="-2"/>
        </w:rPr>
        <w:t>设计，以生产出新的或具有实质性改进的材料、装置、产品等阶段，应确定为开发阶段，该阶段具有针对性和形成成果的可</w:t>
      </w:r>
      <w:r>
        <w:rPr>
          <w:spacing w:val="-67"/>
        </w:rPr>
        <w:t> </w:t>
      </w:r>
      <w:r>
        <w:rPr>
          <w:spacing w:val="-67"/>
        </w:rPr>
      </w:r>
      <w:r>
        <w:rPr/>
        <w:t>能性较大等特点。</w:t>
      </w:r>
    </w:p>
    <w:p>
      <w:pPr>
        <w:spacing w:after="0" w:line="316"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1、长期资产减值" w:id="204"/>
      <w:bookmarkEnd w:id="204"/>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420"/>
        <w:jc w:val="both"/>
      </w:pPr>
      <w:r>
        <w:rPr/>
        <w:t>长期股权投资、采用成本模式计量的投资性房地产、固定资产、在建工程、采用成本模式计量的生产性生物资产、油 </w:t>
      </w:r>
      <w:r>
        <w:rPr>
          <w:spacing w:val="-2"/>
        </w:rPr>
        <w:t>气资产、无形资产等长期资产于资产负债表日存在减值迹象的，进行减值测试。减值测试结果表明资产的可收回金额低于其</w:t>
      </w:r>
      <w:r>
        <w:rPr>
          <w:spacing w:val="-66"/>
        </w:rPr>
        <w:t> </w:t>
      </w:r>
      <w:r>
        <w:rPr>
          <w:spacing w:val="-66"/>
        </w:rPr>
      </w:r>
      <w:r>
        <w:rPr/>
        <w:t>账面价值的，按其差额计提减值准备并计入减值损失。</w:t>
      </w:r>
    </w:p>
    <w:p>
      <w:pPr>
        <w:pStyle w:val="BodyText"/>
        <w:spacing w:line="316" w:lineRule="auto" w:before="19"/>
        <w:ind w:right="1133" w:firstLine="420"/>
        <w:jc w:val="both"/>
      </w:pPr>
      <w:r>
        <w:rPr/>
        <w:t>可收回金额为资产的公允价值减去处置费用后的净额与资产预计未来现金流量的现值两者之间的较高者。资产减值准 </w:t>
      </w:r>
      <w:r>
        <w:rPr>
          <w:spacing w:val="-2"/>
        </w:rPr>
        <w:t>备按单项资产为基础计算并确认，如果难以对单项资产的可收回金额进行估计的，以该资产所属的资产组确定资产组的可收</w:t>
      </w:r>
      <w:r>
        <w:rPr>
          <w:spacing w:val="-64"/>
        </w:rPr>
        <w:t> </w:t>
      </w:r>
      <w:r>
        <w:rPr>
          <w:spacing w:val="-64"/>
        </w:rPr>
      </w:r>
      <w:r>
        <w:rPr/>
        <w:t>回金额。资产组是能够独立产生现金流入的最小资产组合。</w:t>
      </w:r>
    </w:p>
    <w:p>
      <w:pPr>
        <w:pStyle w:val="BodyText"/>
        <w:spacing w:line="316" w:lineRule="auto" w:before="19"/>
        <w:ind w:right="1129" w:firstLine="420"/>
        <w:jc w:val="both"/>
      </w:pPr>
      <w:r>
        <w:rPr/>
        <w:t>在财务报表中单独列示的商誉，无论是否存在减值迹象，至少每年进行减值测试。减值测试时，商誉的账面价值分摊 </w:t>
      </w:r>
      <w:r>
        <w:rPr>
          <w:spacing w:val="-2"/>
        </w:rPr>
        <w:t>至预期从企业合并的协同效应中受益的资产组或资产组组合。测试结果表明包含分摊的商誉的资产组或资产组组合的可收回</w:t>
      </w:r>
      <w:r>
        <w:rPr>
          <w:spacing w:val="-64"/>
        </w:rPr>
        <w:t> </w:t>
      </w:r>
      <w:r>
        <w:rPr>
          <w:spacing w:val="-64"/>
        </w:rPr>
      </w:r>
      <w:r>
        <w:rPr>
          <w:spacing w:val="-2"/>
        </w:rPr>
        <w:t>金额低于其账面价值的，确认相应的减值损失。减值损失金额先抵减分摊至该资产组或资产组组合的商誉的账面价值，再根</w:t>
      </w:r>
      <w:r>
        <w:rPr>
          <w:spacing w:val="-62"/>
        </w:rPr>
        <w:t> </w:t>
      </w:r>
      <w:r>
        <w:rPr>
          <w:spacing w:val="-62"/>
        </w:rPr>
      </w:r>
      <w:r>
        <w:rPr/>
        <w:t>据资产组或资产组组合中除商誉以外的其他各项资产的账面价值所占比重，按比例抵减其他各项资产的账面价值。</w:t>
      </w:r>
    </w:p>
    <w:p>
      <w:pPr>
        <w:pStyle w:val="BodyText"/>
        <w:spacing w:line="240" w:lineRule="auto" w:before="19"/>
        <w:ind w:left="53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2、长期待摊费用" w:id="205"/>
      <w:bookmarkEnd w:id="205"/>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51" w:firstLine="420"/>
        <w:jc w:val="both"/>
      </w:pPr>
      <w:r>
        <w:rPr/>
        <w:t>本公司长期待摊费用是指已经支出，但受益期限在一年以上（不含一年）的各项费用。长期待摊费用按费用项目的受 益期限分期摊销。若长期待摊的费用项目不能使以后会计期间受益，则将尚未摊销的该项目的摊余价值全部转入当期损益。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33、合同负债" w:id="206"/>
      <w:bookmarkEnd w:id="206"/>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4、职工薪酬" w:id="207"/>
      <w:bookmarkEnd w:id="207"/>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短期薪酬的会计处理方法" w:id="208"/>
      <w:bookmarkEnd w:id="20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在职工为本公司提供服务的会计期间，将实际发生的短期薪酬确认为负债，并计入当期损益，企业会计准则要求或允 </w:t>
      </w:r>
      <w:r>
        <w:rPr>
          <w:spacing w:val="-2"/>
        </w:rPr>
        <w:t>许计入资产成本的除外。本公司发生的职工福利费，在实际发生时根据实际发生额计入当期损益或相关资产成本。职工福利</w:t>
      </w:r>
      <w:r>
        <w:rPr>
          <w:spacing w:val="-63"/>
        </w:rPr>
        <w:t> </w:t>
      </w:r>
      <w:r>
        <w:rPr>
          <w:spacing w:val="-63"/>
        </w:rPr>
      </w:r>
      <w:r>
        <w:rPr>
          <w:spacing w:val="-2"/>
        </w:rPr>
        <w:t>费为非货币性福利的，按照公允价值计量。本公司为职工缴纳的医疗保险费、工伤保险费、生育保险费等社会保险费和住房</w:t>
      </w:r>
      <w:r>
        <w:rPr>
          <w:spacing w:val="-65"/>
        </w:rPr>
        <w:t> </w:t>
      </w:r>
      <w:r>
        <w:rPr>
          <w:spacing w:val="-65"/>
        </w:rPr>
      </w:r>
      <w:r>
        <w:rPr>
          <w:spacing w:val="-2"/>
        </w:rPr>
        <w:t>公积金，以及按规定提取的工会经费和职工教育经费，在职工提供服务的会计期间，根据规定的计提基础和计提比例计算确</w:t>
      </w:r>
      <w:r>
        <w:rPr>
          <w:spacing w:val="-63"/>
        </w:rPr>
        <w:t> </w:t>
      </w:r>
      <w:r>
        <w:rPr>
          <w:spacing w:val="-63"/>
        </w:rPr>
      </w:r>
      <w:r>
        <w:rPr/>
        <w:t>定相应的职工薪酬金额，并确认相应负债，计入当期损益或相关资产成本。</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离职后福利的会计处理方法" w:id="209"/>
      <w:bookmarkEnd w:id="20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firstLine="420"/>
        <w:jc w:val="both"/>
      </w:pPr>
      <w:r>
        <w:rPr/>
        <w:t>本公司在职工提供服务的会计期间，根据设定提存计划计算的应缴存金额确认为负债，并计入当期损益或相关资产成 </w:t>
      </w:r>
      <w:r>
        <w:rPr>
          <w:spacing w:val="-2"/>
        </w:rPr>
        <w:t>本。根据预期累计福利单位法确定的公式将设定受益计划产生的福利义务归属于职工提供服务的期间，并计入当期损益或相</w:t>
      </w:r>
      <w:r>
        <w:rPr>
          <w:spacing w:val="-64"/>
        </w:rPr>
        <w:t> </w:t>
      </w:r>
      <w:r>
        <w:rPr>
          <w:spacing w:val="-64"/>
        </w:rPr>
      </w:r>
      <w:r>
        <w:rPr/>
        <w:t>关资产成本。</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3）辞退福利的会计处理方法" w:id="210"/>
      <w:bookmarkEnd w:id="21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both"/>
      </w:pPr>
      <w:r>
        <w:rPr/>
        <w:t>本公司向职工提供辞退福利时，在下列两者孰早日确认辞退福利产生的职工薪酬负债，并计入当期损益：本公司不能 </w:t>
      </w:r>
      <w:r>
        <w:rPr>
          <w:spacing w:val="-2"/>
        </w:rPr>
        <w:t>单方面撤回因解除劳动关系计划或裁减建议所提供的辞退福利时；本公司确认与涉及支付辞退福利的重组相关的成本或费用</w:t>
      </w:r>
      <w:r>
        <w:rPr>
          <w:spacing w:val="-64"/>
        </w:rPr>
        <w:t> </w:t>
      </w:r>
      <w:r>
        <w:rPr>
          <w:spacing w:val="-64"/>
        </w:rPr>
      </w:r>
      <w:r>
        <w:rPr/>
        <w:t>时。</w:t>
      </w:r>
    </w:p>
    <w:p>
      <w:pPr>
        <w:spacing w:after="0" w:line="316"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4）其他长期职工福利的会计处理方法" w:id="211"/>
      <w:bookmarkEnd w:id="21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8" w:firstLine="420"/>
        <w:jc w:val="both"/>
      </w:pPr>
      <w:r>
        <w:rPr/>
        <w:t>本公司向职工提供的其他长期职工福利，符合设定提存计划条件的，应当按照有关设定提存计划的规定进行处理；除 此外，根据设定受益计划的有关规定，确认和计量其他长期职工福利净负债或净资产。</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35、租赁负债" w:id="212"/>
      <w:bookmarkEnd w:id="212"/>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6、预计负债" w:id="213"/>
      <w:bookmarkEnd w:id="213"/>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420"/>
        <w:jc w:val="both"/>
      </w:pPr>
      <w:r>
        <w:rPr/>
        <w:t>当与或有事项相关的义务是公司承担的现时义务，且履行该义务很可能导致经济利益流出，同时其金额能够可靠地计 </w:t>
      </w:r>
      <w:r>
        <w:rPr>
          <w:spacing w:val="-2"/>
        </w:rPr>
        <w:t>量时确认该义务为预计负债。本公司按照履行相关现时义务所需支出的最佳估计数进行初始计量，如所需支出存在一个连续</w:t>
      </w:r>
      <w:r>
        <w:rPr>
          <w:spacing w:val="-64"/>
        </w:rPr>
        <w:t> </w:t>
      </w:r>
      <w:r>
        <w:rPr>
          <w:spacing w:val="-64"/>
        </w:rPr>
      </w:r>
      <w:r>
        <w:rPr>
          <w:spacing w:val="-2"/>
        </w:rPr>
        <w:t>范围，且该范围内各种结果发生的可能性相同，最佳估计数按照该范围内的中间值确定；如涉及多个项目，按照各种可能结</w:t>
      </w:r>
      <w:r>
        <w:rPr>
          <w:spacing w:val="-64"/>
        </w:rPr>
        <w:t> </w:t>
      </w:r>
      <w:r>
        <w:rPr>
          <w:spacing w:val="-64"/>
        </w:rPr>
      </w:r>
      <w:r>
        <w:rPr/>
        <w:t>果及相关概率计算确定最佳估计数。</w:t>
      </w:r>
    </w:p>
    <w:p>
      <w:pPr>
        <w:pStyle w:val="BodyText"/>
        <w:spacing w:line="316" w:lineRule="auto" w:before="17"/>
        <w:ind w:right="1138" w:firstLine="420"/>
        <w:jc w:val="both"/>
      </w:pPr>
      <w:r>
        <w:rPr/>
        <w:t>资产负债表日应当对预计负债账面价值进行复核，有确凿证据表明该账面价值不能真实反映当前最佳估计数，应当按 照当前最佳估计数对该账面价值进行调整。</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37、股份支付" w:id="214"/>
      <w:bookmarkEnd w:id="214"/>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420"/>
        <w:jc w:val="both"/>
      </w:pPr>
      <w:r>
        <w:rPr/>
        <w:t>本公司股份支付包括以权益结算的股份支付和以现金结算的股份支付。以权益结算的股份支付换取职工提供服务的， </w:t>
      </w:r>
      <w:r>
        <w:rPr>
          <w:spacing w:val="-2"/>
        </w:rPr>
        <w:t>以授予职工权益工具的公允价值计量。存在活跃市场的，按照活跃市场中的报价确定；不存在活跃市场的，采用估值技术确</w:t>
      </w:r>
      <w:r>
        <w:rPr>
          <w:spacing w:val="-64"/>
        </w:rPr>
        <w:t> </w:t>
      </w:r>
      <w:r>
        <w:rPr>
          <w:spacing w:val="-64"/>
        </w:rPr>
      </w:r>
      <w:r>
        <w:rPr>
          <w:spacing w:val="-2"/>
        </w:rPr>
        <w:t>定，包括参考熟悉情况并自愿交易的各方最近进行的市场交易中使用的价格、参照实质上相同的其他金融工具的当前公允价</w:t>
      </w:r>
      <w:r>
        <w:rPr>
          <w:spacing w:val="-63"/>
        </w:rPr>
        <w:t> </w:t>
      </w:r>
      <w:r>
        <w:rPr>
          <w:spacing w:val="-63"/>
        </w:rPr>
      </w:r>
      <w:r>
        <w:rPr/>
        <w:t>值、现金流量折现法和期权定价模型等。</w:t>
      </w:r>
    </w:p>
    <w:p>
      <w:pPr>
        <w:pStyle w:val="BodyText"/>
        <w:spacing w:line="316" w:lineRule="auto" w:before="19"/>
        <w:ind w:right="1130" w:firstLine="420"/>
        <w:jc w:val="both"/>
      </w:pPr>
      <w:r>
        <w:rPr/>
        <w:t>在各个资产负债表日，根据最新取得的可行权人数变动、业绩指标完成情况等后续信息，修正预计可行权的股票期权 </w:t>
      </w:r>
      <w:r>
        <w:rPr>
          <w:spacing w:val="-2"/>
        </w:rPr>
        <w:t>数量，并以此为依据确认各期应分摊的费用。对于跨越多个会计期间的期权费用，一般可以按照该期权在某会计期间内等待</w:t>
      </w:r>
      <w:r>
        <w:rPr>
          <w:spacing w:val="-63"/>
        </w:rPr>
        <w:t> </w:t>
      </w:r>
      <w:r>
        <w:rPr>
          <w:spacing w:val="-63"/>
        </w:rPr>
      </w:r>
      <w:r>
        <w:rPr/>
        <w:t>期长度占整个等待期长度的比例进行分摊。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38、优先股、永续债等其他金融工具" w:id="215"/>
      <w:bookmarkEnd w:id="215"/>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9、收入" w:id="216"/>
      <w:bookmarkEnd w:id="216"/>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33" w:right="1844" w:hanging="42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本公司的收入包括销售商品收入、提供劳务收入和让渡资产使用权收入。</w:t>
      </w:r>
    </w:p>
    <w:p>
      <w:pPr>
        <w:pStyle w:val="BodyText"/>
        <w:spacing w:line="316" w:lineRule="auto" w:before="1"/>
        <w:ind w:left="533" w:right="8263"/>
        <w:jc w:val="left"/>
      </w:pPr>
      <w:r>
        <w:rPr/>
        <w:t>（</w:t>
      </w:r>
      <w:r>
        <w:rPr>
          <w:rFonts w:ascii="宋体" w:hAnsi="宋体" w:cs="宋体" w:eastAsia="宋体" w:hint="default"/>
        </w:rPr>
        <w:t>1</w:t>
      </w:r>
      <w:r>
        <w:rPr/>
        <w:t>）收入确认的一般原则 </w:t>
      </w:r>
      <w:r>
        <w:rPr>
          <w:rFonts w:ascii="宋体" w:hAnsi="宋体" w:cs="宋体" w:eastAsia="宋体" w:hint="default"/>
        </w:rPr>
        <w:t>1</w:t>
      </w:r>
      <w:r>
        <w:rPr/>
        <w:t>）销售商品</w:t>
      </w:r>
    </w:p>
    <w:p>
      <w:pPr>
        <w:pStyle w:val="BodyText"/>
        <w:spacing w:line="316" w:lineRule="auto" w:before="19"/>
        <w:ind w:right="1129" w:firstLine="420"/>
        <w:jc w:val="both"/>
      </w:pPr>
      <w:r>
        <w:rPr/>
        <w:t>本公司销售的商品在同时满足下列条件时，按从购货方已收或应收的合同或协议价款的金额确认销售商品收入：①已 </w:t>
      </w:r>
      <w:r>
        <w:rPr>
          <w:spacing w:val="-2"/>
        </w:rPr>
        <w:t>将商品所有权上的主要风险和报酬转移给购货方；②既没有保留通常与所有权相联系的继续管理权，也没有对已售出的商品</w:t>
      </w:r>
      <w:r>
        <w:rPr>
          <w:spacing w:val="-63"/>
        </w:rPr>
        <w:t> </w:t>
      </w:r>
      <w:r>
        <w:rPr>
          <w:spacing w:val="-63"/>
        </w:rPr>
      </w:r>
      <w:r>
        <w:rPr>
          <w:spacing w:val="-2"/>
        </w:rPr>
        <w:t>实施有效控制；③收入的金额能够可靠地计量；④相关的经济利益很可能流入企业；⑤相关的已发生或将发生的成本能够可</w:t>
      </w:r>
      <w:r>
        <w:rPr>
          <w:spacing w:val="-60"/>
        </w:rPr>
        <w:t> </w:t>
      </w:r>
      <w:r>
        <w:rPr>
          <w:spacing w:val="-60"/>
        </w:rPr>
      </w:r>
      <w:r>
        <w:rPr/>
        <w:t>靠地计量。</w:t>
      </w:r>
    </w:p>
    <w:p>
      <w:pPr>
        <w:pStyle w:val="BodyText"/>
        <w:spacing w:line="316" w:lineRule="auto" w:before="19"/>
        <w:ind w:right="1138" w:firstLine="420"/>
        <w:jc w:val="both"/>
      </w:pPr>
      <w:r>
        <w:rPr/>
        <w:t>合同或协议价款的收取采用递延方式，实质上具有融资性质的，按照应收的合同或协议价款的公允价值确定销售商品 收入金额。</w:t>
      </w:r>
    </w:p>
    <w:p>
      <w:pPr>
        <w:pStyle w:val="BodyText"/>
        <w:spacing w:line="240" w:lineRule="auto" w:before="19"/>
        <w:ind w:left="533" w:right="1133"/>
        <w:jc w:val="left"/>
      </w:pPr>
      <w:r>
        <w:rPr>
          <w:rFonts w:ascii="宋体" w:hAnsi="宋体" w:cs="宋体" w:eastAsia="宋体" w:hint="default"/>
        </w:rPr>
        <w:t>2</w:t>
      </w:r>
      <w:r>
        <w:rPr/>
        <w:t>）提供劳务</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3" w:firstLine="420"/>
        <w:jc w:val="both"/>
      </w:pPr>
      <w:r>
        <w:rPr/>
        <w:t>在同一会计期间内开始并完成的，在劳务已经提供，收到价款或取得收到价款的有关凭证时，确认为劳务收入；劳务 </w:t>
      </w:r>
      <w:r>
        <w:rPr>
          <w:spacing w:val="-2"/>
        </w:rPr>
        <w:t>的开始和完成分属不同会计期间的，在提供劳务交易的结果能够可靠估计的情况下，在资产负债表日按完工百分比法确认相</w:t>
      </w:r>
      <w:r>
        <w:rPr>
          <w:spacing w:val="-64"/>
        </w:rPr>
        <w:t> </w:t>
      </w:r>
      <w:r>
        <w:rPr>
          <w:spacing w:val="-64"/>
        </w:rPr>
      </w:r>
      <w:r>
        <w:rPr/>
        <w:t>关的劳务收入。</w:t>
      </w:r>
    </w:p>
    <w:p>
      <w:pPr>
        <w:pStyle w:val="BodyText"/>
        <w:spacing w:line="316" w:lineRule="auto" w:before="17"/>
        <w:ind w:right="1129" w:firstLine="420"/>
        <w:jc w:val="both"/>
      </w:pPr>
      <w:r>
        <w:rPr/>
        <w:t>在资产负债表日提供劳务交易结果不能够可靠估计的，分别下列情况处理：①已经发生的劳务成本预计能够得到补偿 </w:t>
      </w:r>
      <w:r>
        <w:rPr>
          <w:spacing w:val="-2"/>
        </w:rPr>
        <w:t>的，按照已经发生的劳务成本金额确认提供劳务收入，并按相同金额结转劳务成本。②已经发生的劳务成本预计不能够得到</w:t>
      </w:r>
      <w:r>
        <w:rPr>
          <w:spacing w:val="-61"/>
        </w:rPr>
        <w:t> </w:t>
      </w:r>
      <w:r>
        <w:rPr>
          <w:spacing w:val="-61"/>
        </w:rPr>
      </w:r>
      <w:r>
        <w:rPr/>
        <w:t>补偿的，将已经发生的劳务成本计入当期损益，不确认提供劳务收入。</w:t>
      </w:r>
    </w:p>
    <w:p>
      <w:pPr>
        <w:pStyle w:val="BodyText"/>
        <w:spacing w:line="316" w:lineRule="auto" w:before="19"/>
        <w:ind w:left="533" w:right="1513"/>
        <w:jc w:val="left"/>
      </w:pPr>
      <w:r>
        <w:rPr>
          <w:rFonts w:ascii="宋体" w:hAnsi="宋体" w:cs="宋体" w:eastAsia="宋体" w:hint="default"/>
        </w:rPr>
        <w:t>3</w:t>
      </w:r>
      <w:r>
        <w:rPr/>
        <w:t>）让渡资产使用权 本公司在与让渡资产使用权相关的经济利益能够流入和收入的金额能够可靠的计量时确认让渡资产使用权收入。</w:t>
      </w:r>
    </w:p>
    <w:p>
      <w:pPr>
        <w:pStyle w:val="BodyText"/>
        <w:spacing w:line="316" w:lineRule="auto" w:before="19"/>
        <w:ind w:left="533" w:right="8263"/>
        <w:jc w:val="left"/>
      </w:pPr>
      <w:r>
        <w:rPr/>
        <w:t>（</w:t>
      </w:r>
      <w:r>
        <w:rPr>
          <w:rFonts w:ascii="宋体" w:hAnsi="宋体" w:cs="宋体" w:eastAsia="宋体" w:hint="default"/>
        </w:rPr>
        <w:t>2</w:t>
      </w:r>
      <w:r>
        <w:rPr/>
        <w:t>）收入确认的具体应用 </w:t>
      </w:r>
      <w:r>
        <w:rPr>
          <w:rFonts w:ascii="宋体" w:hAnsi="宋体" w:cs="宋体" w:eastAsia="宋体" w:hint="default"/>
        </w:rPr>
        <w:t>1</w:t>
      </w:r>
      <w:r>
        <w:rPr/>
        <w:t>）</w:t>
      </w:r>
      <w:r>
        <w:rPr>
          <w:rFonts w:ascii="宋体" w:hAnsi="宋体" w:cs="宋体" w:eastAsia="宋体" w:hint="default"/>
        </w:rPr>
        <w:t>IT</w:t>
      </w:r>
      <w:r>
        <w:rPr/>
        <w:t>基础设施建设</w:t>
      </w:r>
    </w:p>
    <w:p>
      <w:pPr>
        <w:pStyle w:val="BodyText"/>
        <w:spacing w:line="319" w:lineRule="auto" w:before="19"/>
        <w:ind w:right="1034" w:firstLine="420"/>
        <w:jc w:val="left"/>
      </w:pPr>
      <w:r>
        <w:rPr>
          <w:rFonts w:ascii="宋体" w:hAnsi="宋体" w:cs="宋体" w:eastAsia="宋体" w:hint="default"/>
        </w:rPr>
        <w:t>IT</w:t>
      </w:r>
      <w:r>
        <w:rPr/>
        <w:t>基础设施建设业务根据银行业</w:t>
      </w:r>
      <w:r>
        <w:rPr>
          <w:rFonts w:ascii="宋体" w:hAnsi="宋体" w:cs="宋体" w:eastAsia="宋体" w:hint="default"/>
        </w:rPr>
        <w:t>IT</w:t>
      </w:r>
      <w:r>
        <w:rPr/>
        <w:t>基础设施建设不同层次的需求，为客户提供规划设计咨询、软硬件选型采购与部署 实施等覆盖</w:t>
      </w:r>
      <w:r>
        <w:rPr>
          <w:rFonts w:ascii="宋体" w:hAnsi="宋体" w:cs="宋体" w:eastAsia="宋体" w:hint="default"/>
        </w:rPr>
        <w:t>IT</w:t>
      </w:r>
      <w:r>
        <w:rPr/>
        <w:t>基础设施建设全生命周期的解决方案和服务，同时结合自有知识产权的软件产品为客户提供增值服务。同时， 公司还代理销售相关的</w:t>
      </w:r>
      <w:r>
        <w:rPr>
          <w:rFonts w:ascii="宋体" w:hAnsi="宋体" w:cs="宋体" w:eastAsia="宋体" w:hint="default"/>
        </w:rPr>
        <w:t>IT</w:t>
      </w:r>
      <w:r>
        <w:rPr/>
        <w:t>基础设施产品。</w:t>
      </w:r>
    </w:p>
    <w:p>
      <w:pPr>
        <w:pStyle w:val="BodyText"/>
        <w:spacing w:line="316" w:lineRule="auto" w:before="17"/>
        <w:ind w:left="533" w:right="4393"/>
        <w:jc w:val="left"/>
      </w:pPr>
      <w:r>
        <w:rPr/>
        <w:t>此类产品（除代理销售产品外）在产品交付并经客户验收合格后确认收入。 代理销售相关的</w:t>
      </w:r>
      <w:r>
        <w:rPr>
          <w:rFonts w:ascii="宋体" w:hAnsi="宋体" w:cs="宋体" w:eastAsia="宋体" w:hint="default"/>
        </w:rPr>
        <w:t>IT</w:t>
      </w:r>
      <w:r>
        <w:rPr/>
        <w:t>基础设施产品在产品交付客户时确认收入。 </w:t>
      </w:r>
      <w:r>
        <w:rPr>
          <w:rFonts w:ascii="宋体" w:hAnsi="宋体" w:cs="宋体" w:eastAsia="宋体" w:hint="default"/>
        </w:rPr>
        <w:t>2</w:t>
      </w:r>
      <w:r>
        <w:rPr/>
        <w:t>）</w:t>
      </w:r>
      <w:r>
        <w:rPr>
          <w:rFonts w:ascii="宋体" w:hAnsi="宋体" w:cs="宋体" w:eastAsia="宋体" w:hint="default"/>
        </w:rPr>
        <w:t>IT</w:t>
      </w:r>
      <w:r>
        <w:rPr/>
        <w:t>运维服务</w:t>
      </w:r>
    </w:p>
    <w:p>
      <w:pPr>
        <w:pStyle w:val="BodyText"/>
        <w:spacing w:line="316" w:lineRule="auto" w:before="19"/>
        <w:ind w:right="1138" w:firstLine="420"/>
        <w:jc w:val="both"/>
      </w:pPr>
      <w:r>
        <w:rPr>
          <w:rFonts w:ascii="宋体" w:hAnsi="宋体" w:cs="宋体" w:eastAsia="宋体" w:hint="default"/>
        </w:rPr>
        <w:t>IT</w:t>
      </w:r>
      <w:r>
        <w:rPr/>
        <w:t>运维服务业务主要为客户提供软硬件系统运维支持服务，包括基础软硬件维保、系统运维、专项运维、系统调优、 产品培训等。</w:t>
      </w:r>
    </w:p>
    <w:p>
      <w:pPr>
        <w:pStyle w:val="BodyText"/>
        <w:spacing w:line="316" w:lineRule="auto" w:before="19"/>
        <w:ind w:left="533" w:right="5653"/>
        <w:jc w:val="left"/>
      </w:pPr>
      <w:r>
        <w:rPr/>
        <w:t>此类服务主要根据相关合同约定的服务期间按期确认收入。 </w:t>
      </w:r>
      <w:r>
        <w:rPr>
          <w:rFonts w:ascii="宋体" w:hAnsi="宋体" w:cs="宋体" w:eastAsia="宋体" w:hint="default"/>
        </w:rPr>
        <w:t>3</w:t>
      </w:r>
      <w:r>
        <w:rPr/>
        <w:t>）软件解决方案</w:t>
      </w:r>
    </w:p>
    <w:p>
      <w:pPr>
        <w:pStyle w:val="BodyText"/>
        <w:spacing w:line="316" w:lineRule="auto" w:before="19"/>
        <w:ind w:left="533" w:right="1115"/>
        <w:jc w:val="left"/>
      </w:pPr>
      <w:r>
        <w:rPr/>
        <w:t>软件解决方案业务向客户提供以自主平台软件为基础的软件系统开发服务，包括定制软件开发、定量软件开发服务。 </w:t>
      </w:r>
      <w:r>
        <w:rPr>
          <w:spacing w:val="-1"/>
        </w:rPr>
        <w:t>定制开发是指合同签订时有明确开发需求</w:t>
      </w:r>
      <w:r>
        <w:rPr>
          <w:rFonts w:ascii="宋体" w:hAnsi="宋体" w:cs="宋体" w:eastAsia="宋体" w:hint="default"/>
          <w:spacing w:val="-1"/>
        </w:rPr>
        <w:t>,</w:t>
      </w:r>
      <w:r>
        <w:rPr>
          <w:spacing w:val="-1"/>
        </w:rPr>
        <w:t>在软件主要功能通过测试时点并经客户确认后，开始按完工百分比法确认收</w:t>
      </w:r>
    </w:p>
    <w:p>
      <w:pPr>
        <w:pStyle w:val="BodyText"/>
        <w:spacing w:line="316" w:lineRule="auto" w:before="19"/>
        <w:ind w:left="533" w:right="1133" w:hanging="421"/>
        <w:jc w:val="left"/>
      </w:pPr>
      <w:r>
        <w:rPr/>
        <w:t>入，完工进度根据累计实际发生的合同成本占合同预计总成本的比例确定。 定量开发是指合同约定按照开发工作量结算，在提供相应工作量的开发劳务并经客户确认后，确认对应工作量劳务的</w:t>
      </w:r>
    </w:p>
    <w:p>
      <w:pPr>
        <w:pStyle w:val="BodyText"/>
        <w:spacing w:line="240" w:lineRule="auto" w:before="19"/>
        <w:ind w:right="1133"/>
        <w:jc w:val="left"/>
      </w:pPr>
      <w:r>
        <w:rPr/>
        <w:t>收入。</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0、政府补助" w:id="217"/>
      <w:bookmarkEnd w:id="217"/>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33" w:right="1129"/>
        <w:jc w:val="left"/>
      </w:pPr>
      <w:r>
        <w:rPr>
          <w:rFonts w:ascii="宋体" w:hAnsi="宋体" w:cs="宋体" w:eastAsia="宋体" w:hint="default"/>
        </w:rPr>
        <w:t>1</w:t>
      </w:r>
      <w:r>
        <w:rPr/>
        <w:t>、政府补助类型 </w:t>
      </w:r>
      <w:r>
        <w:rPr>
          <w:spacing w:val="-3"/>
        </w:rPr>
        <w:t>政府补助是指本公司从政府无偿取得的货币性资产或非货币性资产（但不包括政府作为所有者投入的资本），主要划分</w:t>
      </w:r>
    </w:p>
    <w:p>
      <w:pPr>
        <w:pStyle w:val="BodyText"/>
        <w:spacing w:line="316" w:lineRule="auto" w:before="19"/>
        <w:ind w:left="533" w:right="6074" w:hanging="421"/>
        <w:jc w:val="left"/>
      </w:pPr>
      <w:r>
        <w:rPr/>
        <w:t>为与资产相关的政府补助和与收益相关的政府补助两类型。 </w:t>
      </w:r>
      <w:r>
        <w:rPr>
          <w:rFonts w:ascii="宋体" w:hAnsi="宋体" w:cs="宋体" w:eastAsia="宋体" w:hint="default"/>
        </w:rPr>
        <w:t>2</w:t>
      </w:r>
      <w:r>
        <w:rPr/>
        <w:t>、政府补助会计处理</w:t>
      </w:r>
    </w:p>
    <w:p>
      <w:pPr>
        <w:pStyle w:val="BodyText"/>
        <w:spacing w:line="316" w:lineRule="auto" w:before="19"/>
        <w:ind w:left="533" w:right="1133"/>
        <w:jc w:val="left"/>
      </w:pPr>
      <w:r>
        <w:rPr/>
        <w:t>（</w:t>
      </w:r>
      <w:r>
        <w:rPr>
          <w:rFonts w:ascii="宋体" w:hAnsi="宋体" w:cs="宋体" w:eastAsia="宋体" w:hint="default"/>
        </w:rPr>
        <w:t>1</w:t>
      </w:r>
      <w:r>
        <w:rPr/>
        <w:t>）与资产相关的政府补助会计处理 本公司取得的、用于购建或以其他方式形成长期资产的政府补助，确认为与资产相关的政府补助，与资产相关的政府</w:t>
      </w:r>
    </w:p>
    <w:p>
      <w:pPr>
        <w:pStyle w:val="BodyText"/>
        <w:spacing w:line="319" w:lineRule="auto" w:before="19"/>
        <w:ind w:right="1134"/>
        <w:jc w:val="both"/>
      </w:pPr>
      <w:r>
        <w:rPr>
          <w:spacing w:val="-2"/>
        </w:rPr>
        <w:t>补助，确认为递延收益，自相关资产可供使用时起，按照相关资产的预计使用期限，将递延收益平均分摊转入当期损益，其</w:t>
      </w:r>
      <w:r>
        <w:rPr>
          <w:spacing w:val="-67"/>
        </w:rPr>
        <w:t> </w:t>
      </w:r>
      <w:r>
        <w:rPr>
          <w:spacing w:val="-67"/>
        </w:rPr>
      </w:r>
      <w:r>
        <w:rPr/>
        <w:t>中与本公司日常活动相关的，计入其他收益或冲减相关成本费用，与本公司日常活动无关的，计入营业外收入。</w:t>
      </w:r>
    </w:p>
    <w:p>
      <w:pPr>
        <w:pStyle w:val="BodyText"/>
        <w:spacing w:line="240" w:lineRule="auto" w:before="14"/>
        <w:ind w:left="533" w:right="1133"/>
        <w:jc w:val="left"/>
      </w:pPr>
      <w:r>
        <w:rPr/>
        <w:t>按照名义金额计量的政府补助，直接计入当期损益。</w:t>
      </w:r>
    </w:p>
    <w:p>
      <w:pPr>
        <w:pStyle w:val="BodyText"/>
        <w:spacing w:line="316" w:lineRule="auto" w:before="76"/>
        <w:ind w:left="533" w:right="1133"/>
        <w:jc w:val="left"/>
      </w:pPr>
      <w:r>
        <w:rPr/>
        <w:t>（</w:t>
      </w:r>
      <w:r>
        <w:rPr>
          <w:rFonts w:ascii="宋体" w:hAnsi="宋体" w:cs="宋体" w:eastAsia="宋体" w:hint="default"/>
        </w:rPr>
        <w:t>2</w:t>
      </w:r>
      <w:r>
        <w:rPr/>
        <w:t>）与收益相关的政府补助会计处理 除与资产相关的政府补助之外的政府补助，确认为与收益相关的政府补助。分别下列情况处理：用于补偿企业以后期</w:t>
      </w:r>
    </w:p>
    <w:p>
      <w:pPr>
        <w:pStyle w:val="BodyText"/>
        <w:spacing w:line="316" w:lineRule="auto" w:before="19"/>
        <w:ind w:right="1131"/>
        <w:jc w:val="both"/>
      </w:pPr>
      <w:r>
        <w:rPr>
          <w:spacing w:val="-2"/>
        </w:rPr>
        <w:t>间的相关费用或损失的，确认为递延收益，并在确认相关费用的期间，计入当期损益。用于补偿企业已发生的相关费用或损</w:t>
      </w:r>
      <w:r>
        <w:rPr>
          <w:spacing w:val="-64"/>
        </w:rPr>
        <w:t> </w:t>
      </w:r>
      <w:r>
        <w:rPr>
          <w:spacing w:val="-64"/>
        </w:rPr>
      </w:r>
      <w:r>
        <w:rPr>
          <w:spacing w:val="-2"/>
        </w:rPr>
        <w:t>失的，直接计入当期损益。计入当期损益时，与本公司日常活动相关的政府补助，计入其他收益或冲减相关成本费用；与本</w:t>
      </w:r>
      <w:r>
        <w:rPr>
          <w:spacing w:val="-67"/>
        </w:rPr>
        <w:t> </w:t>
      </w:r>
      <w:r>
        <w:rPr>
          <w:spacing w:val="-67"/>
        </w:rPr>
      </w:r>
      <w:r>
        <w:rPr/>
        <w:t>公司日常活动无关的政府补助，计入营业外收入。</w:t>
      </w:r>
    </w:p>
    <w:p>
      <w:pPr>
        <w:pStyle w:val="BodyText"/>
        <w:spacing w:line="316" w:lineRule="auto" w:before="19"/>
        <w:ind w:left="533" w:right="1133"/>
        <w:jc w:val="left"/>
      </w:pPr>
      <w:r>
        <w:rPr>
          <w:rFonts w:ascii="宋体" w:hAnsi="宋体" w:cs="宋体" w:eastAsia="宋体" w:hint="default"/>
        </w:rPr>
        <w:t>3</w:t>
      </w:r>
      <w:r>
        <w:rPr/>
        <w:t>、区分与资产相关政府补助和与收益相关政府补助的具体标准 若政府文件未明确规定补助对象，将该政府补助划分为与资产相关或与收益相关的判断依据：本公司取得的、用于购</w:t>
      </w:r>
    </w:p>
    <w:p>
      <w:pPr>
        <w:spacing w:after="0" w:line="316" w:lineRule="auto"/>
        <w:jc w:val="left"/>
        <w:sectPr>
          <w:footerReference w:type="default" r:id="rId26"/>
          <w:pgSz w:w="11910" w:h="16840"/>
          <w:pgMar w:footer="1021" w:header="906"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9"/>
        <w:jc w:val="left"/>
      </w:pPr>
      <w:r>
        <w:rPr>
          <w:spacing w:val="-2"/>
        </w:rPr>
        <w:t>建或以其他方式形成长期资产的政府补助，确认为与资产相关的政府补助，除与资产相关的政府补助之外的政府补助，确认</w:t>
      </w:r>
      <w:r>
        <w:rPr>
          <w:spacing w:val="-63"/>
        </w:rPr>
        <w:t> </w:t>
      </w:r>
      <w:r>
        <w:rPr>
          <w:spacing w:val="-63"/>
        </w:rPr>
      </w:r>
      <w:r>
        <w:rPr/>
        <w:t>为与收益相关的政府补助。</w:t>
      </w:r>
    </w:p>
    <w:p>
      <w:pPr>
        <w:pStyle w:val="BodyText"/>
        <w:spacing w:line="316" w:lineRule="auto" w:before="17"/>
        <w:ind w:left="533" w:right="1133"/>
        <w:jc w:val="left"/>
      </w:pPr>
      <w:r>
        <w:rPr>
          <w:rFonts w:ascii="宋体" w:hAnsi="宋体" w:cs="宋体" w:eastAsia="宋体" w:hint="default"/>
        </w:rPr>
        <w:t>4</w:t>
      </w:r>
      <w:r>
        <w:rPr/>
        <w:t>、政府补助的确认时点 按照应收金额计量的政府补助，在期末有确凿证据表明能够符合财政扶持政策规定的相关条件且预计能够收到财政扶</w:t>
      </w:r>
    </w:p>
    <w:p>
      <w:pPr>
        <w:pStyle w:val="BodyText"/>
        <w:spacing w:line="316" w:lineRule="auto" w:before="19"/>
        <w:ind w:left="533" w:right="2294" w:hanging="421"/>
        <w:jc w:val="left"/>
      </w:pPr>
      <w:r>
        <w:rPr/>
        <w:t>持资金时予以确认。除按照应收金额计量的政府补助外的其他政府补助，在实际收到补助款项时予以确认。 </w:t>
      </w:r>
      <w:r>
        <w:rPr>
          <w:rFonts w:ascii="宋体" w:hAnsi="宋体" w:cs="宋体" w:eastAsia="宋体" w:hint="default"/>
        </w:rPr>
        <w:t>5</w:t>
      </w:r>
      <w:r>
        <w:rPr/>
        <w:t>、政策性优惠贷款贴息的会计处理</w:t>
      </w:r>
    </w:p>
    <w:p>
      <w:pPr>
        <w:pStyle w:val="BodyText"/>
        <w:spacing w:line="316" w:lineRule="auto" w:before="19"/>
        <w:ind w:right="1132" w:firstLine="420"/>
        <w:jc w:val="both"/>
      </w:pPr>
      <w:r>
        <w:rPr>
          <w:spacing w:val="-1"/>
        </w:rPr>
        <w:t>（</w:t>
      </w:r>
      <w:r>
        <w:rPr>
          <w:rFonts w:ascii="宋体" w:hAnsi="宋体" w:cs="宋体" w:eastAsia="宋体" w:hint="default"/>
          <w:spacing w:val="-1"/>
        </w:rPr>
        <w:t>1</w:t>
      </w:r>
      <w:r>
        <w:rPr>
          <w:spacing w:val="-1"/>
        </w:rPr>
        <w:t>）财政将贴息资金拨付给贷款银行，由贷款银行以政策性优惠利率向本公司提供贷款的，本公司以实际收到的借款</w:t>
      </w:r>
      <w:r>
        <w:rPr/>
        <w:t> 金额作为借款的入账价值，按照借款本金和该政策性优惠利率计算相关借款费用。</w:t>
      </w:r>
    </w:p>
    <w:p>
      <w:pPr>
        <w:pStyle w:val="BodyText"/>
        <w:spacing w:line="240" w:lineRule="auto" w:before="19"/>
        <w:ind w:left="533" w:right="1133"/>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1、递延所得税资产/递延所得税负债" w:id="218"/>
      <w:bookmarkEnd w:id="218"/>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20"/>
        <w:jc w:val="both"/>
      </w:pPr>
      <w:r>
        <w:rPr>
          <w:spacing w:val="-1"/>
        </w:rPr>
        <w:t>（</w:t>
      </w:r>
      <w:r>
        <w:rPr>
          <w:rFonts w:ascii="宋体" w:hAnsi="宋体" w:cs="宋体" w:eastAsia="宋体" w:hint="default"/>
          <w:spacing w:val="-1"/>
        </w:rPr>
        <w:t>1</w:t>
      </w:r>
      <w:r>
        <w:rPr>
          <w:spacing w:val="-1"/>
        </w:rPr>
        <w:t>）根据资产、负债的账面价值与其计税基础之间的差额（未作为资产和负债确认的项目按照税法规定可以确定其计</w:t>
      </w:r>
      <w:r>
        <w:rPr/>
        <w:t> </w:t>
      </w:r>
      <w:r>
        <w:rPr>
          <w:spacing w:val="-2"/>
        </w:rPr>
        <w:t>税基础的，确定该计税基础为其差额），按照预期收回该资产或清偿该负债期间的适用税率计算确认递延所得税资产或递延</w:t>
      </w:r>
      <w:r>
        <w:rPr>
          <w:spacing w:val="-65"/>
        </w:rPr>
        <w:t> </w:t>
      </w:r>
      <w:r>
        <w:rPr>
          <w:spacing w:val="-65"/>
        </w:rPr>
      </w:r>
      <w:r>
        <w:rPr/>
        <w:t>所得税负债。</w:t>
      </w:r>
    </w:p>
    <w:p>
      <w:pPr>
        <w:pStyle w:val="BodyText"/>
        <w:spacing w:line="316" w:lineRule="auto" w:before="19"/>
        <w:ind w:right="1132" w:firstLine="420"/>
        <w:jc w:val="both"/>
      </w:pPr>
      <w:r>
        <w:rPr>
          <w:spacing w:val="-1"/>
        </w:rPr>
        <w:t>（</w:t>
      </w:r>
      <w:r>
        <w:rPr>
          <w:rFonts w:ascii="宋体" w:hAnsi="宋体" w:cs="宋体" w:eastAsia="宋体" w:hint="default"/>
          <w:spacing w:val="-1"/>
        </w:rPr>
        <w:t>2</w:t>
      </w:r>
      <w:r>
        <w:rPr>
          <w:spacing w:val="-1"/>
        </w:rPr>
        <w:t>）递延所得税资产的确认以很可能取得用来抵扣可抵扣暂时性差异的应纳税所得额为限。资产负债表日，有确凿证</w:t>
      </w:r>
      <w:r>
        <w:rPr/>
        <w:t> 据表明未来期间很可能获得足够的应纳税所得额用来抵扣可抵扣暂时性差异的，确认以前会计期间未确认的递延所得税资</w:t>
      </w:r>
      <w:r>
        <w:rPr>
          <w:spacing w:val="-11"/>
        </w:rPr>
        <w:t> </w:t>
      </w:r>
      <w:r>
        <w:rPr>
          <w:spacing w:val="-11"/>
        </w:rPr>
      </w:r>
      <w:r>
        <w:rPr/>
        <w:t>产。如未来期间很可能无法获得足够的应纳税所得额用以抵扣递延所得税资产的，则减记递延所得税资产的账面价值。</w:t>
      </w:r>
    </w:p>
    <w:p>
      <w:pPr>
        <w:pStyle w:val="BodyText"/>
        <w:spacing w:line="316" w:lineRule="auto" w:before="19"/>
        <w:ind w:right="1051" w:firstLine="420"/>
        <w:jc w:val="both"/>
      </w:pPr>
      <w:r>
        <w:rPr/>
        <w:t>（</w:t>
      </w:r>
      <w:r>
        <w:rPr>
          <w:rFonts w:ascii="宋体" w:hAnsi="宋体" w:cs="宋体" w:eastAsia="宋体" w:hint="default"/>
        </w:rPr>
        <w:t>3</w:t>
      </w:r>
      <w:r>
        <w:rPr/>
        <w:t>）对与子公司及联营企业投资相关的应纳税暂时性差异，确认递延所得税负债，除非本公司能够控制暂时性差异转 </w:t>
      </w:r>
      <w:r>
        <w:rPr>
          <w:spacing w:val="-2"/>
        </w:rPr>
        <w:t>回的时间且该暂时性差异在可预见的未来很可能不会转回。对与子公司及联营企业投资相关的可抵扣暂时性差异，当该暂时</w:t>
      </w:r>
      <w:r>
        <w:rPr>
          <w:spacing w:val="-64"/>
        </w:rPr>
        <w:t> </w:t>
      </w:r>
      <w:r>
        <w:rPr>
          <w:spacing w:val="-64"/>
        </w:rPr>
      </w:r>
      <w:r>
        <w:rPr/>
        <w:t>性差异在可预见的未来很可能转回且未来很可能获得用来抵扣可抵扣暂时性差异的应纳税所得额时，确认递延所得税资产。</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42、租赁" w:id="219"/>
      <w:bookmarkEnd w:id="219"/>
      <w:r>
        <w:rPr>
          <w:b w:val="0"/>
          <w:bCs w:val="0"/>
        </w:rPr>
      </w:r>
      <w:r>
        <w:rPr>
          <w:rFonts w:ascii="Times New Roman" w:hAnsi="Times New Roman" w:cs="Times New Roman" w:eastAsia="Times New Roman" w:hint="default"/>
        </w:rPr>
        <w:t>42</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3" w:right="1133"/>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both"/>
      </w:pPr>
      <w:r>
        <w:rPr/>
        <w:t>以租赁资产的公允价值与最低租赁付款额的现值两者中较低者作为租入资产的入账价值，租入资产的入账价值与最低 </w:t>
      </w:r>
      <w:r>
        <w:rPr>
          <w:spacing w:val="-2"/>
        </w:rPr>
        <w:t>租赁付款额之间的差额作为未确认融资费用，在租赁期内按实际利率法摊销。最低租赁付款额扣除未确认融资费用后的余额</w:t>
      </w:r>
      <w:r>
        <w:rPr>
          <w:spacing w:val="-64"/>
        </w:rPr>
        <w:t> </w:t>
      </w:r>
      <w:r>
        <w:rPr>
          <w:spacing w:val="-64"/>
        </w:rPr>
      </w:r>
      <w:r>
        <w:rPr/>
        <w:t>作为长期应付款列示。</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43、其他重要的会计政策和会计估计" w:id="222"/>
      <w:bookmarkEnd w:id="222"/>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33" w:right="1133"/>
        <w:jc w:val="left"/>
      </w:pPr>
      <w:r>
        <w:rPr/>
        <w:t>（</w:t>
      </w:r>
      <w:r>
        <w:rPr>
          <w:rFonts w:ascii="宋体" w:hAnsi="宋体" w:cs="宋体" w:eastAsia="宋体" w:hint="default"/>
        </w:rPr>
        <w:t>1</w:t>
      </w:r>
      <w:r>
        <w:rPr/>
        <w:t>）回购本公司股份 回购本公司股份是指公司按规定回购已离职激励对象已获授但尚未解锁的限制性股票。公司向已离职激励对象支付的</w:t>
      </w:r>
    </w:p>
    <w:p>
      <w:pPr>
        <w:pStyle w:val="BodyText"/>
        <w:spacing w:line="240" w:lineRule="auto" w:before="19"/>
        <w:ind w:right="1133"/>
        <w:jc w:val="left"/>
      </w:pPr>
      <w:r>
        <w:rPr/>
        <w:t>回购资金冲销其他应付款，同时冲销库存股与股本。</w:t>
      </w:r>
    </w:p>
    <w:p>
      <w:pPr>
        <w:spacing w:after="0" w:line="240" w:lineRule="auto"/>
        <w:jc w:val="left"/>
        <w:sectPr>
          <w:footerReference w:type="default" r:id="rId27"/>
          <w:pgSz w:w="11910" w:h="16840"/>
          <w:pgMar w:footer="1021" w:header="906" w:top="1100" w:bottom="1220" w:left="1020" w:right="0"/>
          <w:pgNumType w:start="101"/>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44、重要会计政策和会计估计变更" w:id="223"/>
      <w:bookmarkEnd w:id="223"/>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939"/>
        <w:gridCol w:w="3740"/>
        <w:gridCol w:w="2026"/>
      </w:tblGrid>
      <w:tr>
        <w:trPr>
          <w:trHeight w:val="401"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年发布了修订后的《企业会计准</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号</w:t>
            </w:r>
            <w:r>
              <w:rPr>
                <w:rFonts w:ascii="宋体" w:hAnsi="宋体" w:cs="宋体" w:eastAsia="宋体" w:hint="default"/>
                <w:sz w:val="18"/>
                <w:szCs w:val="18"/>
              </w:rPr>
              <w:t>——金融工具确</w:t>
            </w:r>
            <w:r>
              <w:rPr>
                <w:rFonts w:ascii="宋体" w:hAnsi="宋体" w:cs="宋体" w:eastAsia="宋体" w:hint="default"/>
                <w:spacing w:val="-3"/>
                <w:sz w:val="18"/>
                <w:szCs w:val="18"/>
              </w:rPr>
              <w:t>认</w:t>
            </w:r>
            <w:r>
              <w:rPr>
                <w:rFonts w:ascii="宋体" w:hAnsi="宋体" w:cs="宋体" w:eastAsia="宋体" w:hint="default"/>
                <w:sz w:val="18"/>
                <w:szCs w:val="18"/>
              </w:rPr>
              <w:t>和计量</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《企业会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号——金融资</w:t>
            </w:r>
            <w:r>
              <w:rPr>
                <w:rFonts w:ascii="宋体" w:hAnsi="宋体" w:cs="宋体" w:eastAsia="宋体" w:hint="default"/>
                <w:spacing w:val="-3"/>
                <w:sz w:val="18"/>
                <w:szCs w:val="18"/>
              </w:rPr>
              <w:t>产</w:t>
            </w:r>
            <w:r>
              <w:rPr>
                <w:rFonts w:ascii="宋体" w:hAnsi="宋体" w:cs="宋体" w:eastAsia="宋体" w:hint="default"/>
                <w:sz w:val="18"/>
                <w:szCs w:val="18"/>
              </w:rPr>
              <w:t>转移</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《企业会计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号——套期会计</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《企业会计准则第</w:t>
            </w:r>
          </w:p>
          <w:p>
            <w:pPr>
              <w:pStyle w:val="TableParagraph"/>
              <w:spacing w:line="300"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金融工具列报</w:t>
            </w:r>
            <w:r>
              <w:rPr>
                <w:rFonts w:ascii="宋体" w:hAnsi="宋体" w:cs="宋体" w:eastAsia="宋体" w:hint="default"/>
                <w:spacing w:val="-149"/>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上</w:t>
            </w:r>
            <w:r>
              <w:rPr>
                <w:rFonts w:ascii="宋体" w:hAnsi="宋体" w:cs="宋体" w:eastAsia="宋体" w:hint="default"/>
                <w:sz w:val="18"/>
                <w:szCs w:val="18"/>
              </w:rPr>
              <w:t>述四项准则以下统</w:t>
            </w:r>
            <w:r>
              <w:rPr>
                <w:rFonts w:ascii="宋体" w:hAnsi="宋体" w:cs="宋体" w:eastAsia="宋体" w:hint="default"/>
                <w:sz w:val="18"/>
                <w:szCs w:val="18"/>
              </w:rPr>
              <w:t> 称“新金融工具准</w:t>
            </w:r>
            <w:r>
              <w:rPr>
                <w:rFonts w:ascii="宋体" w:hAnsi="宋体" w:cs="宋体" w:eastAsia="宋体" w:hint="default"/>
                <w:spacing w:val="-1"/>
                <w:sz w:val="18"/>
                <w:szCs w:val="18"/>
              </w:rPr>
              <w:t>则</w:t>
            </w:r>
            <w:r>
              <w:rPr>
                <w:rFonts w:ascii="宋体" w:hAnsi="宋体" w:cs="宋体" w:eastAsia="宋体" w:hint="default"/>
                <w:spacing w:val="-92"/>
                <w:sz w:val="18"/>
                <w:szCs w:val="18"/>
              </w:rPr>
              <w:t>”）。</w:t>
            </w:r>
            <w:r>
              <w:rPr>
                <w:rFonts w:ascii="宋体" w:hAnsi="宋体" w:cs="宋体" w:eastAsia="宋体" w:hint="default"/>
                <w:sz w:val="18"/>
                <w:szCs w:val="18"/>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4" w:lineRule="auto"/>
              <w:ind w:left="105" w:right="98"/>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日召开了第</w:t>
            </w:r>
            <w:r>
              <w:rPr>
                <w:rFonts w:ascii="宋体" w:hAnsi="宋体" w:cs="宋体" w:eastAsia="宋体" w:hint="default"/>
                <w:spacing w:val="-2"/>
                <w:sz w:val="18"/>
                <w:szCs w:val="18"/>
              </w:rPr>
              <w:t> </w:t>
            </w:r>
            <w:r>
              <w:rPr>
                <w:rFonts w:ascii="宋体" w:hAnsi="宋体" w:cs="宋体" w:eastAsia="宋体" w:hint="default"/>
                <w:sz w:val="18"/>
                <w:szCs w:val="18"/>
              </w:rPr>
              <w:t>三届董</w:t>
            </w:r>
            <w:r>
              <w:rPr>
                <w:rFonts w:ascii="宋体" w:hAnsi="宋体" w:cs="宋体" w:eastAsia="宋体" w:hint="default"/>
                <w:sz w:val="18"/>
                <w:szCs w:val="18"/>
              </w:rPr>
              <w:t> 事会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年第一次定期会议、</w:t>
            </w:r>
            <w:r>
              <w:rPr>
                <w:rFonts w:ascii="宋体" w:hAnsi="宋体" w:cs="宋体" w:eastAsia="宋体" w:hint="default"/>
                <w:spacing w:val="-1"/>
                <w:sz w:val="18"/>
                <w:szCs w:val="18"/>
              </w:rPr>
              <w:t> </w:t>
            </w:r>
            <w:r>
              <w:rPr>
                <w:rFonts w:ascii="宋体" w:hAnsi="宋体" w:cs="宋体" w:eastAsia="宋体" w:hint="default"/>
                <w:sz w:val="18"/>
                <w:szCs w:val="18"/>
              </w:rPr>
              <w:t>第三届监事</w:t>
            </w:r>
            <w:r>
              <w:rPr>
                <w:rFonts w:ascii="宋体" w:hAnsi="宋体" w:cs="宋体" w:eastAsia="宋体" w:hint="default"/>
                <w:sz w:val="18"/>
                <w:szCs w:val="18"/>
              </w:rPr>
              <w:t> 会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年第一次定期会</w:t>
            </w:r>
            <w:r>
              <w:rPr>
                <w:rFonts w:ascii="宋体" w:hAnsi="宋体" w:cs="宋体" w:eastAsia="宋体" w:hint="default"/>
                <w:spacing w:val="9"/>
                <w:sz w:val="18"/>
                <w:szCs w:val="18"/>
              </w:rPr>
              <w:t> </w:t>
            </w:r>
            <w:r>
              <w:rPr>
                <w:rFonts w:ascii="宋体" w:hAnsi="宋体" w:cs="宋体" w:eastAsia="宋体" w:hint="default"/>
                <w:spacing w:val="-20"/>
                <w:sz w:val="18"/>
                <w:szCs w:val="18"/>
              </w:rPr>
              <w:t>议，审议通过了《关</w:t>
            </w:r>
            <w:r>
              <w:rPr>
                <w:rFonts w:ascii="宋体" w:hAnsi="宋体" w:cs="宋体" w:eastAsia="宋体" w:hint="default"/>
                <w:sz w:val="18"/>
                <w:szCs w:val="18"/>
              </w:rPr>
              <w:t> 于会计政策变更的</w:t>
            </w:r>
            <w:r>
              <w:rPr>
                <w:rFonts w:ascii="宋体" w:hAnsi="宋体" w:cs="宋体" w:eastAsia="宋体" w:hint="default"/>
                <w:spacing w:val="9"/>
                <w:sz w:val="18"/>
                <w:szCs w:val="18"/>
              </w:rPr>
              <w:t> </w:t>
            </w:r>
            <w:r>
              <w:rPr>
                <w:rFonts w:ascii="宋体" w:hAnsi="宋体" w:cs="宋体" w:eastAsia="宋体" w:hint="default"/>
                <w:spacing w:val="-15"/>
                <w:sz w:val="18"/>
                <w:szCs w:val="18"/>
              </w:rPr>
              <w:t>议案》，本次变更公司会计</w:t>
            </w:r>
            <w:r>
              <w:rPr>
                <w:rFonts w:ascii="宋体" w:hAnsi="宋体" w:cs="宋体" w:eastAsia="宋体" w:hint="default"/>
                <w:sz w:val="18"/>
                <w:szCs w:val="18"/>
              </w:rPr>
              <w:t> 政策事项无需提交股东大会审议。</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月发布了《关于修订印发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年度一般企业财务报表格式的通知》（财会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
                <w:sz w:val="18"/>
                <w:szCs w:val="18"/>
              </w:rPr>
              <w:t>[2019]6</w:t>
            </w:r>
            <w:r>
              <w:rPr>
                <w:rFonts w:ascii="Times New Roman" w:hAnsi="Times New Roman" w:cs="Times New Roman" w:eastAsia="Times New Roman" w:hint="default"/>
                <w:spacing w:val="7"/>
                <w:sz w:val="18"/>
                <w:szCs w:val="18"/>
              </w:rPr>
              <w:t> </w:t>
            </w:r>
            <w:r>
              <w:rPr>
                <w:rFonts w:ascii="宋体" w:hAnsi="宋体" w:cs="宋体" w:eastAsia="宋体" w:hint="default"/>
                <w:spacing w:val="-17"/>
                <w:sz w:val="18"/>
                <w:szCs w:val="18"/>
              </w:rPr>
              <w:t>号）（以下简称“财务报表格式”），执行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企业会计准则的企业应按照企业会计准则和该 通知的要求编制财务报表。</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5" w:right="98"/>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日召开了第三届</w:t>
            </w:r>
            <w:r>
              <w:rPr>
                <w:rFonts w:ascii="宋体" w:hAnsi="宋体" w:cs="宋体" w:eastAsia="宋体" w:hint="default"/>
                <w:spacing w:val="-2"/>
                <w:sz w:val="18"/>
                <w:szCs w:val="18"/>
              </w:rPr>
              <w:t> </w:t>
            </w:r>
            <w:r>
              <w:rPr>
                <w:rFonts w:ascii="宋体" w:hAnsi="宋体" w:cs="宋体" w:eastAsia="宋体" w:hint="default"/>
                <w:sz w:val="18"/>
                <w:szCs w:val="18"/>
              </w:rPr>
              <w:t>董</w:t>
            </w:r>
            <w:r>
              <w:rPr>
                <w:rFonts w:ascii="宋体" w:hAnsi="宋体" w:cs="宋体" w:eastAsia="宋体" w:hint="default"/>
                <w:sz w:val="18"/>
                <w:szCs w:val="18"/>
              </w:rPr>
              <w:t> 事会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年第二次定期会议、第三</w:t>
            </w:r>
            <w:r>
              <w:rPr>
                <w:rFonts w:ascii="宋体" w:hAnsi="宋体" w:cs="宋体" w:eastAsia="宋体" w:hint="default"/>
                <w:spacing w:val="-1"/>
                <w:sz w:val="18"/>
                <w:szCs w:val="18"/>
              </w:rPr>
              <w:t> </w:t>
            </w:r>
            <w:r>
              <w:rPr>
                <w:rFonts w:ascii="宋体" w:hAnsi="宋体" w:cs="宋体" w:eastAsia="宋体" w:hint="default"/>
                <w:sz w:val="18"/>
                <w:szCs w:val="18"/>
              </w:rPr>
              <w:t>届监事</w:t>
            </w:r>
            <w:r>
              <w:rPr>
                <w:rFonts w:ascii="宋体" w:hAnsi="宋体" w:cs="宋体" w:eastAsia="宋体" w:hint="default"/>
                <w:sz w:val="18"/>
                <w:szCs w:val="18"/>
              </w:rPr>
              <w:t> 会 </w:t>
            </w:r>
            <w:r>
              <w:rPr>
                <w:rFonts w:ascii="Times New Roman" w:hAnsi="Times New Roman" w:cs="Times New Roman" w:eastAsia="Times New Roman" w:hint="default"/>
                <w:sz w:val="18"/>
                <w:szCs w:val="18"/>
              </w:rPr>
              <w:t>2019 </w:t>
            </w:r>
            <w:r>
              <w:rPr>
                <w:rFonts w:ascii="宋体" w:hAnsi="宋体" w:cs="宋体" w:eastAsia="宋体" w:hint="default"/>
                <w:spacing w:val="-9"/>
                <w:sz w:val="18"/>
                <w:szCs w:val="18"/>
              </w:rPr>
              <w:t>年第二次定期会议，审</w:t>
            </w:r>
            <w:r>
              <w:rPr>
                <w:rFonts w:ascii="宋体" w:hAnsi="宋体" w:cs="宋体" w:eastAsia="宋体" w:hint="default"/>
                <w:spacing w:val="9"/>
                <w:sz w:val="18"/>
                <w:szCs w:val="18"/>
              </w:rPr>
              <w:t> </w:t>
            </w:r>
            <w:r>
              <w:rPr>
                <w:rFonts w:ascii="宋体" w:hAnsi="宋体" w:cs="宋体" w:eastAsia="宋体" w:hint="default"/>
                <w:spacing w:val="-15"/>
                <w:sz w:val="18"/>
                <w:szCs w:val="18"/>
              </w:rPr>
              <w:t>议通过了《关</w:t>
            </w:r>
            <w:r>
              <w:rPr>
                <w:rFonts w:ascii="宋体" w:hAnsi="宋体" w:cs="宋体" w:eastAsia="宋体" w:hint="default"/>
                <w:sz w:val="18"/>
                <w:szCs w:val="18"/>
              </w:rPr>
              <w:t> </w:t>
            </w:r>
            <w:r>
              <w:rPr>
                <w:rFonts w:ascii="宋体" w:hAnsi="宋体" w:cs="宋体" w:eastAsia="宋体" w:hint="default"/>
                <w:spacing w:val="-4"/>
                <w:sz w:val="18"/>
                <w:szCs w:val="18"/>
              </w:rPr>
              <w:t>于会计政策变更的议案》，本次变更公司会计</w:t>
            </w:r>
            <w:r>
              <w:rPr>
                <w:rFonts w:ascii="宋体" w:hAnsi="宋体" w:cs="宋体" w:eastAsia="宋体" w:hint="default"/>
                <w:sz w:val="18"/>
                <w:szCs w:val="18"/>
              </w:rPr>
              <w:t> 政策事项无需提交股东大会审议。</w:t>
            </w:r>
          </w:p>
        </w:tc>
        <w:tc>
          <w:tcPr>
            <w:tcW w:w="20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left="533" w:right="7903" w:hanging="421"/>
        <w:jc w:val="left"/>
      </w:pPr>
      <w:r>
        <w:rPr/>
        <w:t>会计政策变更的影响 </w:t>
      </w:r>
      <w:r>
        <w:rPr>
          <w:rFonts w:ascii="宋体" w:hAnsi="宋体" w:cs="宋体" w:eastAsia="宋体" w:hint="default"/>
        </w:rPr>
        <w:t>1</w:t>
      </w:r>
      <w:r>
        <w:rPr/>
        <w:t>）执行新金融工具准则的影响</w:t>
      </w:r>
    </w:p>
    <w:tbl>
      <w:tblPr>
        <w:tblW w:w="0" w:type="auto"/>
        <w:jc w:val="left"/>
        <w:tblInd w:w="105" w:type="dxa"/>
        <w:tblLayout w:type="fixed"/>
        <w:tblCellMar>
          <w:top w:w="0" w:type="dxa"/>
          <w:left w:w="0" w:type="dxa"/>
          <w:bottom w:w="0" w:type="dxa"/>
          <w:right w:w="0" w:type="dxa"/>
        </w:tblCellMar>
        <w:tblLook w:val="01E0"/>
      </w:tblPr>
      <w:tblGrid>
        <w:gridCol w:w="2523"/>
        <w:gridCol w:w="2122"/>
        <w:gridCol w:w="1985"/>
        <w:gridCol w:w="2091"/>
      </w:tblGrid>
      <w:tr>
        <w:trPr>
          <w:trHeight w:val="355" w:hRule="exact"/>
        </w:trPr>
        <w:tc>
          <w:tcPr>
            <w:tcW w:w="2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合并报表项目</w:t>
            </w:r>
          </w:p>
        </w:tc>
        <w:tc>
          <w:tcPr>
            <w:tcW w:w="2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0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53"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122"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
        </w:tc>
        <w:tc>
          <w:tcPr>
            <w:tcW w:w="209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6,000,000.00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-6,000,000.00</w:t>
            </w:r>
          </w:p>
        </w:tc>
        <w:tc>
          <w:tcPr>
            <w:tcW w:w="20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w:t>
            </w:r>
          </w:p>
        </w:tc>
      </w:tr>
      <w:tr>
        <w:trPr>
          <w:trHeight w:val="353"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6,000,000.00</w:t>
            </w:r>
          </w:p>
        </w:tc>
        <w:tc>
          <w:tcPr>
            <w:tcW w:w="20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5"/>
              <w:jc w:val="right"/>
              <w:rPr>
                <w:rFonts w:ascii="宋体" w:hAnsi="宋体" w:cs="宋体" w:eastAsia="宋体" w:hint="default"/>
                <w:sz w:val="18"/>
                <w:szCs w:val="18"/>
              </w:rPr>
            </w:pPr>
            <w:r>
              <w:rPr>
                <w:rFonts w:ascii="宋体"/>
                <w:spacing w:val="-1"/>
                <w:sz w:val="18"/>
              </w:rPr>
              <w:t>6,000,000.00</w:t>
            </w:r>
          </w:p>
        </w:tc>
      </w:tr>
    </w:tbl>
    <w:p>
      <w:pPr>
        <w:pStyle w:val="BodyText"/>
        <w:spacing w:line="316" w:lineRule="auto" w:before="19"/>
        <w:ind w:right="1133" w:firstLine="420"/>
        <w:jc w:val="left"/>
      </w:pPr>
      <w:r>
        <w:rPr/>
        <w:t>本公司根据新金融工具准则的规定，对金融工具的分类和计量（含减值）进行追溯调整，将金融工具原账面价值和在 新金融工具准则施行日（即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日）的新账面价值之间的差额计入</w:t>
      </w:r>
      <w:r>
        <w:rPr>
          <w:rFonts w:ascii="宋体" w:hAnsi="宋体" w:cs="宋体" w:eastAsia="宋体" w:hint="default"/>
        </w:rPr>
        <w:t>2019</w:t>
      </w:r>
      <w:r>
        <w:rPr/>
        <w:t>年年初留存收益或其他综合收益。</w:t>
      </w:r>
    </w:p>
    <w:p>
      <w:pPr>
        <w:pStyle w:val="BodyText"/>
        <w:spacing w:line="316" w:lineRule="auto" w:before="19"/>
        <w:ind w:left="538" w:right="1129"/>
        <w:jc w:val="left"/>
      </w:pPr>
      <w:r>
        <w:rPr>
          <w:rFonts w:ascii="宋体" w:hAnsi="宋体" w:cs="宋体" w:eastAsia="宋体" w:hint="default"/>
        </w:rPr>
        <w:t>2</w:t>
      </w:r>
      <w:r>
        <w:rPr/>
        <w:t>）执行修订后财务报表格式的影响 根据财务报表格式的要求，除执行上述新金融工具准则产生的列报变化以外，本公司将“应收票据及应收账款”拆分</w:t>
      </w:r>
    </w:p>
    <w:p>
      <w:pPr>
        <w:pStyle w:val="BodyText"/>
        <w:spacing w:line="316" w:lineRule="auto" w:before="19"/>
        <w:ind w:right="1118"/>
        <w:jc w:val="left"/>
      </w:pPr>
      <w:r>
        <w:rPr/>
        <w:t>列示为“应收票据”和“应收账款”两个项目，将</w:t>
      </w:r>
      <w:r>
        <w:rPr>
          <w:spacing w:val="-42"/>
        </w:rPr>
        <w:t> </w:t>
      </w:r>
      <w:r>
        <w:rPr/>
        <w:t>“应付票据及应付账款”</w:t>
      </w:r>
      <w:r>
        <w:rPr>
          <w:spacing w:val="-42"/>
        </w:rPr>
        <w:t> </w:t>
      </w:r>
      <w:r>
        <w:rPr/>
        <w:t>拆分列示为“应付票据”和“应付账款”两个</w:t>
      </w:r>
      <w:r>
        <w:rPr/>
        <w:t> 项目。本公司相应追溯调整了比较期间报表，该会计政策变更对合并及公司净利润和股东权益无影响。</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bookmarkStart w:name="（3）2019年起执行新金融工具准则、新收入准则或新租赁准则调整执行当年年初财务" w:id="226"/>
      <w:bookmarkEnd w:id="226"/>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合并资产负债表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39"/>
        <w:gridCol w:w="2453"/>
        <w:gridCol w:w="2456"/>
        <w:gridCol w:w="1565"/>
      </w:tblGrid>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258,257,805.43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258,257,805.43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1,529,521.30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466,295,722.55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35,487,315.69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12,983,318.84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335,165,856.00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335,165,856.00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747,019.88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747,019.88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1,110,466,559.69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1,110,466,559.69</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-6,000,000.00</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39"/>
        <w:gridCol w:w="2453"/>
        <w:gridCol w:w="2456"/>
        <w:gridCol w:w="1565"/>
      </w:tblGrid>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100,656,313.20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100,656,313.20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6" w:right="0"/>
              <w:jc w:val="left"/>
              <w:rPr>
                <w:rFonts w:ascii="Times New Roman" w:hAnsi="Times New Roman" w:cs="Times New Roman" w:eastAsia="Times New Roman" w:hint="default"/>
                <w:sz w:val="18"/>
                <w:szCs w:val="18"/>
              </w:rPr>
            </w:pPr>
            <w:r>
              <w:rPr>
                <w:rFonts w:ascii="Times New Roman"/>
                <w:sz w:val="18"/>
              </w:rPr>
              <w:t>6,000,000.00</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4"/>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61,667,379.57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9,385,732.53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9,385,732.53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15,809,224.30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15,809,224.30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335,326.47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335,326.47</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2,833,686.78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2,833,686.78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11,550,000.00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208,237,662.85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208,237,662.85</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1,318,704,222.54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1,318,704,222.54</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55,857,757.69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55,857,757.69</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138,372,998.81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138,372,998.81</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48,691,758.96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48,691,758.96</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4"/>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4"/>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43,496,141.30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43,496,141.30</w:t>
            </w:r>
          </w:p>
        </w:tc>
        <w:tc>
          <w:tcPr>
            <w:tcW w:w="15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39"/>
        <w:gridCol w:w="2453"/>
        <w:gridCol w:w="2456"/>
        <w:gridCol w:w="1565"/>
      </w:tblGrid>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10,929,210.68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10,929,210.68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15,300,058.19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15,300,058.19</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542,647,925.63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542,647,925.63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270,000.00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270,000.00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542,917,925.63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542,917,925.63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181,166,996.00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181,166,996.00</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313,052,012.83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13,597,396.78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-9,446,642.95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038"/>
        <w:gridCol w:w="2453"/>
        <w:gridCol w:w="2456"/>
        <w:gridCol w:w="1565"/>
      </w:tblGrid>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36,502,328.93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268,108,998.88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268,108,998.88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775,786,296.91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775,786,296.91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1,318,704,222.54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1,318,704,222.54</w:t>
            </w:r>
          </w:p>
        </w:tc>
        <w:tc>
          <w:tcPr>
            <w:tcW w:w="15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319" w:lineRule="auto" w:before="115"/>
        <w:ind w:right="1133" w:firstLine="360"/>
        <w:jc w:val="both"/>
      </w:pPr>
      <w:r>
        <w:rPr/>
        <w:t>调整情况说明</w:t>
      </w:r>
      <w:r>
        <w:rPr>
          <w:spacing w:val="29"/>
        </w:rPr>
        <w:t> </w:t>
      </w:r>
      <w:r>
        <w:rPr>
          <w:spacing w:val="-4"/>
        </w:rPr>
        <w:t>根据财政部</w:t>
      </w:r>
      <w:r>
        <w:rPr>
          <w:rFonts w:ascii="宋体" w:hAnsi="宋体" w:cs="宋体" w:eastAsia="宋体" w:hint="default"/>
          <w:spacing w:val="-4"/>
        </w:rPr>
        <w:t>2017</w:t>
      </w:r>
      <w:r>
        <w:rPr>
          <w:spacing w:val="-4"/>
        </w:rPr>
        <w:t>颁布的《企业会计准则第</w:t>
      </w:r>
      <w:r>
        <w:rPr>
          <w:rFonts w:ascii="宋体" w:hAnsi="宋体" w:cs="宋体" w:eastAsia="宋体" w:hint="default"/>
          <w:spacing w:val="-4"/>
        </w:rPr>
        <w:t>22</w:t>
      </w:r>
      <w:r>
        <w:rPr>
          <w:spacing w:val="-4"/>
        </w:rPr>
        <w:t>号——金融工具确认和计量》（财会</w:t>
      </w:r>
      <w:r>
        <w:rPr>
          <w:rFonts w:ascii="宋体" w:hAnsi="宋体" w:cs="宋体" w:eastAsia="宋体" w:hint="default"/>
          <w:spacing w:val="-4"/>
        </w:rPr>
        <w:t>[2017]7</w:t>
      </w:r>
      <w:r>
        <w:rPr>
          <w:spacing w:val="-4"/>
        </w:rPr>
        <w:t>号），及</w:t>
      </w:r>
      <w:r>
        <w:rPr>
          <w:rFonts w:ascii="宋体" w:hAnsi="宋体" w:cs="宋体" w:eastAsia="宋体" w:hint="default"/>
          <w:spacing w:val="-4"/>
        </w:rPr>
        <w:t>2018</w:t>
      </w:r>
      <w:r>
        <w:rPr>
          <w:spacing w:val="-4"/>
        </w:rPr>
        <w:t>年</w:t>
      </w:r>
      <w:r>
        <w:rPr>
          <w:rFonts w:ascii="宋体" w:hAnsi="宋体" w:cs="宋体" w:eastAsia="宋体" w:hint="default"/>
          <w:spacing w:val="-4"/>
        </w:rPr>
        <w:t>6</w:t>
      </w:r>
      <w:r>
        <w:rPr>
          <w:rFonts w:ascii="宋体" w:hAnsi="宋体" w:cs="宋体" w:eastAsia="宋体" w:hint="default"/>
        </w:rPr>
        <w:t> </w:t>
      </w:r>
      <w:r>
        <w:rPr>
          <w:spacing w:val="-2"/>
        </w:rPr>
        <w:t>月</w:t>
      </w:r>
      <w:r>
        <w:rPr>
          <w:rFonts w:ascii="宋体" w:hAnsi="宋体" w:cs="宋体" w:eastAsia="宋体" w:hint="default"/>
          <w:spacing w:val="-2"/>
        </w:rPr>
        <w:t>15</w:t>
      </w:r>
      <w:r>
        <w:rPr>
          <w:spacing w:val="-2"/>
        </w:rPr>
        <w:t>日颁布的《关于修订印发</w:t>
      </w:r>
      <w:r>
        <w:rPr>
          <w:rFonts w:ascii="宋体" w:hAnsi="宋体" w:cs="宋体" w:eastAsia="宋体" w:hint="default"/>
          <w:spacing w:val="-2"/>
        </w:rPr>
        <w:t>2018</w:t>
      </w:r>
      <w:r>
        <w:rPr>
          <w:spacing w:val="-2"/>
        </w:rPr>
        <w:t>年度一般企业财务报表格式的通知》（财会</w:t>
      </w:r>
      <w:r>
        <w:rPr>
          <w:rFonts w:ascii="宋体" w:hAnsi="宋体" w:cs="宋体" w:eastAsia="宋体" w:hint="default"/>
          <w:spacing w:val="-2"/>
        </w:rPr>
        <w:t>[2018]15</w:t>
      </w:r>
      <w:r>
        <w:rPr>
          <w:spacing w:val="-2"/>
        </w:rPr>
        <w:t>号）等相关文件的规定，公司于</w:t>
      </w:r>
      <w:r>
        <w:rPr>
          <w:rFonts w:ascii="宋体" w:hAnsi="宋体" w:cs="宋体" w:eastAsia="宋体" w:hint="default"/>
          <w:spacing w:val="-2"/>
        </w:rPr>
        <w:t>2019</w:t>
      </w:r>
      <w:r>
        <w:rPr>
          <w:rFonts w:ascii="宋体" w:hAnsi="宋体" w:cs="宋体" w:eastAsia="宋体" w:hint="default"/>
          <w:spacing w:val="-57"/>
        </w:rPr>
        <w:t> </w:t>
      </w:r>
      <w:r>
        <w:rPr>
          <w:rFonts w:ascii="宋体" w:hAnsi="宋体" w:cs="宋体" w:eastAsia="宋体" w:hint="default"/>
          <w:spacing w:val="-57"/>
        </w:rPr>
      </w:r>
      <w:r>
        <w:rPr/>
        <w:t>年</w:t>
      </w:r>
      <w:r>
        <w:rPr>
          <w:rFonts w:ascii="宋体" w:hAnsi="宋体" w:cs="宋体" w:eastAsia="宋体" w:hint="default"/>
        </w:rPr>
        <w:t>4</w:t>
      </w:r>
      <w:r>
        <w:rPr/>
        <w:t>月</w:t>
      </w:r>
      <w:r>
        <w:rPr>
          <w:rFonts w:ascii="宋体" w:hAnsi="宋体" w:cs="宋体" w:eastAsia="宋体" w:hint="default"/>
        </w:rPr>
        <w:t>9</w:t>
      </w:r>
      <w:r>
        <w:rPr/>
        <w:t>日召开了第</w:t>
      </w:r>
      <w:r>
        <w:rPr>
          <w:spacing w:val="-3"/>
        </w:rPr>
        <w:t> </w:t>
      </w:r>
      <w:r>
        <w:rPr/>
        <w:t>三届董事会</w:t>
      </w:r>
      <w:r>
        <w:rPr>
          <w:rFonts w:ascii="宋体" w:hAnsi="宋体" w:cs="宋体" w:eastAsia="宋体" w:hint="default"/>
        </w:rPr>
        <w:t>2019</w:t>
      </w:r>
      <w:r>
        <w:rPr/>
        <w:t>年第一次定期会议、第三届监事会</w:t>
      </w:r>
      <w:r>
        <w:rPr>
          <w:rFonts w:ascii="宋体" w:hAnsi="宋体" w:cs="宋体" w:eastAsia="宋体" w:hint="default"/>
        </w:rPr>
        <w:t>2019</w:t>
      </w:r>
      <w:r>
        <w:rPr/>
        <w:t>年第一次定期会议，审议通过了《关于会计政策 </w:t>
      </w:r>
      <w:r>
        <w:rPr>
          <w:spacing w:val="-11"/>
        </w:rPr>
        <w:t>变更的议案》。公司</w:t>
      </w:r>
      <w:r>
        <w:rPr>
          <w:spacing w:val="10"/>
        </w:rPr>
        <w:t> </w:t>
      </w: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日起开始执行新金融工具准则，根据新准则的规定，原来计入可供出售金融资产的</w:t>
      </w:r>
      <w:r>
        <w:rPr>
          <w:rFonts w:ascii="宋体" w:hAnsi="宋体" w:cs="宋体" w:eastAsia="宋体" w:hint="default"/>
        </w:rPr>
        <w:t>600</w:t>
      </w:r>
      <w:r>
        <w:rPr/>
        <w:t>万 元，于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w:t>
      </w:r>
      <w:r>
        <w:rPr>
          <w:spacing w:val="-2"/>
        </w:rPr>
        <w:t> </w:t>
      </w:r>
      <w:r>
        <w:rPr/>
        <w:t>起分类为“其他权益性工具投资”进行核算。</w:t>
      </w:r>
    </w:p>
    <w:p>
      <w:pPr>
        <w:pStyle w:val="BodyText"/>
        <w:spacing w:line="240" w:lineRule="auto" w:before="58"/>
        <w:ind w:right="1133"/>
        <w:jc w:val="left"/>
      </w:pPr>
      <w:r>
        <w:rPr/>
        <w:t>母公司资产负债表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78"/>
        <w:gridCol w:w="2453"/>
        <w:gridCol w:w="2456"/>
        <w:gridCol w:w="1543"/>
      </w:tblGrid>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248,588,916.06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248,588,916.06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2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1,529,521.30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466,295,722.55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35,487,315.69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83,050,206.15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83,050,206.15</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335,165,856.00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335,165,856.00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721,637.99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721,637.99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1,170,839,175.74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1,170,839,175.74</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78"/>
        <w:gridCol w:w="2453"/>
        <w:gridCol w:w="2456"/>
        <w:gridCol w:w="1543"/>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61,667,379.57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61,667,379.57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9,385,732.53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9,385,732.53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15,809,224.30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15,809,224.30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335,326.47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335,326.47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2,833,686.78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2,833,686.78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11,550,000.00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11,550,000.00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161,581,349.65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161,581,349.65</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1,332,420,525.39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1,332,420,525.39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55,857,757.69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55,857,757.69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138,372,998.81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138,372,998.81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48,691,758.96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48,691,758.96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43,496,141.30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43,496,141.30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10,929,210.68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10,929,210.68</w:t>
            </w: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78"/>
        <w:gridCol w:w="2453"/>
        <w:gridCol w:w="2456"/>
        <w:gridCol w:w="1543"/>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15,300,058.19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15,300,058.19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542,647,925.63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542,647,925.63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542,917,925.63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542,917,925.63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181,166,996.00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181,166,996.00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313,052,012.83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13,597,396.78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36,502,328.93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272,378,658.78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272,378,658.78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789,502,599.76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789,502,599.76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1,332,420,525.39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1,332,420,525.39</w:t>
            </w: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1"/>
        <w:rPr>
          <w:rFonts w:ascii="Times New Roman" w:hAnsi="Times New Roman" w:cs="Times New Roman" w:eastAsia="Times New Roman" w:hint="default"/>
          <w:sz w:val="25"/>
          <w:szCs w:val="25"/>
        </w:rPr>
      </w:pPr>
    </w:p>
    <w:p>
      <w:pPr>
        <w:pStyle w:val="BodyText"/>
        <w:spacing w:line="360" w:lineRule="auto" w:before="44"/>
        <w:ind w:left="473" w:right="9674" w:hanging="361"/>
        <w:jc w:val="left"/>
      </w:pPr>
      <w:r>
        <w:rPr/>
        <w:t>调整情况说明 无调整</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4）2019年起执行新金融工具准则或新租赁准则追溯调整前期比较数据说明" w:id="227"/>
      <w:bookmarkEnd w:id="227"/>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5、其他" w:id="228"/>
      <w:bookmarkEnd w:id="228"/>
      <w:r>
        <w:rPr>
          <w:b w:val="0"/>
          <w:bCs w:val="0"/>
        </w:rPr>
      </w:r>
      <w:r>
        <w:rPr>
          <w:rFonts w:ascii="Times New Roman" w:hAnsi="Times New Roman" w:cs="Times New Roman" w:eastAsia="Times New Roman" w:hint="default"/>
        </w:rPr>
        <w:t>45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74" w:right="10031"/>
        <w:jc w:val="center"/>
      </w:pPr>
      <w:r>
        <w:rPr/>
        <w:t>无</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bookmarkStart w:name="六、税项" w:id="229"/>
      <w:bookmarkEnd w:id="229"/>
      <w:r>
        <w:rPr>
          <w:b w:val="0"/>
          <w:bCs w:val="0"/>
        </w:rPr>
      </w:r>
      <w:r>
        <w:rPr/>
        <w:t>六、税项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主要税种及税率" w:id="230"/>
      <w:bookmarkEnd w:id="23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28"/>
        <w:gridCol w:w="4237"/>
        <w:gridCol w:w="2701"/>
      </w:tblGrid>
      <w:tr>
        <w:trPr>
          <w:trHeight w:val="401"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应纳税额按应纳税销售额乘以适用税率 扣除当期允计抵扣的进项税后的余额计算</w:t>
            </w:r>
            <w:r>
              <w:rPr>
                <w:rFonts w:ascii="Times New Roman" w:hAnsi="Times New Roman" w:cs="Times New Roman" w:eastAsia="Times New Roman" w:hint="default"/>
                <w:sz w:val="18"/>
                <w:szCs w:val="18"/>
              </w:rPr>
              <w:t>)</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税收优惠" w:id="231"/>
      <w:bookmarkEnd w:id="23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3" w:right="1123"/>
        <w:jc w:val="left"/>
      </w:pPr>
      <w:r>
        <w:rPr/>
        <w:t>（</w:t>
      </w:r>
      <w:r>
        <w:rPr>
          <w:rFonts w:ascii="宋体" w:hAnsi="宋体" w:cs="宋体" w:eastAsia="宋体" w:hint="default"/>
        </w:rPr>
        <w:t>1</w:t>
      </w:r>
      <w:r>
        <w:rPr/>
        <w:t>）企业所得税税收优惠 公司经北京市科学技术委员会、北京市财政局、北京市国家税务局、北京市地方税务局认定和批准，于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w:t>
      </w:r>
    </w:p>
    <w:p>
      <w:pPr>
        <w:pStyle w:val="BodyText"/>
        <w:spacing w:line="316" w:lineRule="auto" w:before="19"/>
        <w:ind w:right="1133"/>
        <w:jc w:val="left"/>
      </w:pPr>
      <w:r>
        <w:rPr>
          <w:spacing w:val="-2"/>
        </w:rPr>
        <w:t>取得</w:t>
      </w:r>
      <w:r>
        <w:rPr>
          <w:rFonts w:ascii="宋体" w:hAnsi="宋体" w:cs="宋体" w:eastAsia="宋体" w:hint="default"/>
          <w:spacing w:val="-2"/>
        </w:rPr>
        <w:t>GR201711007355</w:t>
      </w:r>
      <w:r>
        <w:rPr>
          <w:spacing w:val="-2"/>
        </w:rPr>
        <w:t>号高新技术企业证书，有效期三年。公司自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％的企业所得税率</w:t>
      </w:r>
      <w:r>
        <w:rPr>
          <w:spacing w:val="-48"/>
        </w:rPr>
        <w:t> </w:t>
      </w:r>
      <w:r>
        <w:rPr>
          <w:spacing w:val="-48"/>
        </w:rPr>
      </w:r>
      <w:r>
        <w:rPr/>
        <w:t>征收企业所得税。</w:t>
      </w:r>
    </w:p>
    <w:p>
      <w:pPr>
        <w:pStyle w:val="BodyText"/>
        <w:spacing w:line="316" w:lineRule="auto" w:before="19"/>
        <w:ind w:left="473" w:right="1133"/>
        <w:jc w:val="left"/>
      </w:pPr>
      <w:r>
        <w:rPr/>
        <w:t>（</w:t>
      </w:r>
      <w:r>
        <w:rPr>
          <w:rFonts w:ascii="宋体" w:hAnsi="宋体" w:cs="宋体" w:eastAsia="宋体" w:hint="default"/>
        </w:rPr>
        <w:t>2</w:t>
      </w:r>
      <w:r>
        <w:rPr/>
        <w:t>）增值税税收优惠 </w:t>
      </w:r>
      <w:r>
        <w:rPr>
          <w:spacing w:val="-4"/>
        </w:rPr>
        <w:t>依据国务院下发的《国务院关于印发进一步鼓励软件产业和集成电路产业发展若干政策的通知》（国发</w:t>
      </w:r>
      <w:r>
        <w:rPr>
          <w:rFonts w:ascii="宋体" w:hAnsi="宋体" w:cs="宋体" w:eastAsia="宋体" w:hint="default"/>
          <w:spacing w:val="-4"/>
        </w:rPr>
        <w:t>[2011]4</w:t>
      </w:r>
      <w:r>
        <w:rPr>
          <w:spacing w:val="-4"/>
        </w:rPr>
        <w:t>号）的规</w:t>
      </w:r>
    </w:p>
    <w:p>
      <w:pPr>
        <w:pStyle w:val="BodyText"/>
        <w:spacing w:line="316" w:lineRule="auto" w:before="19"/>
        <w:ind w:right="0"/>
        <w:jc w:val="left"/>
      </w:pPr>
      <w:r>
        <w:rPr>
          <w:spacing w:val="-2"/>
        </w:rPr>
        <w:t>定，以及财政部、国家税务总局联合下发的《财政部、国家税务总局关于软件产品增值税政策的通知》（财税</w:t>
      </w:r>
      <w:r>
        <w:rPr>
          <w:rFonts w:ascii="宋体" w:hAnsi="宋体" w:cs="宋体" w:eastAsia="宋体" w:hint="default"/>
          <w:spacing w:val="-2"/>
        </w:rPr>
        <w:t>[2011]100</w:t>
      </w:r>
      <w:r>
        <w:rPr>
          <w:spacing w:val="-2"/>
        </w:rPr>
        <w:t>号）</w:t>
      </w:r>
      <w:r>
        <w:rPr>
          <w:spacing w:val="-64"/>
        </w:rPr>
        <w:t> </w:t>
      </w:r>
      <w:r>
        <w:rPr>
          <w:spacing w:val="-2"/>
        </w:rPr>
        <w:t>的规定，自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日起，公司销售其自行开发生产的软件产品，按适用税率征收增值税后，对其增值税实际税负超过</w:t>
      </w:r>
      <w:r>
        <w:rPr>
          <w:rFonts w:ascii="宋体" w:hAnsi="宋体" w:cs="宋体" w:eastAsia="宋体" w:hint="default"/>
          <w:spacing w:val="-2"/>
        </w:rPr>
        <w:t>3%</w:t>
      </w:r>
      <w:r>
        <w:rPr>
          <w:rFonts w:ascii="宋体" w:hAnsi="宋体" w:cs="宋体" w:eastAsia="宋体" w:hint="default"/>
          <w:spacing w:val="-54"/>
        </w:rPr>
        <w:t> </w:t>
      </w:r>
      <w:r>
        <w:rPr/>
        <w:t>的部分实行即征即退政策。</w:t>
      </w:r>
    </w:p>
    <w:p>
      <w:pPr>
        <w:pStyle w:val="BodyText"/>
        <w:spacing w:line="316" w:lineRule="auto" w:before="19"/>
        <w:ind w:right="1124" w:firstLine="360"/>
        <w:jc w:val="left"/>
      </w:pPr>
      <w:r>
        <w:rPr/>
        <w:t>依据《财政部</w:t>
      </w:r>
      <w:r>
        <w:rPr>
          <w:spacing w:val="8"/>
        </w:rPr>
        <w:t> </w:t>
      </w:r>
      <w:r>
        <w:rPr>
          <w:spacing w:val="-2"/>
        </w:rPr>
        <w:t>国家税务总局关于全面推开营业税改征增值税试点的通知》（财税〔</w:t>
      </w:r>
      <w:r>
        <w:rPr>
          <w:rFonts w:ascii="宋体" w:hAnsi="宋体" w:cs="宋体" w:eastAsia="宋体" w:hint="default"/>
          <w:spacing w:val="-2"/>
        </w:rPr>
        <w:t>2016</w:t>
      </w:r>
      <w:r>
        <w:rPr>
          <w:spacing w:val="-2"/>
        </w:rPr>
        <w:t>〕</w:t>
      </w:r>
      <w:r>
        <w:rPr>
          <w:rFonts w:ascii="宋体" w:hAnsi="宋体" w:cs="宋体" w:eastAsia="宋体" w:hint="default"/>
          <w:spacing w:val="-2"/>
        </w:rPr>
        <w:t>36</w:t>
      </w:r>
      <w:r>
        <w:rPr>
          <w:spacing w:val="-2"/>
        </w:rPr>
        <w:t>号）的规定</w:t>
      </w:r>
      <w:r>
        <w:rPr>
          <w:rFonts w:ascii="宋体" w:hAnsi="宋体" w:cs="宋体" w:eastAsia="宋体" w:hint="default"/>
          <w:spacing w:val="-2"/>
        </w:rPr>
        <w:t>,</w:t>
      </w:r>
      <w:r>
        <w:rPr>
          <w:spacing w:val="-2"/>
        </w:rPr>
        <w:t>试点纳税人提</w:t>
      </w:r>
      <w:r>
        <w:rPr/>
        <w:t> 供技术转让、技术开发和与之相关的技术咨询、技术服务，免征增值税。</w:t>
      </w:r>
    </w:p>
    <w:p>
      <w:pPr>
        <w:spacing w:line="240" w:lineRule="auto" w:before="0"/>
        <w:rPr>
          <w:rFonts w:ascii="宋体" w:hAnsi="宋体" w:cs="宋体" w:eastAsia="宋体" w:hint="default"/>
          <w:sz w:val="18"/>
          <w:szCs w:val="18"/>
        </w:rPr>
      </w:pPr>
    </w:p>
    <w:p>
      <w:pPr>
        <w:pStyle w:val="BodyText"/>
        <w:spacing w:line="240" w:lineRule="auto" w:before="136"/>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7863" w:firstLine="0"/>
        <w:jc w:val="left"/>
        <w:rPr>
          <w:rFonts w:ascii="宋体" w:hAnsi="宋体" w:cs="宋体" w:eastAsia="宋体" w:hint="default"/>
          <w:sz w:val="21"/>
          <w:szCs w:val="21"/>
        </w:rPr>
      </w:pPr>
      <w:bookmarkStart w:name="3、其他" w:id="232"/>
      <w:bookmarkEnd w:id="2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3"/>
      <w:bookmarkEnd w:id="233"/>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4"/>
      <w:bookmarkEnd w:id="23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3,849.38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166,474,865.70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254,674,389.61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19,074,164.99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3,579,566.44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185,551,060.47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258,257,805.43</w:t>
            </w:r>
          </w:p>
        </w:tc>
      </w:tr>
    </w:tbl>
    <w:p>
      <w:pPr>
        <w:pStyle w:val="BodyText"/>
        <w:spacing w:line="240" w:lineRule="auto" w:before="49"/>
        <w:ind w:right="1133"/>
        <w:jc w:val="left"/>
      </w:pPr>
      <w:r>
        <w:rPr/>
        <w:t>其他说明</w:t>
      </w:r>
    </w:p>
    <w:p>
      <w:pPr>
        <w:pStyle w:val="BodyText"/>
        <w:spacing w:line="316" w:lineRule="auto" w:before="115"/>
        <w:ind w:right="1124" w:firstLine="360"/>
        <w:jc w:val="left"/>
      </w:pPr>
      <w:r>
        <w:rPr/>
        <w:t>注：本期末其他货币资金系保函保证金，其中于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31</w:t>
      </w:r>
      <w:r>
        <w:rPr/>
        <w:t>后到期的金额</w:t>
      </w:r>
      <w:r>
        <w:rPr>
          <w:rFonts w:ascii="宋体" w:hAnsi="宋体" w:cs="宋体" w:eastAsia="宋体" w:hint="default"/>
        </w:rPr>
        <w:t>3,256,635.05</w:t>
      </w:r>
      <w:r>
        <w:rPr/>
        <w:t>元。货币资金中不存在其他因 抵押或冻结等对使用有限制、存放在境外、有潜在回收风险的款项。</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交易性金融资产" w:id="235"/>
      <w:bookmarkEnd w:id="235"/>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衍生金融资产" w:id="236"/>
      <w:bookmarkEnd w:id="23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应收票据" w:id="237"/>
      <w:bookmarkEnd w:id="23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票据分类列示" w:id="238"/>
      <w:bookmarkEnd w:id="23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8774"/>
        <w:jc w:val="left"/>
      </w:pPr>
      <w:r>
        <w:rPr/>
        <w:t>按单项计提坏账准备： 按组合计提坏账准备： 确定该组合依据的说明：</w:t>
      </w:r>
    </w:p>
    <w:p>
      <w:pPr>
        <w:pStyle w:val="BodyText"/>
        <w:spacing w:line="240" w:lineRule="auto" w:before="26"/>
        <w:ind w:right="1133"/>
        <w:jc w:val="left"/>
      </w:pPr>
      <w:r>
        <w:rPr/>
        <w:t>如是按照预期信用损失一般模型计提应收票据坏账准备，请参照其他应收款的披露方式披露坏账准备的相关信息：</w:t>
      </w:r>
    </w:p>
    <w:p>
      <w:pPr>
        <w:spacing w:after="0" w:line="240" w:lineRule="auto"/>
        <w:jc w:val="left"/>
        <w:sectPr>
          <w:footerReference w:type="default" r:id="rId28"/>
          <w:pgSz w:w="11910" w:h="16840"/>
          <w:pgMar w:footer="1021" w:header="906" w:top="1100" w:bottom="1220" w:left="1020" w:right="0"/>
          <w:pgNumType w:start="11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334"/>
        <w:jc w:val="left"/>
      </w:pPr>
      <w:r>
        <w:rPr/>
        <w:t>本期计提坏账准备情况： 其中本期坏账准备收回或转回金额重要的：</w:t>
      </w:r>
    </w:p>
    <w:p>
      <w:pPr>
        <w:pStyle w:val="BodyText"/>
        <w:spacing w:line="240" w:lineRule="auto" w:before="29"/>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期末公司已质押的应收票据" w:id="240"/>
      <w:bookmarkEnd w:id="240"/>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期末公司已背书或贴现且在资产负债表日尚未到期的应收票据" w:id="241"/>
      <w:bookmarkEnd w:id="241"/>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期末公司因出票人未履约而将其转应收账款的票据" w:id="242"/>
      <w:bookmarkEnd w:id="242"/>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本期实际核销的应收票据情况" w:id="243"/>
      <w:bookmarkEnd w:id="243"/>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应收账款" w:id="244"/>
      <w:bookmarkEnd w:id="24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245"/>
      <w:bookmarkEnd w:id="2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1,158,6</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69.14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1,158,6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69.14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66.64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66.64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587,08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1,544.3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10,496,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394.75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576,58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5,149.5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7,090.2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9,251,3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67.67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466,295,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722.55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588,24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0,213.4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11,655,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063.89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576,58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5,149.5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6,156.8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11,560,</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434.31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466,295,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722.55</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1,158,669.14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4" w:right="0"/>
              <w:jc w:val="left"/>
              <w:rPr>
                <w:rFonts w:ascii="Times New Roman" w:hAnsi="Times New Roman" w:cs="Times New Roman" w:eastAsia="Times New Roman" w:hint="default"/>
                <w:sz w:val="18"/>
                <w:szCs w:val="18"/>
              </w:rPr>
            </w:pPr>
            <w:r>
              <w:rPr>
                <w:rFonts w:ascii="Times New Roman"/>
                <w:sz w:val="18"/>
              </w:rPr>
              <w:t>608,669.14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8" w:right="0"/>
              <w:jc w:val="left"/>
              <w:rPr>
                <w:rFonts w:ascii="Times New Roman" w:hAnsi="Times New Roman" w:cs="Times New Roman" w:eastAsia="Times New Roman" w:hint="default"/>
                <w:sz w:val="18"/>
                <w:szCs w:val="18"/>
              </w:rPr>
            </w:pPr>
            <w:r>
              <w:rPr>
                <w:rFonts w:ascii="Times New Roman"/>
                <w:sz w:val="18"/>
              </w:rPr>
              <w:t>608,669.14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涉诉款项</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涉诉款项</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1,158,669.14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1,158,669.14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587,081,544.34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539,731,357.93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5,397,313.58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21,213,206.17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1,060,660.31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22,740,685.57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2,274,068.56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2,069,885.45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620,965.64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366,045.13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183,022.57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960,364.09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960,364.09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587,081,544.34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10,496,394.75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774"/>
        <w:jc w:val="left"/>
      </w:pPr>
      <w:r>
        <w:rPr/>
        <w:t>确定该组合依据的说明： 确定该组合依据的说明：</w:t>
      </w:r>
    </w:p>
    <w:p>
      <w:pPr>
        <w:pStyle w:val="BodyText"/>
        <w:spacing w:line="240" w:lineRule="auto" w:before="29"/>
        <w:ind w:right="1133"/>
        <w:jc w:val="left"/>
      </w:pPr>
      <w:r>
        <w:rPr/>
        <w:t>如是按照预期信用损失一般模型计提应收账款坏账准备，请参照其他应收款的披露方式披露坏账准备的相关信息：</w:t>
      </w:r>
    </w:p>
    <w:p>
      <w:pPr>
        <w:pStyle w:val="BodyText"/>
        <w:spacing w:line="360" w:lineRule="auto" w:before="115"/>
        <w:ind w:right="9221"/>
        <w:jc w:val="left"/>
      </w:pPr>
      <w:r>
        <w:rPr/>
        <w:t>√ 适用 □</w:t>
      </w:r>
      <w:r>
        <w:rPr>
          <w:spacing w:val="3"/>
        </w:rPr>
        <w:t> </w:t>
      </w:r>
      <w:r>
        <w:rPr/>
        <w:t>不适用</w:t>
      </w:r>
      <w:r>
        <w:rPr/>
        <w:t> 按账龄披露</w:t>
      </w:r>
    </w:p>
    <w:p>
      <w:pPr>
        <w:pStyle w:val="BodyText"/>
        <w:spacing w:line="240" w:lineRule="auto" w:before="2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539,731,357.93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21,213,206.17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22,740,685.57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4,554,963.81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2,539,970.92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1,054,628.80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960,364.09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588,240,213.48</w:t>
            </w:r>
          </w:p>
        </w:tc>
      </w:tr>
    </w:tbl>
    <w:p>
      <w:pPr>
        <w:pStyle w:val="BodyText"/>
        <w:spacing w:line="240" w:lineRule="auto" w:before="49"/>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240" w:lineRule="auto" w:before="36"/>
        <w:ind w:right="1133"/>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12,051,392.19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2,092,111.69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1,150,397.50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800,835.59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12,192,270.79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12,051,392.19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2,092,111.69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1,150,397.50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800,835.59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12,192,270.79</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585,167.28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563,699.36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1,530.86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1,150,397.50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247"/>
      <w:bookmarkEnd w:id="24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800,835.59</w:t>
            </w:r>
          </w:p>
        </w:tc>
      </w:tr>
    </w:tbl>
    <w:p>
      <w:pPr>
        <w:pStyle w:val="BodyText"/>
        <w:spacing w:line="360" w:lineRule="auto" w:before="49"/>
        <w:ind w:right="8234"/>
        <w:jc w:val="left"/>
      </w:pPr>
      <w:r>
        <w:rPr/>
        <w:t>其中重要的应收账款核销情况： 应收账款核销说明：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4）按欠款方归集的期末余额前五名的应收账款情况" w:id="248"/>
      <w:bookmarkEnd w:id="24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170,827,395.00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29.04%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1,708,273.95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31,710,568.50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317,105.69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29,067,251.87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290,672.52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25,688,681.00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256,886.81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22,533,538.60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225,335.39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279,827,434.97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47.57%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5）因金融资产转移而终止确认的应收账款" w:id="249"/>
      <w:bookmarkEnd w:id="24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250"/>
      <w:bookmarkEnd w:id="25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应收款项融资" w:id="251"/>
      <w:bookmarkEnd w:id="251"/>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应收款项融资本期增减变动及公允价值变动情况</w:t>
      </w:r>
    </w:p>
    <w:p>
      <w:pPr>
        <w:pStyle w:val="BodyText"/>
        <w:spacing w:line="360" w:lineRule="auto" w:before="115"/>
        <w:ind w:right="1394"/>
        <w:jc w:val="left"/>
      </w:pPr>
      <w:r>
        <w:rPr/>
        <w:t>□ 适用 √</w:t>
      </w:r>
      <w:r>
        <w:rPr>
          <w:spacing w:val="3"/>
        </w:rPr>
        <w:t> </w:t>
      </w:r>
      <w:r>
        <w:rPr/>
        <w:t>不适用</w:t>
      </w:r>
      <w:r>
        <w:rPr/>
        <w:t> 如是按照预期信用损失一般模型计提应收款项融资减值准备，请参照其他应收款的披露方式披露减值准备的相关信息：</w:t>
      </w:r>
    </w:p>
    <w:p>
      <w:pPr>
        <w:pStyle w:val="BodyText"/>
        <w:spacing w:line="357" w:lineRule="auto" w:before="27"/>
        <w:ind w:right="9221"/>
        <w:jc w:val="left"/>
      </w:pPr>
      <w:r>
        <w:rPr/>
        <w:t>□ 适用 √</w:t>
      </w:r>
      <w:r>
        <w:rPr>
          <w:spacing w:val="3"/>
        </w:rPr>
        <w:t> </w:t>
      </w:r>
      <w:r>
        <w:rPr/>
        <w:t>不适用</w:t>
      </w:r>
      <w:r>
        <w:rPr/>
        <w:t>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7、预付款项" w:id="252"/>
      <w:bookmarkEnd w:id="252"/>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预付款项按账龄列示" w:id="253"/>
      <w:bookmarkEnd w:id="25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59,086,093.30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79.13%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24,011,809.22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4,151,730.36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11,045,659.07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11,003,206.23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346,727.93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429,840.37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83,119.47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74,670,870.26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739"/>
        <w:gridCol w:w="1034"/>
        <w:gridCol w:w="1568"/>
        <w:gridCol w:w="2401"/>
        <w:gridCol w:w="1800"/>
      </w:tblGrid>
      <w:tr>
        <w:trPr>
          <w:trHeight w:val="34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债务单位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43"/>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97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13,876,941.84</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339,368.00</w:t>
            </w:r>
            <w:r>
              <w:rPr>
                <w:rFonts w:ascii="宋体" w:hAnsi="宋体" w:cs="宋体" w:eastAsia="宋体" w:hint="default"/>
                <w:sz w:val="18"/>
                <w:szCs w:val="18"/>
              </w:rPr>
              <w:t>元；</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2,800,000.00</w:t>
            </w:r>
            <w:r>
              <w:rPr>
                <w:rFonts w:ascii="宋体" w:hAnsi="宋体" w:cs="宋体" w:eastAsia="宋体" w:hint="default"/>
                <w:sz w:val="18"/>
                <w:szCs w:val="18"/>
              </w:rPr>
              <w:t>元；</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r>
              <w:rPr>
                <w:rFonts w:ascii="宋体" w:hAnsi="宋体" w:cs="宋体" w:eastAsia="宋体" w:hint="default"/>
                <w:sz w:val="18"/>
                <w:szCs w:val="18"/>
              </w:rPr>
              <w:t>10,737,573.84</w:t>
            </w:r>
            <w:r>
              <w:rPr>
                <w:rFonts w:ascii="宋体" w:hAnsi="宋体" w:cs="宋体" w:eastAsia="宋体" w:hint="default"/>
                <w:sz w:val="18"/>
                <w:szCs w:val="18"/>
              </w:rPr>
              <w:t>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43"/>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1,001,413.30</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43"/>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14,878,355.14</w:t>
            </w:r>
          </w:p>
        </w:tc>
        <w:tc>
          <w:tcPr>
            <w:tcW w:w="24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按预付对象归集的期末余额前五名的预付款情况" w:id="254"/>
      <w:bookmarkEnd w:id="25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469"/>
        <w:gridCol w:w="3497"/>
        <w:gridCol w:w="2535"/>
      </w:tblGrid>
      <w:tr>
        <w:trPr>
          <w:trHeight w:val="34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4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13,876,941.84</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18.58</w:t>
            </w:r>
          </w:p>
        </w:tc>
      </w:tr>
      <w:tr>
        <w:trPr>
          <w:trHeight w:val="34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8,002,651.29</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10.72</w:t>
            </w:r>
          </w:p>
        </w:tc>
      </w:tr>
      <w:tr>
        <w:trPr>
          <w:trHeight w:val="34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7,833,535.70</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10.49</w:t>
            </w:r>
          </w:p>
        </w:tc>
      </w:tr>
      <w:tr>
        <w:trPr>
          <w:trHeight w:val="34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7,538,843.43</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10.1</w:t>
            </w:r>
          </w:p>
        </w:tc>
      </w:tr>
      <w:tr>
        <w:trPr>
          <w:trHeight w:val="34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2,676,236.30</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3.58</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469"/>
        <w:gridCol w:w="3497"/>
        <w:gridCol w:w="2535"/>
      </w:tblGrid>
      <w:tr>
        <w:trPr>
          <w:trHeight w:val="34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9" w:right="0"/>
              <w:jc w:val="left"/>
              <w:rPr>
                <w:rFonts w:ascii="宋体" w:hAnsi="宋体" w:cs="宋体" w:eastAsia="宋体" w:hint="default"/>
                <w:sz w:val="18"/>
                <w:szCs w:val="18"/>
              </w:rPr>
            </w:pPr>
            <w:r>
              <w:rPr>
                <w:rFonts w:ascii="宋体"/>
                <w:sz w:val="18"/>
              </w:rPr>
              <w:t>39,928,208.56</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53.47</w:t>
            </w:r>
          </w:p>
        </w:tc>
      </w:tr>
    </w:tbl>
    <w:p>
      <w:pPr>
        <w:spacing w:line="240" w:lineRule="auto" w:before="2"/>
        <w:rPr>
          <w:rFonts w:ascii="宋体" w:hAnsi="宋体" w:cs="宋体" w:eastAsia="宋体" w:hint="default"/>
          <w:b/>
          <w:bCs/>
          <w:sz w:val="24"/>
          <w:szCs w:val="24"/>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其他应收款" w:id="255"/>
      <w:bookmarkEnd w:id="255"/>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21,046,895.54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21,046,895.54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256"/>
      <w:bookmarkEnd w:id="25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257"/>
      <w:bookmarkEnd w:id="25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重要逾期利息" w:id="258"/>
      <w:bookmarkEnd w:id="25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坏账准备计提情况" w:id="259"/>
      <w:bookmarkEnd w:id="25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应收股利" w:id="260"/>
      <w:bookmarkEnd w:id="26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261"/>
      <w:bookmarkEnd w:id="26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重要的账龄超过1年的应收股利" w:id="262"/>
      <w:bookmarkEnd w:id="262"/>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221"/>
        <w:jc w:val="left"/>
      </w:pPr>
      <w:r>
        <w:rPr/>
        <w:t>□ 适用 √</w:t>
      </w:r>
      <w:r>
        <w:rPr>
          <w:spacing w:val="3"/>
        </w:rPr>
        <w:t> </w:t>
      </w:r>
      <w:r>
        <w:rPr/>
        <w:t>不适用</w:t>
      </w:r>
      <w:r>
        <w:rPr/>
        <w:t>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其他应收款" w:id="264"/>
      <w:bookmarkEnd w:id="26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265"/>
      <w:bookmarkEnd w:id="26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19,756,683.64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12,182,859.13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1,517,290.60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977,526.05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310,128.20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313,891.54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21,584,102.44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13,474,276.72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坏账准备计提情况" w:id="266"/>
      <w:bookmarkEnd w:id="26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490,957.88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490,957.88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46,249.02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46,249.02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537,206.90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537,206.90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57" w:lineRule="auto" w:before="117"/>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17,984,579.28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1,837,144.07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1,316,049.13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446,329.96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446,329.96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21,584,102.44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267"/>
      <w:bookmarkEnd w:id="26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77"/>
        <w:gridCol w:w="1100"/>
        <w:gridCol w:w="1339"/>
        <w:gridCol w:w="1332"/>
        <w:gridCol w:w="1092"/>
        <w:gridCol w:w="1114"/>
        <w:gridCol w:w="1726"/>
      </w:tblGrid>
      <w:tr>
        <w:trPr>
          <w:trHeight w:val="403" w:hRule="exact"/>
        </w:trPr>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7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490,957.88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46,249.02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537,206.90</w:t>
            </w:r>
          </w:p>
        </w:tc>
      </w:tr>
      <w:tr>
        <w:trPr>
          <w:trHeight w:val="401"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490,957.88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46,249.02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537,206.90</w:t>
            </w:r>
          </w:p>
        </w:tc>
      </w:tr>
    </w:tbl>
    <w:p>
      <w:pPr>
        <w:pStyle w:val="BodyText"/>
        <w:spacing w:line="240" w:lineRule="auto" w:before="49"/>
        <w:ind w:right="1133"/>
        <w:jc w:val="left"/>
      </w:pPr>
      <w:r>
        <w:rPr/>
        <w:t>其中本期坏账准备转回或收回金额重要的：</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本期实际核销的其他应收款情况" w:id="268"/>
      <w:bookmarkEnd w:id="26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1133"/>
        <w:jc w:val="left"/>
        <w:rPr>
          <w:b w:val="0"/>
          <w:bCs w:val="0"/>
        </w:rPr>
      </w:pPr>
      <w:bookmarkStart w:name="5）按欠款方归集的期末余额前五名的其他应收款情况" w:id="269"/>
      <w:bookmarkEnd w:id="26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5"/>
        <w:gridCol w:w="1238"/>
        <w:gridCol w:w="1249"/>
        <w:gridCol w:w="2151"/>
        <w:gridCol w:w="1827"/>
        <w:gridCol w:w="1750"/>
      </w:tblGrid>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85"/>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2,536,015.00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25,360.15</w:t>
            </w:r>
          </w:p>
        </w:tc>
      </w:tr>
      <w:tr>
        <w:trPr>
          <w:trHeight w:val="7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2,098,045.00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年以内</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1,359,645.00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p>
            <w:pPr>
              <w:pStyle w:val="TableParagraph"/>
              <w:spacing w:line="240" w:lineRule="auto" w:before="10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87,436.45</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1,440,000.00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14,400.00</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1,209,900.00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元；</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1,199,900.00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60,095.00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958,240.00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4.44%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9,582.40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8,242,200.00</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38.19%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196,874.00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270"/>
      <w:bookmarkEnd w:id="27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7）因金融资产转移而终止确认的其他应收款" w:id="271"/>
      <w:bookmarkEnd w:id="27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272"/>
      <w:bookmarkEnd w:id="27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9、存货" w:id="273"/>
      <w:bookmarkEnd w:id="273"/>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存货分类" w:id="274"/>
      <w:bookmarkEnd w:id="27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659,790,617.52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659,790,617.52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257,576,257.03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257,576,257.03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111,014,356.86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111,014,356.86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77,589,598.97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77,589,598.97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770,804,974.38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770,804,974.38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335,165,856.00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335,165,856.00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存货跌价准备" w:id="275"/>
      <w:bookmarkEnd w:id="27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存货期末余额含有借款费用资本化金额的说明" w:id="276"/>
      <w:bookmarkEnd w:id="27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1133"/>
        <w:jc w:val="left"/>
        <w:rPr>
          <w:b w:val="0"/>
          <w:bCs w:val="0"/>
        </w:rPr>
      </w:pPr>
      <w:bookmarkStart w:name="（4）期末建造合同形成的已完工未结算资产情况" w:id="277"/>
      <w:bookmarkEnd w:id="27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1754"/>
        <w:jc w:val="left"/>
      </w:pPr>
      <w:r>
        <w:rPr/>
        <w:t>合同资产的账面价值在本期内发生的重大变动金额和原因： 如是按照预期信用损失一般模型计提合同资产坏账准备，请参照其他应收款的披露方式披露坏账准备的相关信息：</w:t>
      </w:r>
    </w:p>
    <w:p>
      <w:pPr>
        <w:pStyle w:val="BodyText"/>
        <w:spacing w:line="357" w:lineRule="auto" w:before="29"/>
        <w:ind w:right="8234"/>
        <w:jc w:val="left"/>
      </w:pPr>
      <w:r>
        <w:rPr/>
        <w:t>□ 适用 √</w:t>
      </w:r>
      <w:r>
        <w:rPr>
          <w:spacing w:val="3"/>
        </w:rPr>
        <w:t> </w:t>
      </w:r>
      <w:r>
        <w:rPr/>
        <w:t>不适用</w:t>
      </w:r>
      <w:r>
        <w:rPr/>
        <w:t> 本期合同资产计提减值准备情况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11、持有待售资产" w:id="278"/>
      <w:bookmarkEnd w:id="27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2、一年内到期的非流动资产" w:id="279"/>
      <w:bookmarkEnd w:id="27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3、其他流动资产" w:id="280"/>
      <w:bookmarkEnd w:id="28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3,267,679.95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747,019.88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3,267,679.95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747,019.88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4、债权投资" w:id="281"/>
      <w:bookmarkEnd w:id="28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360" w:lineRule="auto" w:before="115"/>
        <w:ind w:right="9134"/>
        <w:jc w:val="left"/>
      </w:pPr>
      <w:r>
        <w:rPr/>
        <w:t>□ 适用 √</w:t>
      </w:r>
      <w:r>
        <w:rPr>
          <w:spacing w:val="3"/>
        </w:rPr>
        <w:t> </w:t>
      </w:r>
      <w:r>
        <w:rPr/>
        <w:t>不适用</w:t>
      </w:r>
      <w:r>
        <w:rPr/>
        <w:t>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15、其他债权投资" w:id="282"/>
      <w:bookmarkEnd w:id="282"/>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360" w:lineRule="auto" w:before="115"/>
        <w:ind w:right="9221"/>
        <w:jc w:val="left"/>
      </w:pPr>
      <w:r>
        <w:rPr/>
        <w:t>□ 适用 √</w:t>
      </w:r>
      <w:r>
        <w:rPr>
          <w:spacing w:val="3"/>
        </w:rPr>
        <w:t> </w:t>
      </w:r>
      <w:r>
        <w:rPr/>
        <w:t>不适用</w:t>
      </w:r>
      <w:r>
        <w:rPr/>
        <w:t> 其他说明：</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bookmarkStart w:name="16、长期应收款" w:id="283"/>
      <w:bookmarkEnd w:id="28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长期应收款情况" w:id="284"/>
      <w:bookmarkEnd w:id="28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t>□ 适用 √</w:t>
      </w:r>
      <w:r>
        <w:rPr>
          <w:spacing w:val="3"/>
        </w:rPr>
        <w:t> </w:t>
      </w:r>
      <w:r>
        <w:rPr/>
        <w:t>不适用</w:t>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left="212" w:right="0"/>
        <w:jc w:val="left"/>
        <w:rPr>
          <w:b w:val="0"/>
          <w:bCs w:val="0"/>
        </w:rPr>
      </w:pPr>
      <w:bookmarkStart w:name="（2）因金融资产转移而终止确认的长期应收款" w:id="285"/>
      <w:bookmarkEnd w:id="28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2" w:right="0"/>
        <w:jc w:val="left"/>
        <w:rPr>
          <w:b w:val="0"/>
          <w:bCs w:val="0"/>
        </w:rPr>
      </w:pPr>
      <w:bookmarkStart w:name="（3）转移长期应收款且继续涉入形成的资产、负债金额" w:id="286"/>
      <w:bookmarkEnd w:id="28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left="212" w:right="0"/>
        <w:jc w:val="left"/>
        <w:rPr>
          <w:b w:val="0"/>
          <w:bCs w:val="0"/>
        </w:rPr>
      </w:pPr>
      <w:bookmarkStart w:name="17、长期股权投资" w:id="287"/>
      <w:bookmarkEnd w:id="28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28"/>
        <w:gridCol w:w="991"/>
        <w:gridCol w:w="689"/>
        <w:gridCol w:w="662"/>
        <w:gridCol w:w="974"/>
        <w:gridCol w:w="855"/>
        <w:gridCol w:w="653"/>
        <w:gridCol w:w="799"/>
        <w:gridCol w:w="610"/>
        <w:gridCol w:w="641"/>
        <w:gridCol w:w="996"/>
        <w:gridCol w:w="799"/>
      </w:tblGrid>
      <w:tr>
        <w:trPr>
          <w:trHeight w:val="1027" w:hRule="exact"/>
        </w:trPr>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9" w:lineRule="auto"/>
              <w:ind w:left="131" w:right="127"/>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58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112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15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6" w:right="14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2" w:right="120"/>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3" w:right="14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9"/>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9" w:right="119"/>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7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7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3"/>
              <w:jc w:val="both"/>
              <w:rPr>
                <w:rFonts w:ascii="宋体" w:hAnsi="宋体" w:cs="宋体" w:eastAsia="宋体" w:hint="default"/>
                <w:sz w:val="18"/>
                <w:szCs w:val="18"/>
              </w:rPr>
            </w:pPr>
            <w:r>
              <w:rPr>
                <w:rFonts w:ascii="宋体" w:hAnsi="宋体" w:cs="宋体" w:eastAsia="宋体" w:hint="default"/>
                <w:sz w:val="18"/>
                <w:szCs w:val="18"/>
              </w:rPr>
              <w:t>共青城银汐 投资管理合 伙企业（有 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right="96"/>
              <w:jc w:val="right"/>
              <w:rPr>
                <w:rFonts w:ascii="Times New Roman" w:hAnsi="Times New Roman" w:cs="Times New Roman" w:eastAsia="Times New Roman" w:hint="default"/>
                <w:sz w:val="11"/>
                <w:szCs w:val="11"/>
              </w:rPr>
            </w:pPr>
            <w:r>
              <w:rPr>
                <w:rFonts w:ascii="Times New Roman"/>
                <w:sz w:val="11"/>
              </w:rPr>
              <w:t>87,341,039.47</w:t>
            </w:r>
          </w:p>
        </w:tc>
        <w:tc>
          <w:tcPr>
            <w:tcW w:w="68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right="99"/>
              <w:jc w:val="right"/>
              <w:rPr>
                <w:rFonts w:ascii="Times New Roman" w:hAnsi="Times New Roman" w:cs="Times New Roman" w:eastAsia="Times New Roman" w:hint="default"/>
                <w:sz w:val="11"/>
                <w:szCs w:val="11"/>
              </w:rPr>
            </w:pPr>
            <w:r>
              <w:rPr>
                <w:rFonts w:ascii="Times New Roman"/>
                <w:spacing w:val="-1"/>
                <w:sz w:val="11"/>
              </w:rPr>
              <w:t>6,657,117.42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right="97"/>
              <w:jc w:val="right"/>
              <w:rPr>
                <w:rFonts w:ascii="Times New Roman" w:hAnsi="Times New Roman" w:cs="Times New Roman" w:eastAsia="Times New Roman" w:hint="default"/>
                <w:sz w:val="11"/>
                <w:szCs w:val="11"/>
              </w:rPr>
            </w:pPr>
            <w:r>
              <w:rPr>
                <w:rFonts w:ascii="Times New Roman"/>
                <w:sz w:val="11"/>
              </w:rPr>
              <w:t>9,446,642.95</w:t>
            </w:r>
          </w:p>
        </w:tc>
        <w:tc>
          <w:tcPr>
            <w:tcW w:w="65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right="99"/>
              <w:jc w:val="right"/>
              <w:rPr>
                <w:rFonts w:ascii="Times New Roman" w:hAnsi="Times New Roman" w:cs="Times New Roman" w:eastAsia="Times New Roman" w:hint="default"/>
                <w:sz w:val="11"/>
                <w:szCs w:val="11"/>
              </w:rPr>
            </w:pPr>
            <w:r>
              <w:rPr>
                <w:rFonts w:ascii="Times New Roman"/>
                <w:spacing w:val="-1"/>
                <w:sz w:val="11"/>
              </w:rPr>
              <w:t>103,444,799.84</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3"/>
              <w:jc w:val="left"/>
              <w:rPr>
                <w:rFonts w:ascii="宋体" w:hAnsi="宋体" w:cs="宋体" w:eastAsia="宋体" w:hint="default"/>
                <w:sz w:val="18"/>
                <w:szCs w:val="18"/>
              </w:rPr>
            </w:pPr>
            <w:r>
              <w:rPr>
                <w:rFonts w:ascii="宋体" w:hAnsi="宋体" w:cs="宋体" w:eastAsia="宋体" w:hint="default"/>
                <w:sz w:val="18"/>
                <w:szCs w:val="18"/>
              </w:rPr>
              <w:t>北京泛融科 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1"/>
                <w:szCs w:val="11"/>
              </w:rPr>
            </w:pPr>
            <w:r>
              <w:rPr>
                <w:rFonts w:ascii="Times New Roman"/>
                <w:sz w:val="11"/>
              </w:rPr>
              <w:t>7,385,661.86</w:t>
            </w:r>
          </w:p>
        </w:tc>
        <w:tc>
          <w:tcPr>
            <w:tcW w:w="68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z w:val="11"/>
              </w:rPr>
              <w:t>-682,413.19</w:t>
            </w:r>
          </w:p>
        </w:tc>
        <w:tc>
          <w:tcPr>
            <w:tcW w:w="85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6,703,248.67</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3"/>
              <w:jc w:val="left"/>
              <w:rPr>
                <w:rFonts w:ascii="宋体" w:hAnsi="宋体" w:cs="宋体" w:eastAsia="宋体" w:hint="default"/>
                <w:sz w:val="18"/>
                <w:szCs w:val="18"/>
              </w:rPr>
            </w:pPr>
            <w:r>
              <w:rPr>
                <w:rFonts w:ascii="宋体" w:hAnsi="宋体" w:cs="宋体" w:eastAsia="宋体" w:hint="default"/>
                <w:sz w:val="18"/>
                <w:szCs w:val="18"/>
              </w:rPr>
              <w:t>北京海同科 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1"/>
                <w:szCs w:val="11"/>
              </w:rPr>
            </w:pPr>
            <w:r>
              <w:rPr>
                <w:rFonts w:ascii="Times New Roman"/>
                <w:spacing w:val="-1"/>
                <w:sz w:val="11"/>
              </w:rPr>
              <w:t>5,929,611.87</w:t>
            </w:r>
          </w:p>
        </w:tc>
        <w:tc>
          <w:tcPr>
            <w:tcW w:w="68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z w:val="11"/>
              </w:rPr>
              <w:t>-170,813.36</w:t>
            </w:r>
          </w:p>
        </w:tc>
        <w:tc>
          <w:tcPr>
            <w:tcW w:w="85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5,758,798.51</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1"/>
                <w:szCs w:val="11"/>
              </w:rPr>
            </w:pPr>
            <w:r>
              <w:rPr>
                <w:rFonts w:ascii="Times New Roman"/>
                <w:spacing w:val="-1"/>
                <w:sz w:val="11"/>
              </w:rPr>
              <w:t>100,656,313.20</w:t>
            </w:r>
          </w:p>
        </w:tc>
        <w:tc>
          <w:tcPr>
            <w:tcW w:w="68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5,803,890.87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1"/>
                <w:szCs w:val="11"/>
              </w:rPr>
            </w:pPr>
            <w:r>
              <w:rPr>
                <w:rFonts w:ascii="Times New Roman"/>
                <w:sz w:val="11"/>
              </w:rPr>
              <w:t>9,446,642.95</w:t>
            </w:r>
          </w:p>
        </w:tc>
        <w:tc>
          <w:tcPr>
            <w:tcW w:w="65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115,906,847.02</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1"/>
                <w:szCs w:val="11"/>
              </w:rPr>
            </w:pPr>
            <w:r>
              <w:rPr>
                <w:rFonts w:ascii="Times New Roman"/>
                <w:spacing w:val="-1"/>
                <w:sz w:val="11"/>
              </w:rPr>
              <w:t>100,656,313.20</w:t>
            </w:r>
          </w:p>
        </w:tc>
        <w:tc>
          <w:tcPr>
            <w:tcW w:w="68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5,803,890.87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1"/>
                <w:szCs w:val="11"/>
              </w:rPr>
            </w:pPr>
            <w:r>
              <w:rPr>
                <w:rFonts w:ascii="Times New Roman"/>
                <w:sz w:val="11"/>
              </w:rPr>
              <w:t>9,446,642.95</w:t>
            </w:r>
          </w:p>
        </w:tc>
        <w:tc>
          <w:tcPr>
            <w:tcW w:w="65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115,906,847.02</w:t>
            </w:r>
          </w:p>
        </w:tc>
        <w:tc>
          <w:tcPr>
            <w:tcW w:w="7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2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212" w:right="0"/>
        <w:jc w:val="left"/>
        <w:rPr>
          <w:b w:val="0"/>
          <w:bCs w:val="0"/>
        </w:rPr>
      </w:pPr>
      <w:bookmarkStart w:name="18、其他权益工具投资" w:id="288"/>
      <w:bookmarkEnd w:id="288"/>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苏州优圣美智能系统有限公司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3"/>
        <w:rPr>
          <w:rFonts w:ascii="宋体" w:hAnsi="宋体" w:cs="宋体" w:eastAsia="宋体" w:hint="default"/>
          <w:sz w:val="19"/>
          <w:szCs w:val="19"/>
        </w:rPr>
      </w:pPr>
    </w:p>
    <w:p>
      <w:pPr>
        <w:pStyle w:val="Heading4"/>
        <w:spacing w:line="240" w:lineRule="auto" w:before="36"/>
        <w:ind w:left="212" w:right="0"/>
        <w:jc w:val="left"/>
        <w:rPr>
          <w:b w:val="0"/>
          <w:bCs w:val="0"/>
        </w:rPr>
      </w:pPr>
      <w:bookmarkStart w:name="19、其他非流动金融资产" w:id="289"/>
      <w:bookmarkEnd w:id="289"/>
      <w:r>
        <w:rPr>
          <w:b w:val="0"/>
          <w:bCs w:val="0"/>
        </w:rPr>
      </w:r>
      <w:r>
        <w:rPr>
          <w:rFonts w:ascii="Times New Roman" w:hAnsi="Times New Roman" w:cs="Times New Roman" w:eastAsia="Times New Roman" w:hint="default"/>
        </w:rPr>
        <w:t>19</w:t>
      </w:r>
      <w:r>
        <w:rPr/>
        <w:t>、其他非流动金融资产</w:t>
      </w:r>
      <w:r>
        <w:rPr>
          <w:b w:val="0"/>
          <w:bCs w:val="0"/>
        </w:rPr>
      </w:r>
    </w:p>
    <w:p>
      <w:pPr>
        <w:spacing w:after="0" w:line="240" w:lineRule="auto"/>
        <w:jc w:val="left"/>
        <w:sectPr>
          <w:pgSz w:w="11910" w:h="16840"/>
          <w:pgMar w:header="906" w:footer="1021" w:top="1100" w:bottom="1220" w:left="9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1133"/>
        <w:jc w:val="left"/>
        <w:rPr>
          <w:b w:val="0"/>
          <w:bCs w:val="0"/>
        </w:rPr>
      </w:pPr>
      <w:bookmarkStart w:name="20、投资性房地产" w:id="290"/>
      <w:bookmarkEnd w:id="290"/>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投资性房地产" w:id="291"/>
      <w:bookmarkEnd w:id="29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采用公允价值计量模式的投资性房地产" w:id="292"/>
      <w:bookmarkEnd w:id="29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未办妥产权证书的投资性房地产情况" w:id="293"/>
      <w:bookmarkEnd w:id="29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1、固定资产" w:id="294"/>
      <w:bookmarkEnd w:id="294"/>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72,093,470.72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72,093,470.72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61,667,379.57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固定资产情况" w:id="295"/>
      <w:bookmarkEnd w:id="29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78"/>
        <w:gridCol w:w="1913"/>
        <w:gridCol w:w="1575"/>
        <w:gridCol w:w="1915"/>
        <w:gridCol w:w="1913"/>
      </w:tblGrid>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53,809,985.59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941,158.35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14,837,141.39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69,588,285.33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11,746,541.13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3,570,702.29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15,317,243.42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11,746,541.13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3,570,702.29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15,317,243.42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25,211.10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25,211.10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25,211.10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25,211.10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65,556,526.72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941,158.35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18,382,632.58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84,880,317.65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1,217,130.60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491,874.54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6,211,900.62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7,920,905.76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1,789,737.12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128,870.16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2,969,794.70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4,888,401.98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1,789,737.12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128,870.16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2,969,794.70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4,888,401.98</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1021" w:header="906" w:top="1100" w:bottom="1220" w:left="1020" w:right="0"/>
          <w:pgNumType w:start="1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277"/>
        <w:gridCol w:w="1913"/>
        <w:gridCol w:w="1575"/>
        <w:gridCol w:w="1915"/>
        <w:gridCol w:w="1913"/>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22,460.81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22,460.81</w:t>
            </w: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22,460.81</w:t>
            </w: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3,006,867.72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620,744.70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9,159,234.51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12,786,846.93</w:t>
            </w: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62,549,659.00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320,413.65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9,223,398.07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72,093,470.72</w:t>
            </w: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52,592,854.99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449,283.81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8,625,240.77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暂时闲置的固定资产情况" w:id="296"/>
      <w:bookmarkEnd w:id="29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3）通过融资租赁租入的固定资产情况" w:id="297"/>
      <w:bookmarkEnd w:id="29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通过经营租赁租出的固定资产" w:id="298"/>
      <w:bookmarkEnd w:id="29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5）未办妥产权证书的固定资产情况" w:id="299"/>
      <w:bookmarkEnd w:id="29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固定资产清理" w:id="300"/>
      <w:bookmarkEnd w:id="30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2、在建工程" w:id="301"/>
      <w:bookmarkEnd w:id="301"/>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3、生产性生物资产" w:id="302"/>
      <w:bookmarkEnd w:id="30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生产性生物资产" w:id="303"/>
      <w:bookmarkEnd w:id="30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采用公允价值计量模式的生产性生物资产" w:id="304"/>
      <w:bookmarkEnd w:id="30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4、油气资产" w:id="305"/>
      <w:bookmarkEnd w:id="30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5、使用权资产" w:id="306"/>
      <w:bookmarkEnd w:id="306"/>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6、无形资产" w:id="307"/>
      <w:bookmarkEnd w:id="307"/>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无形资产情况" w:id="308"/>
      <w:bookmarkEnd w:id="30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03"/>
        <w:gridCol w:w="1246"/>
        <w:gridCol w:w="1339"/>
        <w:gridCol w:w="1361"/>
        <w:gridCol w:w="1594"/>
        <w:gridCol w:w="1594"/>
      </w:tblGrid>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9,309,342.16</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5,084,790.19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14,394,132.35</w:t>
            </w: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12,962,775.07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936,223.54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13,898,998.61</w:t>
            </w: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936,223.54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936,223.54</w:t>
            </w: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12,962,775.07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12,962,775.07</w:t>
            </w: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22,272,117.23</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6,021,013.73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28,293,130.96</w:t>
            </w: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1,049,387.14</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3,959,012.68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5,008,399.82</w:t>
            </w: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1,699,014.58</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476,529.20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2,175,543.78</w:t>
            </w: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1,699,014.58</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476,529.20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2,175,543.78</w:t>
            </w: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2,748,401.72</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4,435,541.88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7,183,943.60</w:t>
            </w: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02"/>
        <w:gridCol w:w="1246"/>
        <w:gridCol w:w="1339"/>
        <w:gridCol w:w="1361"/>
        <w:gridCol w:w="1594"/>
        <w:gridCol w:w="1594"/>
      </w:tblGrid>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1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19,523,715.51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1,585,471.85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21,109,187.36</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Times New Roman" w:hAnsi="Times New Roman" w:cs="Times New Roman" w:eastAsia="Times New Roman" w:hint="default"/>
                <w:sz w:val="18"/>
                <w:szCs w:val="18"/>
              </w:rPr>
            </w:pPr>
            <w:r>
              <w:rPr>
                <w:rFonts w:ascii="Times New Roman"/>
                <w:sz w:val="18"/>
              </w:rPr>
              <w:t>8,259,955.02</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1,125,777.51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9,385,732.53</w:t>
            </w:r>
          </w:p>
        </w:tc>
      </w:tr>
    </w:tbl>
    <w:p>
      <w:pPr>
        <w:pStyle w:val="BodyText"/>
        <w:spacing w:line="240" w:lineRule="auto" w:before="49"/>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92.49%</w:t>
      </w:r>
      <w:r>
        <w:rPr/>
        <w:t>。</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未办妥产权证书的土地使用权情况" w:id="309"/>
      <w:bookmarkEnd w:id="30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7、开发支出" w:id="310"/>
      <w:bookmarkEnd w:id="310"/>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14"/>
        <w:gridCol w:w="1301"/>
        <w:gridCol w:w="1274"/>
        <w:gridCol w:w="713"/>
        <w:gridCol w:w="687"/>
        <w:gridCol w:w="1250"/>
        <w:gridCol w:w="915"/>
        <w:gridCol w:w="571"/>
        <w:gridCol w:w="1286"/>
      </w:tblGrid>
      <w:tr>
        <w:trPr>
          <w:trHeight w:val="403" w:hRule="exact"/>
        </w:trPr>
        <w:tc>
          <w:tcPr>
            <w:tcW w:w="1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714"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42" w:right="180"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168"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182"/>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7"/>
              <w:ind w:left="103" w:right="98"/>
              <w:jc w:val="left"/>
              <w:rPr>
                <w:rFonts w:ascii="宋体" w:hAnsi="宋体" w:cs="宋体" w:eastAsia="宋体" w:hint="default"/>
                <w:sz w:val="16"/>
                <w:szCs w:val="16"/>
              </w:rPr>
            </w:pPr>
            <w:r>
              <w:rPr>
                <w:rFonts w:ascii="宋体" w:hAnsi="宋体" w:cs="宋体" w:eastAsia="宋体" w:hint="default"/>
                <w:sz w:val="16"/>
                <w:szCs w:val="16"/>
              </w:rPr>
              <w:t>基于</w:t>
            </w:r>
            <w:r>
              <w:rPr>
                <w:rFonts w:ascii="宋体" w:hAnsi="宋体" w:cs="宋体" w:eastAsia="宋体" w:hint="default"/>
                <w:spacing w:val="-49"/>
                <w:sz w:val="16"/>
                <w:szCs w:val="16"/>
              </w:rPr>
              <w:t> </w:t>
            </w:r>
            <w:r>
              <w:rPr>
                <w:rFonts w:ascii="Times New Roman" w:hAnsi="Times New Roman" w:cs="Times New Roman" w:eastAsia="Times New Roman" w:hint="default"/>
                <w:sz w:val="16"/>
                <w:szCs w:val="16"/>
              </w:rPr>
              <w:t>SOA</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架构的金融</w:t>
            </w:r>
            <w:r>
              <w:rPr>
                <w:rFonts w:ascii="宋体" w:hAnsi="宋体" w:cs="宋体" w:eastAsia="宋体" w:hint="default"/>
                <w:w w:val="100"/>
                <w:sz w:val="16"/>
                <w:szCs w:val="16"/>
              </w:rPr>
              <w:t> </w:t>
            </w:r>
            <w:r>
              <w:rPr>
                <w:rFonts w:ascii="宋体" w:hAnsi="宋体" w:cs="宋体" w:eastAsia="宋体" w:hint="default"/>
                <w:sz w:val="16"/>
                <w:szCs w:val="16"/>
              </w:rPr>
              <w:t>渠道和业务平台</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Times New Roman" w:hAnsi="Times New Roman" w:cs="Times New Roman" w:eastAsia="Times New Roman" w:hint="default"/>
                <w:sz w:val="16"/>
                <w:szCs w:val="16"/>
              </w:rPr>
              <w:t>Starring6</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4,536,982.26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1,378,384.31</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869,405.60</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5,045,960.97</w:t>
            </w:r>
          </w:p>
        </w:tc>
      </w:tr>
      <w:tr>
        <w:trPr>
          <w:trHeight w:val="71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67"/>
              <w:ind w:left="103" w:right="156"/>
              <w:jc w:val="left"/>
              <w:rPr>
                <w:rFonts w:ascii="宋体" w:hAnsi="宋体" w:cs="宋体" w:eastAsia="宋体" w:hint="default"/>
                <w:sz w:val="16"/>
                <w:szCs w:val="16"/>
              </w:rPr>
            </w:pPr>
            <w:r>
              <w:rPr>
                <w:rFonts w:ascii="宋体" w:hAnsi="宋体" w:cs="宋体" w:eastAsia="宋体" w:hint="default"/>
                <w:sz w:val="16"/>
                <w:szCs w:val="16"/>
              </w:rPr>
              <w:t>企业数据管理及应用</w:t>
            </w:r>
            <w:r>
              <w:rPr>
                <w:rFonts w:ascii="宋体" w:hAnsi="宋体" w:cs="宋体" w:eastAsia="宋体" w:hint="default"/>
                <w:w w:val="100"/>
                <w:sz w:val="16"/>
                <w:szCs w:val="16"/>
              </w:rPr>
              <w:t> </w:t>
            </w:r>
            <w:r>
              <w:rPr>
                <w:rFonts w:ascii="宋体" w:hAnsi="宋体" w:cs="宋体" w:eastAsia="宋体" w:hint="default"/>
                <w:sz w:val="16"/>
                <w:szCs w:val="16"/>
              </w:rPr>
              <w:t>软件包</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iMOIA</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2,275,403.90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498,825.09</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2,199,586.22</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574,642.77</w:t>
            </w: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统一客户服务平台</w:t>
            </w:r>
          </w:p>
          <w:p>
            <w:pPr>
              <w:pStyle w:val="TableParagraph"/>
              <w:spacing w:line="240" w:lineRule="auto" w:before="102"/>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UCSP</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2,032,072.95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2,032,072.95</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大数据平台及应用</w:t>
            </w:r>
          </w:p>
          <w:p>
            <w:pPr>
              <w:pStyle w:val="TableParagraph"/>
              <w:spacing w:line="240" w:lineRule="auto" w:before="100"/>
              <w:ind w:left="103" w:right="0"/>
              <w:jc w:val="left"/>
              <w:rPr>
                <w:rFonts w:ascii="宋体" w:hAnsi="宋体" w:cs="宋体" w:eastAsia="宋体" w:hint="default"/>
                <w:sz w:val="16"/>
                <w:szCs w:val="16"/>
              </w:rPr>
            </w:pPr>
            <w:r>
              <w:rPr>
                <w:rFonts w:ascii="Times New Roman" w:hAnsi="Times New Roman" w:cs="Times New Roman" w:eastAsia="Times New Roman" w:hint="default"/>
                <w:spacing w:val="-4"/>
                <w:sz w:val="16"/>
                <w:szCs w:val="16"/>
              </w:rPr>
              <w:t>BDPAS</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4,310,099.63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1,373,245.60</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4,263,458.39</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1,419,886.84</w:t>
            </w: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67"/>
              <w:ind w:left="103" w:right="125"/>
              <w:jc w:val="left"/>
              <w:rPr>
                <w:rFonts w:ascii="宋体" w:hAnsi="宋体" w:cs="宋体" w:eastAsia="宋体" w:hint="default"/>
                <w:sz w:val="16"/>
                <w:szCs w:val="16"/>
              </w:rPr>
            </w:pPr>
            <w:r>
              <w:rPr>
                <w:rFonts w:ascii="Times New Roman" w:hAnsi="Times New Roman" w:cs="Times New Roman" w:eastAsia="Times New Roman" w:hint="default"/>
                <w:sz w:val="16"/>
                <w:szCs w:val="16"/>
              </w:rPr>
              <w:t>IT</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运维服务体系建设</w:t>
            </w:r>
            <w:r>
              <w:rPr>
                <w:rFonts w:ascii="宋体" w:hAnsi="宋体" w:cs="宋体" w:eastAsia="宋体" w:hint="default"/>
                <w:w w:val="100"/>
                <w:sz w:val="16"/>
                <w:szCs w:val="16"/>
              </w:rPr>
              <w:t> </w:t>
            </w:r>
            <w:r>
              <w:rPr>
                <w:rFonts w:ascii="宋体" w:hAnsi="宋体" w:cs="宋体" w:eastAsia="宋体" w:hint="default"/>
                <w:sz w:val="16"/>
                <w:szCs w:val="16"/>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2,654,665.56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1,812,721.30</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3,598,251.91</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869,134.95</w:t>
            </w:r>
          </w:p>
        </w:tc>
      </w:tr>
      <w:tr>
        <w:trPr>
          <w:trHeight w:val="71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67"/>
              <w:ind w:left="103" w:right="156"/>
              <w:jc w:val="left"/>
              <w:rPr>
                <w:rFonts w:ascii="宋体" w:hAnsi="宋体" w:cs="宋体" w:eastAsia="宋体" w:hint="default"/>
                <w:sz w:val="16"/>
                <w:szCs w:val="16"/>
              </w:rPr>
            </w:pPr>
            <w:r>
              <w:rPr>
                <w:rFonts w:ascii="宋体" w:hAnsi="宋体" w:cs="宋体" w:eastAsia="宋体" w:hint="default"/>
                <w:sz w:val="16"/>
                <w:szCs w:val="16"/>
              </w:rPr>
              <w:t>先进数通金融交易云</w:t>
            </w:r>
            <w:r>
              <w:rPr>
                <w:rFonts w:ascii="宋体" w:hAnsi="宋体" w:cs="宋体" w:eastAsia="宋体" w:hint="default"/>
                <w:w w:val="100"/>
                <w:sz w:val="16"/>
                <w:szCs w:val="16"/>
              </w:rPr>
              <w:t> </w:t>
            </w:r>
            <w:r>
              <w:rPr>
                <w:rFonts w:ascii="宋体" w:hAnsi="宋体" w:cs="宋体" w:eastAsia="宋体" w:hint="default"/>
                <w:sz w:val="16"/>
                <w:szCs w:val="16"/>
              </w:rPr>
              <w:t>平台</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3,830,724.09</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3,830,724.09</w:t>
            </w:r>
          </w:p>
        </w:tc>
      </w:tr>
      <w:tr>
        <w:trPr>
          <w:trHeight w:val="404"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iMOIA</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新组件研发</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594,440.76</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594,440.76</w:t>
            </w:r>
          </w:p>
        </w:tc>
      </w:tr>
      <w:tr>
        <w:trPr>
          <w:trHeight w:val="71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67"/>
              <w:ind w:left="103" w:right="156"/>
              <w:jc w:val="left"/>
              <w:rPr>
                <w:rFonts w:ascii="宋体" w:hAnsi="宋体" w:cs="宋体" w:eastAsia="宋体" w:hint="default"/>
                <w:sz w:val="16"/>
                <w:szCs w:val="16"/>
              </w:rPr>
            </w:pPr>
            <w:r>
              <w:rPr>
                <w:rFonts w:ascii="宋体" w:hAnsi="宋体" w:cs="宋体" w:eastAsia="宋体" w:hint="default"/>
                <w:sz w:val="16"/>
                <w:szCs w:val="16"/>
              </w:rPr>
              <w:t>金融大数据管理及服</w:t>
            </w:r>
            <w:r>
              <w:rPr>
                <w:rFonts w:ascii="宋体" w:hAnsi="宋体" w:cs="宋体" w:eastAsia="宋体" w:hint="default"/>
                <w:w w:val="100"/>
                <w:sz w:val="16"/>
                <w:szCs w:val="16"/>
              </w:rPr>
              <w:t> </w:t>
            </w:r>
            <w:r>
              <w:rPr>
                <w:rFonts w:ascii="宋体" w:hAnsi="宋体" w:cs="宋体" w:eastAsia="宋体" w:hint="default"/>
                <w:sz w:val="16"/>
                <w:szCs w:val="16"/>
              </w:rPr>
              <w:t>务平台</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1,470,229.77</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1,470,229.77</w:t>
            </w: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03" w:right="156"/>
              <w:jc w:val="left"/>
              <w:rPr>
                <w:rFonts w:ascii="宋体" w:hAnsi="宋体" w:cs="宋体" w:eastAsia="宋体" w:hint="default"/>
                <w:sz w:val="16"/>
                <w:szCs w:val="16"/>
              </w:rPr>
            </w:pPr>
            <w:r>
              <w:rPr>
                <w:rFonts w:ascii="宋体" w:hAnsi="宋体" w:cs="宋体" w:eastAsia="宋体" w:hint="default"/>
                <w:sz w:val="16"/>
                <w:szCs w:val="16"/>
              </w:rPr>
              <w:t>智能网络管理及运维</w:t>
            </w:r>
            <w:r>
              <w:rPr>
                <w:rFonts w:ascii="宋体" w:hAnsi="宋体" w:cs="宋体" w:eastAsia="宋体" w:hint="default"/>
                <w:w w:val="100"/>
                <w:sz w:val="16"/>
                <w:szCs w:val="16"/>
              </w:rPr>
              <w:t> </w:t>
            </w:r>
            <w:r>
              <w:rPr>
                <w:rFonts w:ascii="宋体" w:hAnsi="宋体" w:cs="宋体" w:eastAsia="宋体" w:hint="default"/>
                <w:sz w:val="16"/>
                <w:szCs w:val="16"/>
              </w:rPr>
              <w:t>平台</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1,658,822.20</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1,658,822.20</w:t>
            </w: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15,809,224.30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12,617,393.12</w:t>
            </w:r>
          </w:p>
        </w:tc>
        <w:tc>
          <w:tcPr>
            <w:tcW w:w="713"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12,962,775.07</w:t>
            </w:r>
          </w:p>
        </w:tc>
        <w:tc>
          <w:tcPr>
            <w:tcW w:w="9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15,463,842.35</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804"/>
        <w:gridCol w:w="1598"/>
        <w:gridCol w:w="3752"/>
        <w:gridCol w:w="1536"/>
      </w:tblGrid>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49"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669" w:right="38" w:hanging="629"/>
              <w:jc w:val="left"/>
              <w:rPr>
                <w:rFonts w:ascii="宋体" w:hAnsi="宋体" w:cs="宋体" w:eastAsia="宋体" w:hint="default"/>
                <w:sz w:val="18"/>
                <w:szCs w:val="18"/>
              </w:rPr>
            </w:pPr>
            <w:r>
              <w:rPr>
                <w:rFonts w:ascii="宋体" w:hAnsi="宋体" w:cs="宋体" w:eastAsia="宋体" w:hint="default"/>
                <w:sz w:val="18"/>
                <w:szCs w:val="18"/>
              </w:rPr>
              <w:t>截至期末的研发进 度</w:t>
            </w:r>
          </w:p>
        </w:tc>
      </w:tr>
      <w:tr>
        <w:trPr>
          <w:trHeight w:val="65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7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z w:val="18"/>
                <w:szCs w:val="18"/>
              </w:rPr>
              <w:t>SOA</w:t>
            </w:r>
            <w:r>
              <w:rPr>
                <w:rFonts w:ascii="宋体" w:hAnsi="宋体" w:cs="宋体" w:eastAsia="宋体" w:hint="default"/>
                <w:sz w:val="18"/>
                <w:szCs w:val="18"/>
              </w:rPr>
              <w:t>架构的金融渠道和业务平 台</w:t>
            </w:r>
            <w:r>
              <w:rPr>
                <w:rFonts w:ascii="宋体" w:hAnsi="宋体" w:cs="宋体" w:eastAsia="宋体" w:hint="default"/>
                <w:sz w:val="18"/>
                <w:szCs w:val="18"/>
              </w:rPr>
              <w:t>Starring6</w:t>
            </w: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0"/>
              <w:jc w:val="left"/>
              <w:rPr>
                <w:rFonts w:ascii="宋体" w:hAnsi="宋体" w:cs="宋体" w:eastAsia="宋体" w:hint="default"/>
                <w:sz w:val="18"/>
                <w:szCs w:val="18"/>
              </w:rPr>
            </w:pPr>
            <w:r>
              <w:rPr>
                <w:rFonts w:ascii="宋体" w:hAnsi="宋体" w:cs="宋体" w:eastAsia="宋体" w:hint="default"/>
                <w:sz w:val="18"/>
                <w:szCs w:val="18"/>
              </w:rPr>
              <w:t>企业数据管理及应用软件包</w:t>
            </w:r>
            <w:r>
              <w:rPr>
                <w:rFonts w:ascii="宋体" w:hAnsi="宋体" w:cs="宋体" w:eastAsia="宋体" w:hint="default"/>
                <w:sz w:val="18"/>
                <w:szCs w:val="18"/>
              </w:rPr>
              <w:t>iMOIA </w:t>
            </w: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5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统一客户服务平台</w:t>
            </w:r>
            <w:r>
              <w:rPr>
                <w:rFonts w:ascii="宋体" w:hAnsi="宋体" w:cs="宋体" w:eastAsia="宋体" w:hint="default"/>
                <w:sz w:val="18"/>
                <w:szCs w:val="18"/>
              </w:rPr>
              <w:t>UCSP</w:t>
            </w: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大数据平台及应用</w:t>
            </w:r>
            <w:r>
              <w:rPr>
                <w:rFonts w:ascii="宋体" w:hAnsi="宋体" w:cs="宋体" w:eastAsia="宋体" w:hint="default"/>
                <w:sz w:val="18"/>
                <w:szCs w:val="18"/>
              </w:rPr>
              <w:t>BDPAS</w:t>
            </w: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5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创智平台研发项目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z w:val="18"/>
                <w:szCs w:val="18"/>
              </w:rPr>
              <w:t>运维服务体系建设项目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已完成，并已取得 软件著作权</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先进数通金融交易云平台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实施中</w:t>
            </w:r>
          </w:p>
        </w:tc>
      </w:tr>
      <w:tr>
        <w:trPr>
          <w:trHeight w:val="65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iMOIA</w:t>
            </w:r>
            <w:r>
              <w:rPr>
                <w:rFonts w:ascii="宋体" w:hAnsi="宋体" w:cs="宋体" w:eastAsia="宋体" w:hint="default"/>
                <w:sz w:val="18"/>
                <w:szCs w:val="18"/>
              </w:rPr>
              <w:t>新组件研发</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实施中</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金融大数据管理及服务平台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实施中</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智能网络管理及运维平台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0"/>
              <w:jc w:val="left"/>
              <w:rPr>
                <w:rFonts w:ascii="宋体" w:hAnsi="宋体" w:cs="宋体" w:eastAsia="宋体" w:hint="default"/>
                <w:sz w:val="18"/>
                <w:szCs w:val="18"/>
              </w:rPr>
            </w:pPr>
            <w:r>
              <w:rPr>
                <w:rFonts w:ascii="宋体" w:hAnsi="宋体" w:cs="宋体" w:eastAsia="宋体" w:hint="default"/>
                <w:sz w:val="18"/>
                <w:szCs w:val="18"/>
              </w:rPr>
              <w:t>通过立项评审</w:t>
            </w:r>
            <w:r>
              <w:rPr>
                <w:rFonts w:ascii="宋体" w:hAnsi="宋体" w:cs="宋体" w:eastAsia="宋体" w:hint="default"/>
                <w:sz w:val="18"/>
                <w:szCs w:val="18"/>
              </w:rPr>
              <w:t>,</w:t>
            </w:r>
            <w:r>
              <w:rPr>
                <w:rFonts w:ascii="宋体" w:hAnsi="宋体" w:cs="宋体" w:eastAsia="宋体" w:hint="default"/>
                <w:sz w:val="18"/>
                <w:szCs w:val="18"/>
              </w:rPr>
              <w:t>开展开发工作</w:t>
            </w:r>
            <w:r>
              <w:rPr>
                <w:rFonts w:ascii="宋体" w:hAnsi="宋体" w:cs="宋体" w:eastAsia="宋体" w:hint="default"/>
                <w:sz w:val="18"/>
                <w:szCs w:val="18"/>
              </w:rPr>
              <w:t>,</w:t>
            </w:r>
            <w:r>
              <w:rPr>
                <w:rFonts w:ascii="宋体" w:hAnsi="宋体" w:cs="宋体" w:eastAsia="宋体" w:hint="default"/>
                <w:sz w:val="18"/>
                <w:szCs w:val="18"/>
              </w:rPr>
              <w:t>逐步实现目标功 能及达到其他预期要求。</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实施中</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8、商誉" w:id="311"/>
      <w:bookmarkEnd w:id="311"/>
      <w:r>
        <w:rPr>
          <w:b w:val="0"/>
          <w:bCs w:val="0"/>
        </w:rPr>
      </w: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9、长期待摊费用" w:id="312"/>
      <w:bookmarkEnd w:id="312"/>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335,326.47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1,224,028.87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206,234.48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1,353,120.86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335,326.47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1,224,028.87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206,234.48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1,353,120.86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0、递延所得税资产/递延所得税负债" w:id="313"/>
      <w:bookmarkEnd w:id="3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未经抵销的递延所得税资产" w:id="314"/>
      <w:bookmarkEnd w:id="31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8" w:right="0"/>
              <w:jc w:val="left"/>
              <w:rPr>
                <w:rFonts w:ascii="Times New Roman" w:hAnsi="Times New Roman" w:cs="Times New Roman" w:eastAsia="Times New Roman" w:hint="default"/>
                <w:sz w:val="18"/>
                <w:szCs w:val="18"/>
              </w:rPr>
            </w:pPr>
            <w:r>
              <w:rPr>
                <w:rFonts w:ascii="Times New Roman"/>
                <w:sz w:val="18"/>
              </w:rPr>
              <w:t>12,187,445.40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1" w:right="0"/>
              <w:jc w:val="left"/>
              <w:rPr>
                <w:rFonts w:ascii="Times New Roman" w:hAnsi="Times New Roman" w:cs="Times New Roman" w:eastAsia="Times New Roman" w:hint="default"/>
                <w:sz w:val="18"/>
                <w:szCs w:val="18"/>
              </w:rPr>
            </w:pPr>
            <w:r>
              <w:rPr>
                <w:rFonts w:ascii="Times New Roman"/>
                <w:sz w:val="18"/>
              </w:rPr>
              <w:t>1,828,116.81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5" w:right="0"/>
              <w:jc w:val="left"/>
              <w:rPr>
                <w:rFonts w:ascii="Times New Roman" w:hAnsi="Times New Roman" w:cs="Times New Roman" w:eastAsia="Times New Roman" w:hint="default"/>
                <w:sz w:val="18"/>
                <w:szCs w:val="18"/>
              </w:rPr>
            </w:pPr>
            <w:r>
              <w:rPr>
                <w:rFonts w:ascii="Times New Roman"/>
                <w:sz w:val="18"/>
              </w:rPr>
              <w:t>12,048,974.13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1,807,346.12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暂估入账成本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679,245.27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101,886.79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679,245.27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101,886.79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40,500.00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7,247,031.53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1,087,054.73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5,893,025.80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883,953.87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20,113,722.20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3,017,058.33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18,891,245.20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2,833,686.78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未经抵销的递延所得税负债" w:id="315"/>
      <w:bookmarkEnd w:id="31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以抵销后净额列示的递延所得税资产或负债" w:id="316"/>
      <w:bookmarkEnd w:id="31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3,017,058.33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2,833,686.78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未确认递延所得税资产明细" w:id="317"/>
      <w:bookmarkEnd w:id="31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未确认递延所得税资产的可抵扣亏损将于以下年度到期" w:id="318"/>
      <w:bookmarkEnd w:id="31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1、其他非流动资产" w:id="319"/>
      <w:bookmarkEnd w:id="319"/>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未取得权证的房屋</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11,550,000.00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2、短期借款" w:id="320"/>
      <w:bookmarkEnd w:id="320"/>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短期借款分类" w:id="321"/>
      <w:bookmarkEnd w:id="32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546,346,771.11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556,346,771.11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230,000,000.00</w:t>
            </w:r>
          </w:p>
        </w:tc>
      </w:tr>
    </w:tbl>
    <w:p>
      <w:pPr>
        <w:pStyle w:val="BodyText"/>
        <w:spacing w:line="357" w:lineRule="auto" w:before="49"/>
        <w:ind w:right="1574"/>
        <w:jc w:val="left"/>
      </w:pPr>
      <w:r>
        <w:rPr/>
        <w:t>短期借款分类的说明： 注：保证借款系由股东林鸿、李铠、朱胡勇、罗云波、庄云江、杨格平、吴文胜为借款提供个人无限连带责任保证。</w:t>
      </w:r>
    </w:p>
    <w:p>
      <w:pPr>
        <w:spacing w:after="0" w:line="357"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已逾期未偿还的短期借款情况" w:id="322"/>
      <w:bookmarkEnd w:id="32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3、交易性金融负债" w:id="323"/>
      <w:bookmarkEnd w:id="323"/>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4、衍生金融负债" w:id="324"/>
      <w:bookmarkEnd w:id="324"/>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5、应付票据" w:id="325"/>
      <w:bookmarkEnd w:id="325"/>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38,238,731.80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40,843,514.06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30,258,550.25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15,014,243.63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68,497,282.05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55,857,757.69</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36、应付账款" w:id="326"/>
      <w:bookmarkEnd w:id="326"/>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211,990,003.84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109,036,163.61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17,190,205.86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29,336,835.20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229,180,209.70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138,372,998.81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5,646,696.74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3,396,226.42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1,141,107.69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10,184,030.85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7、预收款项" w:id="329"/>
      <w:bookmarkEnd w:id="329"/>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80,914,472.28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47,888,346.87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223,906.24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803,412.09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81,138,378.52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48,691,758.96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38、合同负债" w:id="333"/>
      <w:bookmarkEnd w:id="333"/>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9、应付职工薪酬" w:id="334"/>
      <w:bookmarkEnd w:id="334"/>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职工薪酬列示" w:id="335"/>
      <w:bookmarkEnd w:id="33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39"/>
        <w:gridCol w:w="1714"/>
        <w:gridCol w:w="1700"/>
        <w:gridCol w:w="1801"/>
        <w:gridCol w:w="1651"/>
      </w:tblGrid>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42,397,136.94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288,477,807.01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272,129,642.96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58,745,300.99</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1,099,004.36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23,249,642.62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23,211,065.13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1,137,581.85</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295,250.00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295,250.00</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43,496,141.30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312,022,699.63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295,635,958.09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59,882,882.84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短期薪酬列示" w:id="336"/>
      <w:bookmarkEnd w:id="33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39"/>
        <w:gridCol w:w="1738"/>
        <w:gridCol w:w="1714"/>
        <w:gridCol w:w="1762"/>
        <w:gridCol w:w="1651"/>
      </w:tblGrid>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40,937,509.86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257,628,822.63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241,619,908.77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56,946,423.72</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2,834,908.08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2,834,908.08</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609,224.08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13,375,369.10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13,211,710.91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772,882.27</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554,279.87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12,506,102.22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12,358,848.36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701,533.73</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9,824.42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264,974.44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261,331.51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13,467.35</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45,119.79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604,292.44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591,531.04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57,881.19</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850,403.00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14,638,707.20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14,463,115.20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1,025,995.00</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42,397,136.94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288,477,807.01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272,129,642.96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58,745,300.99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设定提存计划列示" w:id="337"/>
      <w:bookmarkEnd w:id="33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1,056,351.18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22,317,207.44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22,287,215.07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1,086,343.55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42,653.18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932,435.18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923,850.06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51,238.30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1,099,004.36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23,249,642.62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23,211,065.13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1,137,581.85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0、应交税费" w:id="338"/>
      <w:bookmarkEnd w:id="338"/>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181,182.93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6,948,217.12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6,277,563.96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2,610,272.11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777,052.22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536,935.38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486,375.21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5,435.49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208,446.52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3,623.66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138,964.34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4,473.40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7,262,014.46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10,929,210.68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10,287,463.26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15,300,058.19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10,287,463.26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15,300,058.19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付利息" w:id="340"/>
      <w:bookmarkEnd w:id="34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应付股利" w:id="341"/>
      <w:bookmarkEnd w:id="34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其他应付款" w:id="342"/>
      <w:bookmarkEnd w:id="34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按款项性质列示其他应付款" w:id="343"/>
      <w:bookmarkEnd w:id="343"/>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417,455.44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1,176,800.44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664,376.00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365,555.12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160,305.85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9,205,025.52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13,597,396.78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10,287,463.26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15,300,058.19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其他应付款" w:id="344"/>
      <w:bookmarkEnd w:id="344"/>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2、持有待售负债" w:id="345"/>
      <w:bookmarkEnd w:id="345"/>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43、一年内到期的非流动负债" w:id="346"/>
      <w:bookmarkEnd w:id="34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4、其他流动负债" w:id="347"/>
      <w:bookmarkEnd w:id="34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5、长期借款" w:id="348"/>
      <w:bookmarkEnd w:id="34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6、应付债券" w:id="349"/>
      <w:bookmarkEnd w:id="34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47、租赁负债" w:id="350"/>
      <w:bookmarkEnd w:id="350"/>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8、长期应付款" w:id="351"/>
      <w:bookmarkEnd w:id="351"/>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9、长期应付职工薪酬" w:id="352"/>
      <w:bookmarkEnd w:id="352"/>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0、预计负债" w:id="353"/>
      <w:bookmarkEnd w:id="35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1、递延收益" w:id="354"/>
      <w:bookmarkEnd w:id="35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8"/>
              <w:jc w:val="right"/>
              <w:rPr>
                <w:rFonts w:ascii="宋体" w:hAnsi="宋体" w:cs="宋体" w:eastAsia="宋体" w:hint="default"/>
                <w:sz w:val="18"/>
                <w:szCs w:val="18"/>
              </w:rPr>
            </w:pPr>
            <w:r>
              <w:rPr>
                <w:rFonts w:ascii="宋体" w:hAnsi="宋体" w:cs="宋体" w:eastAsia="宋体" w:hint="default"/>
                <w:sz w:val="18"/>
                <w:szCs w:val="18"/>
              </w:rPr>
              <w:t>收到财政拨款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839"/>
        <w:gridCol w:w="1251"/>
        <w:gridCol w:w="1010"/>
        <w:gridCol w:w="1008"/>
        <w:gridCol w:w="1011"/>
        <w:gridCol w:w="1159"/>
        <w:gridCol w:w="627"/>
        <w:gridCol w:w="653"/>
        <w:gridCol w:w="1010"/>
      </w:tblGrid>
      <w:tr>
        <w:trPr>
          <w:trHeight w:val="1025"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9" w:right="13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3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2" w:right="137"/>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9" w:right="12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5" w:right="11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电子信息产业发展基 金资助项目补贴款</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270,000.00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270,000.00</w:t>
            </w:r>
          </w:p>
        </w:tc>
        <w:tc>
          <w:tcPr>
            <w:tcW w:w="62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2、其他非流动负债" w:id="355"/>
      <w:bookmarkEnd w:id="35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53、股本" w:id="356"/>
      <w:bookmarkEnd w:id="356"/>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457"/>
        <w:gridCol w:w="1013"/>
        <w:gridCol w:w="900"/>
        <w:gridCol w:w="1196"/>
        <w:gridCol w:w="1195"/>
        <w:gridCol w:w="1198"/>
        <w:gridCol w:w="1435"/>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181,166,996.00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-70,274.00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-70,274.00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181,096,722.00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4、其他权益工具" w:id="357"/>
      <w:bookmarkEnd w:id="35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307,158,987.00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5,195,484.00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312,354,471.00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5,893,025.83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6,549,489.73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5,651,140.00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6,791,375.56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6,549,489.73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455,656.00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319,145,846.56</w:t>
            </w:r>
          </w:p>
        </w:tc>
      </w:tr>
    </w:tbl>
    <w:p>
      <w:pPr>
        <w:spacing w:line="362" w:lineRule="auto" w:before="49"/>
        <w:ind w:left="432" w:right="1133" w:hanging="320"/>
        <w:jc w:val="left"/>
        <w:rPr>
          <w:rFonts w:ascii="宋体" w:hAnsi="宋体" w:cs="宋体" w:eastAsia="宋体" w:hint="default"/>
          <w:sz w:val="16"/>
          <w:szCs w:val="16"/>
        </w:rPr>
      </w:pPr>
      <w:r>
        <w:rPr>
          <w:rFonts w:ascii="宋体" w:hAnsi="宋体" w:cs="宋体" w:eastAsia="宋体" w:hint="default"/>
          <w:sz w:val="18"/>
          <w:szCs w:val="18"/>
        </w:rPr>
        <w:t>其他说明，包括本期增减变动情况、变动原因说明： </w:t>
      </w:r>
      <w:r>
        <w:rPr>
          <w:rFonts w:ascii="宋体" w:hAnsi="宋体" w:cs="宋体" w:eastAsia="宋体" w:hint="default"/>
          <w:spacing w:val="-1"/>
          <w:sz w:val="16"/>
          <w:szCs w:val="16"/>
        </w:rPr>
        <w:t>注</w:t>
      </w:r>
      <w:r>
        <w:rPr>
          <w:rFonts w:ascii="宋体" w:hAnsi="宋体" w:cs="宋体" w:eastAsia="宋体" w:hint="default"/>
          <w:spacing w:val="-1"/>
          <w:sz w:val="16"/>
          <w:szCs w:val="16"/>
        </w:rPr>
        <w:t>1</w:t>
      </w:r>
      <w:r>
        <w:rPr>
          <w:rFonts w:ascii="宋体" w:hAnsi="宋体" w:cs="宋体" w:eastAsia="宋体" w:hint="default"/>
          <w:spacing w:val="-1"/>
          <w:sz w:val="16"/>
          <w:szCs w:val="16"/>
        </w:rPr>
        <w:t>：资本溢价（股本溢价）本期增加</w:t>
      </w:r>
      <w:r>
        <w:rPr>
          <w:rFonts w:ascii="宋体" w:hAnsi="宋体" w:cs="宋体" w:eastAsia="宋体" w:hint="default"/>
          <w:spacing w:val="-1"/>
          <w:sz w:val="16"/>
          <w:szCs w:val="16"/>
        </w:rPr>
        <w:t>5,195,484.00</w:t>
      </w:r>
      <w:r>
        <w:rPr>
          <w:rFonts w:ascii="宋体" w:hAnsi="宋体" w:cs="宋体" w:eastAsia="宋体" w:hint="default"/>
          <w:spacing w:val="-1"/>
          <w:sz w:val="16"/>
          <w:szCs w:val="16"/>
        </w:rPr>
        <w:t>元，系限制性股票激励计划首次授予股票第一个解除限售期增加股本溢价所致。</w:t>
      </w:r>
      <w:r>
        <w:rPr>
          <w:rFonts w:ascii="宋体" w:hAnsi="宋体" w:cs="宋体" w:eastAsia="宋体" w:hint="default"/>
          <w:w w:val="100"/>
          <w:sz w:val="16"/>
          <w:szCs w:val="16"/>
        </w:rPr>
        <w:t> </w:t>
      </w:r>
      <w:r>
        <w:rPr>
          <w:rFonts w:ascii="宋体" w:hAnsi="宋体" w:cs="宋体" w:eastAsia="宋体" w:hint="default"/>
          <w:sz w:val="16"/>
          <w:szCs w:val="16"/>
        </w:rPr>
        <w:t>注</w:t>
      </w:r>
      <w:r>
        <w:rPr>
          <w:rFonts w:ascii="宋体" w:hAnsi="宋体" w:cs="宋体" w:eastAsia="宋体" w:hint="default"/>
          <w:sz w:val="16"/>
          <w:szCs w:val="16"/>
        </w:rPr>
        <w:t>2:</w:t>
      </w:r>
      <w:r>
        <w:rPr>
          <w:rFonts w:ascii="宋体" w:hAnsi="宋体" w:cs="宋体" w:eastAsia="宋体" w:hint="default"/>
          <w:spacing w:val="-1"/>
          <w:sz w:val="16"/>
          <w:szCs w:val="16"/>
        </w:rPr>
        <w:t> </w:t>
      </w:r>
      <w:r>
        <w:rPr>
          <w:rFonts w:ascii="宋体" w:hAnsi="宋体" w:cs="宋体" w:eastAsia="宋体" w:hint="default"/>
          <w:sz w:val="16"/>
          <w:szCs w:val="16"/>
        </w:rPr>
        <w:t>资本溢价（股本溢价）本期减少</w:t>
      </w:r>
      <w:r>
        <w:rPr>
          <w:rFonts w:ascii="宋体" w:hAnsi="宋体" w:cs="宋体" w:eastAsia="宋体" w:hint="default"/>
          <w:sz w:val="16"/>
          <w:szCs w:val="16"/>
        </w:rPr>
        <w:t>455,656.00</w:t>
      </w:r>
      <w:r>
        <w:rPr>
          <w:rFonts w:ascii="宋体" w:hAnsi="宋体" w:cs="宋体" w:eastAsia="宋体" w:hint="default"/>
          <w:sz w:val="16"/>
          <w:szCs w:val="16"/>
        </w:rPr>
        <w:t>元系回购注销部分限制性股票所致。</w:t>
      </w:r>
      <w:r>
        <w:rPr>
          <w:rFonts w:ascii="宋体" w:hAnsi="宋体" w:cs="宋体" w:eastAsia="宋体" w:hint="default"/>
          <w:w w:val="100"/>
          <w:sz w:val="16"/>
          <w:szCs w:val="16"/>
        </w:rPr>
        <w:t> </w:t>
      </w:r>
      <w:r>
        <w:rPr>
          <w:rFonts w:ascii="宋体" w:hAnsi="宋体" w:cs="宋体" w:eastAsia="宋体" w:hint="default"/>
          <w:sz w:val="16"/>
          <w:szCs w:val="16"/>
        </w:rPr>
        <w:t>注</w:t>
      </w:r>
      <w:r>
        <w:rPr>
          <w:rFonts w:ascii="宋体" w:hAnsi="宋体" w:cs="宋体" w:eastAsia="宋体" w:hint="default"/>
          <w:sz w:val="16"/>
          <w:szCs w:val="16"/>
        </w:rPr>
        <w:t>3</w:t>
      </w:r>
      <w:r>
        <w:rPr>
          <w:rFonts w:ascii="宋体" w:hAnsi="宋体" w:cs="宋体" w:eastAsia="宋体" w:hint="default"/>
          <w:sz w:val="16"/>
          <w:szCs w:val="16"/>
        </w:rPr>
        <w:t>：其他资本公积本报告期增加</w:t>
      </w:r>
      <w:r>
        <w:rPr>
          <w:rFonts w:ascii="宋体" w:hAnsi="宋体" w:cs="宋体" w:eastAsia="宋体" w:hint="default"/>
          <w:sz w:val="16"/>
          <w:szCs w:val="16"/>
        </w:rPr>
        <w:t>6,549,489.73</w:t>
      </w:r>
      <w:r>
        <w:rPr>
          <w:rFonts w:ascii="宋体" w:hAnsi="宋体" w:cs="宋体" w:eastAsia="宋体" w:hint="default"/>
          <w:sz w:val="16"/>
          <w:szCs w:val="16"/>
        </w:rPr>
        <w:t>元，系公司实施限制性股票激励计提的费用所致。</w:t>
      </w:r>
      <w:r>
        <w:rPr>
          <w:rFonts w:ascii="宋体" w:hAnsi="宋体" w:cs="宋体" w:eastAsia="宋体" w:hint="default"/>
          <w:w w:val="100"/>
          <w:sz w:val="16"/>
          <w:szCs w:val="16"/>
        </w:rPr>
        <w:t> </w:t>
      </w:r>
      <w:r>
        <w:rPr>
          <w:rFonts w:ascii="宋体" w:hAnsi="宋体" w:cs="宋体" w:eastAsia="宋体" w:hint="default"/>
          <w:spacing w:val="-1"/>
          <w:sz w:val="16"/>
          <w:szCs w:val="16"/>
        </w:rPr>
        <w:t>注</w:t>
      </w:r>
      <w:r>
        <w:rPr>
          <w:rFonts w:ascii="宋体" w:hAnsi="宋体" w:cs="宋体" w:eastAsia="宋体" w:hint="default"/>
          <w:spacing w:val="-1"/>
          <w:sz w:val="16"/>
          <w:szCs w:val="16"/>
        </w:rPr>
        <w:t>4</w:t>
      </w:r>
      <w:r>
        <w:rPr>
          <w:rFonts w:ascii="宋体" w:hAnsi="宋体" w:cs="宋体" w:eastAsia="宋体" w:hint="default"/>
          <w:spacing w:val="-1"/>
          <w:sz w:val="16"/>
          <w:szCs w:val="16"/>
        </w:rPr>
        <w:t>：其他资本公积本报告期减少</w:t>
      </w:r>
      <w:r>
        <w:rPr>
          <w:rFonts w:ascii="宋体" w:hAnsi="宋体" w:cs="宋体" w:eastAsia="宋体" w:hint="default"/>
          <w:spacing w:val="-1"/>
          <w:sz w:val="16"/>
          <w:szCs w:val="16"/>
        </w:rPr>
        <w:t>5,195,484.00</w:t>
      </w:r>
      <w:r>
        <w:rPr>
          <w:rFonts w:ascii="宋体" w:hAnsi="宋体" w:cs="宋体" w:eastAsia="宋体" w:hint="default"/>
          <w:spacing w:val="-1"/>
          <w:sz w:val="16"/>
          <w:szCs w:val="16"/>
        </w:rPr>
        <w:t>元，系限制性股票激励计划首次授予股票第一个解除限售期减少其他资本公积所致。</w:t>
      </w:r>
    </w:p>
    <w:p>
      <w:pPr>
        <w:spacing w:after="0" w:line="362" w:lineRule="auto"/>
        <w:jc w:val="left"/>
        <w:rPr>
          <w:rFonts w:ascii="宋体" w:hAnsi="宋体" w:cs="宋体" w:eastAsia="宋体" w:hint="default"/>
          <w:sz w:val="16"/>
          <w:szCs w:val="16"/>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left="192" w:right="0"/>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4,392,371.26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9,205,025.52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4,392,371.26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9,205,025.52</w:t>
            </w:r>
          </w:p>
        </w:tc>
      </w:tr>
    </w:tbl>
    <w:p>
      <w:pPr>
        <w:pStyle w:val="BodyText"/>
        <w:spacing w:line="240" w:lineRule="auto" w:before="49"/>
        <w:ind w:left="192" w:right="0"/>
        <w:jc w:val="left"/>
      </w:pPr>
      <w:r>
        <w:rPr/>
        <w:t>其他说明，包括本期增减变动情况、变动原因说明：</w:t>
      </w:r>
    </w:p>
    <w:p>
      <w:pPr>
        <w:spacing w:line="338" w:lineRule="auto" w:before="133"/>
        <w:ind w:left="192" w:right="0" w:firstLine="319"/>
        <w:jc w:val="left"/>
        <w:rPr>
          <w:rFonts w:ascii="宋体" w:hAnsi="宋体" w:cs="宋体" w:eastAsia="宋体" w:hint="default"/>
          <w:sz w:val="16"/>
          <w:szCs w:val="16"/>
        </w:rPr>
      </w:pPr>
      <w:r>
        <w:rPr>
          <w:rFonts w:ascii="宋体" w:hAnsi="宋体" w:cs="宋体" w:eastAsia="宋体" w:hint="default"/>
          <w:sz w:val="16"/>
          <w:szCs w:val="16"/>
        </w:rPr>
        <w:t>注：库存股本期减少</w:t>
      </w:r>
      <w:r>
        <w:rPr>
          <w:rFonts w:ascii="Times New Roman" w:hAnsi="Times New Roman" w:cs="Times New Roman" w:eastAsia="Times New Roman" w:hint="default"/>
          <w:sz w:val="16"/>
          <w:szCs w:val="16"/>
        </w:rPr>
        <w:t>4,392,371.26</w:t>
      </w:r>
      <w:r>
        <w:rPr>
          <w:rFonts w:ascii="宋体" w:hAnsi="宋体" w:cs="宋体" w:eastAsia="宋体" w:hint="default"/>
          <w:sz w:val="16"/>
          <w:szCs w:val="16"/>
        </w:rPr>
        <w:t>元，主要系</w:t>
      </w:r>
      <w:r>
        <w:rPr>
          <w:rFonts w:ascii="宋体" w:hAnsi="宋体" w:cs="宋体" w:eastAsia="宋体" w:hint="default"/>
          <w:sz w:val="16"/>
          <w:szCs w:val="16"/>
        </w:rPr>
        <w:t>a.</w:t>
      </w:r>
      <w:r>
        <w:rPr>
          <w:rFonts w:ascii="宋体" w:hAnsi="宋体" w:cs="宋体" w:eastAsia="宋体" w:hint="default"/>
          <w:spacing w:val="6"/>
          <w:sz w:val="16"/>
          <w:szCs w:val="16"/>
        </w:rPr>
        <w:t> </w:t>
      </w:r>
      <w:r>
        <w:rPr>
          <w:rFonts w:ascii="宋体" w:hAnsi="宋体" w:cs="宋体" w:eastAsia="宋体" w:hint="default"/>
          <w:sz w:val="16"/>
          <w:szCs w:val="16"/>
        </w:rPr>
        <w:t>限制性股票符合解锁条件同时冲减其他应付款及库存股</w:t>
      </w:r>
      <w:r>
        <w:rPr>
          <w:rFonts w:ascii="Times New Roman" w:hAnsi="Times New Roman" w:cs="Times New Roman" w:eastAsia="Times New Roman" w:hint="default"/>
          <w:sz w:val="16"/>
          <w:szCs w:val="16"/>
        </w:rPr>
        <w:t>3,748,721.55</w:t>
      </w:r>
      <w:r>
        <w:rPr>
          <w:rFonts w:ascii="宋体" w:hAnsi="宋体" w:cs="宋体" w:eastAsia="宋体" w:hint="default"/>
          <w:sz w:val="16"/>
          <w:szCs w:val="16"/>
        </w:rPr>
        <w:t>；</w:t>
      </w:r>
      <w:r>
        <w:rPr>
          <w:rFonts w:ascii="宋体" w:hAnsi="宋体" w:cs="宋体" w:eastAsia="宋体" w:hint="default"/>
          <w:sz w:val="16"/>
          <w:szCs w:val="16"/>
        </w:rPr>
        <w:t>b.</w:t>
      </w:r>
      <w:r>
        <w:rPr>
          <w:rFonts w:ascii="宋体" w:hAnsi="宋体" w:cs="宋体" w:eastAsia="宋体" w:hint="default"/>
          <w:sz w:val="16"/>
          <w:szCs w:val="16"/>
        </w:rPr>
        <w:t>本报告期限制</w:t>
      </w:r>
      <w:r>
        <w:rPr>
          <w:rFonts w:ascii="宋体" w:hAnsi="宋体" w:cs="宋体" w:eastAsia="宋体" w:hint="default"/>
          <w:w w:val="100"/>
          <w:sz w:val="16"/>
          <w:szCs w:val="16"/>
        </w:rPr>
        <w:t> </w:t>
      </w:r>
      <w:r>
        <w:rPr>
          <w:rFonts w:ascii="宋体" w:hAnsi="宋体" w:cs="宋体" w:eastAsia="宋体" w:hint="default"/>
          <w:sz w:val="16"/>
          <w:szCs w:val="16"/>
        </w:rPr>
        <w:t>性股票股利分红冲减回购义务</w:t>
      </w:r>
      <w:r>
        <w:rPr>
          <w:rFonts w:ascii="Times New Roman" w:hAnsi="Times New Roman" w:cs="Times New Roman" w:eastAsia="Times New Roman" w:hint="default"/>
          <w:sz w:val="16"/>
          <w:szCs w:val="16"/>
        </w:rPr>
        <w:t>106,254.44</w:t>
      </w:r>
      <w:r>
        <w:rPr>
          <w:rFonts w:ascii="宋体" w:hAnsi="宋体" w:cs="宋体" w:eastAsia="宋体" w:hint="default"/>
          <w:sz w:val="16"/>
          <w:szCs w:val="16"/>
        </w:rPr>
        <w:t>元；</w:t>
      </w:r>
      <w:r>
        <w:rPr>
          <w:rFonts w:ascii="宋体" w:hAnsi="宋体" w:cs="宋体" w:eastAsia="宋体" w:hint="default"/>
          <w:sz w:val="16"/>
          <w:szCs w:val="16"/>
        </w:rPr>
        <w:t>c.</w:t>
      </w:r>
      <w:r>
        <w:rPr>
          <w:rFonts w:ascii="宋体" w:hAnsi="宋体" w:cs="宋体" w:eastAsia="宋体" w:hint="default"/>
          <w:sz w:val="16"/>
          <w:szCs w:val="16"/>
        </w:rPr>
        <w:t>回购注销已授予但尚未解除限售的限制性股票</w:t>
      </w:r>
      <w:r>
        <w:rPr>
          <w:rFonts w:ascii="Times New Roman" w:hAnsi="Times New Roman" w:cs="Times New Roman" w:eastAsia="Times New Roman" w:hint="default"/>
          <w:sz w:val="16"/>
          <w:szCs w:val="16"/>
        </w:rPr>
        <w:t>537,395.27</w:t>
      </w:r>
      <w:r>
        <w:rPr>
          <w:rFonts w:ascii="宋体" w:hAnsi="宋体" w:cs="宋体" w:eastAsia="宋体" w:hint="default"/>
          <w:sz w:val="16"/>
          <w:szCs w:val="16"/>
        </w:rPr>
        <w:t>元。</w:t>
      </w:r>
    </w:p>
    <w:p>
      <w:pPr>
        <w:spacing w:line="240" w:lineRule="auto" w:before="4"/>
        <w:rPr>
          <w:rFonts w:ascii="宋体" w:hAnsi="宋体" w:cs="宋体" w:eastAsia="宋体" w:hint="default"/>
          <w:sz w:val="21"/>
          <w:szCs w:val="21"/>
        </w:rPr>
      </w:pPr>
    </w:p>
    <w:p>
      <w:pPr>
        <w:pStyle w:val="Heading4"/>
        <w:spacing w:line="240" w:lineRule="auto"/>
        <w:ind w:left="192"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65"/>
        <w:gridCol w:w="1263"/>
        <w:gridCol w:w="1162"/>
        <w:gridCol w:w="1052"/>
        <w:gridCol w:w="938"/>
        <w:gridCol w:w="672"/>
        <w:gridCol w:w="1273"/>
        <w:gridCol w:w="852"/>
        <w:gridCol w:w="725"/>
      </w:tblGrid>
      <w:tr>
        <w:trPr>
          <w:trHeight w:val="714" w:hRule="exact"/>
        </w:trPr>
        <w:tc>
          <w:tcPr>
            <w:tcW w:w="18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4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7"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649" w:hRule="exact"/>
        </w:trPr>
        <w:tc>
          <w:tcPr>
            <w:tcW w:w="1865" w:type="dxa"/>
            <w:vMerge/>
            <w:tcBorders>
              <w:left w:val="single" w:sz="4" w:space="0" w:color="000000"/>
              <w:bottom w:val="single" w:sz="4" w:space="0" w:color="000000"/>
              <w:right w:val="single" w:sz="4" w:space="0" w:color="000000"/>
            </w:tcBorders>
            <w:shd w:val="clear" w:color="auto" w:fill="D2D2D2"/>
          </w:tcPr>
          <w:p>
            <w:pPr/>
          </w:p>
        </w:tc>
        <w:tc>
          <w:tcPr>
            <w:tcW w:w="1263"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8" w:right="122"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pacing w:val="-14"/>
                <w:sz w:val="18"/>
                <w:szCs w:val="18"/>
              </w:rPr>
              <w:t>减：前期计</w:t>
            </w:r>
            <w:r>
              <w:rPr>
                <w:rFonts w:ascii="宋体" w:hAnsi="宋体" w:cs="宋体" w:eastAsia="宋体" w:hint="default"/>
                <w:sz w:val="18"/>
                <w:szCs w:val="18"/>
              </w:rPr>
              <w:t> 入其他综 合收益当 期转入损 益</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3"/>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1" w:right="101" w:hanging="48"/>
              <w:jc w:val="both"/>
              <w:rPr>
                <w:rFonts w:ascii="宋体" w:hAnsi="宋体" w:cs="宋体" w:eastAsia="宋体" w:hint="default"/>
                <w:sz w:val="18"/>
                <w:szCs w:val="18"/>
              </w:rPr>
            </w:pPr>
            <w:r>
              <w:rPr>
                <w:rFonts w:ascii="宋体" w:hAnsi="宋体" w:cs="宋体" w:eastAsia="宋体" w:hint="default"/>
                <w:spacing w:val="-29"/>
                <w:sz w:val="18"/>
                <w:szCs w:val="18"/>
              </w:rPr>
              <w:t>减：所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 费用</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17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1" w:right="14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5" w:right="129"/>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9,446,642.95</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9,446,642.95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29"/>
              <w:jc w:val="left"/>
              <w:rPr>
                <w:rFonts w:ascii="宋体" w:hAnsi="宋体" w:cs="宋体" w:eastAsia="宋体" w:hint="default"/>
                <w:sz w:val="18"/>
                <w:szCs w:val="18"/>
              </w:rPr>
            </w:pPr>
            <w:r>
              <w:rPr>
                <w:rFonts w:ascii="宋体" w:hAnsi="宋体" w:cs="宋体" w:eastAsia="宋体" w:hint="default"/>
                <w:sz w:val="18"/>
                <w:szCs w:val="18"/>
              </w:rPr>
              <w:t>其中：权益法下可转 损益的其他综合收益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9,446,642.95</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9,446,642.95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9,446,642.95</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9,446,642.95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92"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left="192"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92"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6,485,526.99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42,987,855.92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6,485,526.99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42,987,855.92</w:t>
            </w:r>
          </w:p>
        </w:tc>
      </w:tr>
    </w:tbl>
    <w:p>
      <w:pPr>
        <w:pStyle w:val="BodyText"/>
        <w:spacing w:line="240" w:lineRule="auto" w:before="49"/>
        <w:ind w:left="192"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left="192"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06" w:footer="1021" w:top="1100" w:bottom="1220" w:left="94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268,108,998.88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234,278,293.12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268,108,998.88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234,278,293.12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70,869,157.96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51,188,116.34</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6,485,526.99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5,357,418.64</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11,998,582.88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11,999,991.94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其他向投资者分配的利润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-9,308.96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320,503,355.93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268,108,998.88</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1,792,508,599.81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1,526,848,889.86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1,390,348,474.90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1,169,716,001.27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1,792,508,599.81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1,526,848,889.86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1,390,348,474.90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1,169,716,001.27</w:t>
            </w:r>
          </w:p>
        </w:tc>
      </w:tr>
    </w:tbl>
    <w:p>
      <w:pPr>
        <w:pStyle w:val="BodyText"/>
        <w:spacing w:line="240" w:lineRule="auto" w:before="49"/>
        <w:ind w:right="1133"/>
        <w:jc w:val="left"/>
      </w:pPr>
      <w:r>
        <w:rPr/>
        <w:t>是否已执行新收入准则</w:t>
      </w:r>
    </w:p>
    <w:p>
      <w:pPr>
        <w:pStyle w:val="BodyText"/>
        <w:spacing w:line="360" w:lineRule="auto" w:before="115"/>
        <w:ind w:right="9134"/>
        <w:jc w:val="left"/>
      </w:pPr>
      <w:r>
        <w:rPr/>
        <w:t>□ 是 √</w:t>
      </w:r>
      <w:r>
        <w:rPr>
          <w:spacing w:val="3"/>
        </w:rPr>
        <w:t> </w:t>
      </w:r>
      <w:r>
        <w:rPr/>
        <w:t>否</w:t>
      </w:r>
      <w:r>
        <w:rPr/>
        <w:t>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62、税金及附加" w:id="365"/>
      <w:bookmarkEnd w:id="365"/>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1,713,913.84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905,589.78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734,534.51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388,109.92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920,323.42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2,156.83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3,166.67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1,425,077.85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970,850.80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489,689.69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258,739.93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5,290,046.14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2,526,457.10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29,478,354.21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21,680,030.09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3,575,705.06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3,320,346.51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销售部门办公费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11,285,899.33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11,901,158.27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6,897,231.73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6,776,519.49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51,237,190.33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43,678,054.36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31,825,053.70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28,703,725.59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5,349,064.88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4,352,463.59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7,784,194.93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7,273,864.00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3,676,827.30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3,836,000.26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2,982,546.48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2,380,821.69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6,549,489.73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5,893,025.83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6,677.66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58,439,547.02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52,446,578.62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5、研发费用" w:id="368"/>
      <w:bookmarkEnd w:id="368"/>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研发人员工资及社保公积金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49,560,835.33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37,337,009.66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3,159,571.30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857,877.39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委托外部研发费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1,143,396.23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1,089,360.79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857,505.51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2,692,111.42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2,787,300.70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56,501,878.84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42,983,089.49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6、财务费用" w:id="369"/>
      <w:bookmarkEnd w:id="369"/>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19,150,887.35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16,838,323.54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1,168,918.31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2,308,538.24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108,383.19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168,550.02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229,941.87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18,150,374.39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14,651,343.98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7、其他收益" w:id="370"/>
      <w:bookmarkEnd w:id="370"/>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1,222,349.89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1,078,024.37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451,414.35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393,649.74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1,687,764.24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1,471,674.11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-2,227,377.09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9、净敞口套期收益" w:id="372"/>
      <w:bookmarkEnd w:id="372"/>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70、公允价值变动收益" w:id="373"/>
      <w:bookmarkEnd w:id="373"/>
      <w:r>
        <w:rPr>
          <w:b w:val="0"/>
          <w:bCs w:val="0"/>
        </w:rPr>
      </w:r>
      <w:r>
        <w:rPr>
          <w:rFonts w:ascii="Times New Roman" w:hAnsi="Times New Roman" w:cs="Times New Roman" w:eastAsia="Times New Roman" w:hint="default"/>
        </w:rPr>
        <w:t>70</w:t>
      </w:r>
      <w:r>
        <w:rPr/>
        <w:t>、公允价值变动收益</w:t>
      </w:r>
      <w:r>
        <w:rPr>
          <w:b w:val="0"/>
          <w:bCs w:val="0"/>
        </w:rPr>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1133"/>
        <w:jc w:val="left"/>
        <w:rPr>
          <w:b w:val="0"/>
          <w:bCs w:val="0"/>
        </w:rPr>
      </w:pPr>
      <w:bookmarkStart w:name="71、信用减值损失" w:id="374"/>
      <w:bookmarkEnd w:id="374"/>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-46,249.02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-895,465.17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-941,714.19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2、资产减值损失" w:id="375"/>
      <w:bookmarkEnd w:id="375"/>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-2,614,080.70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-2,614,080.70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3、资产处置收益" w:id="376"/>
      <w:bookmarkEnd w:id="376"/>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-357.32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4、营业外收入" w:id="377"/>
      <w:bookmarkEnd w:id="377"/>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326,300.00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68,118.77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57,030.25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68,118.77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93,118.77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383,330.25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w w:val="95"/>
                <w:sz w:val="18"/>
              </w:rPr>
              <w:t>93,118.77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52"/>
        <w:gridCol w:w="1063"/>
        <w:gridCol w:w="725"/>
        <w:gridCol w:w="1248"/>
        <w:gridCol w:w="1064"/>
        <w:gridCol w:w="876"/>
        <w:gridCol w:w="1063"/>
        <w:gridCol w:w="1102"/>
        <w:gridCol w:w="1063"/>
      </w:tblGrid>
      <w:tr>
        <w:trPr>
          <w:trHeight w:val="1025" w:hRule="exact"/>
        </w:trPr>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9" w:right="173"/>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7" w:right="183" w:hanging="181"/>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41" w:right="139"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1"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6"/>
              <w:jc w:val="both"/>
              <w:rPr>
                <w:rFonts w:ascii="宋体" w:hAnsi="宋体" w:cs="宋体" w:eastAsia="宋体" w:hint="default"/>
                <w:sz w:val="18"/>
                <w:szCs w:val="18"/>
              </w:rPr>
            </w:pPr>
            <w:r>
              <w:rPr>
                <w:rFonts w:ascii="宋体" w:hAnsi="宋体" w:cs="宋体" w:eastAsia="宋体" w:hint="default"/>
                <w:sz w:val="18"/>
                <w:szCs w:val="18"/>
              </w:rPr>
              <w:t>北京海淀残疾 人管理所岗位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5" w:right="227"/>
              <w:jc w:val="both"/>
              <w:rPr>
                <w:rFonts w:ascii="宋体" w:hAnsi="宋体" w:cs="宋体" w:eastAsia="宋体" w:hint="default"/>
                <w:sz w:val="18"/>
                <w:szCs w:val="18"/>
              </w:rPr>
            </w:pPr>
            <w:r>
              <w:rPr>
                <w:rFonts w:ascii="宋体" w:hAnsi="宋体" w:cs="宋体" w:eastAsia="宋体" w:hint="default"/>
                <w:sz w:val="18"/>
                <w:szCs w:val="18"/>
              </w:rPr>
              <w:t>北京海淀 残疾人管 理所</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6"/>
              <w:jc w:val="both"/>
              <w:rPr>
                <w:rFonts w:ascii="宋体" w:hAnsi="宋体" w:cs="宋体" w:eastAsia="宋体" w:hint="default"/>
                <w:sz w:val="18"/>
                <w:szCs w:val="18"/>
              </w:rPr>
            </w:pPr>
            <w:r>
              <w:rPr>
                <w:rFonts w:ascii="宋体" w:hAnsi="宋体" w:cs="宋体" w:eastAsia="宋体" w:hint="default"/>
                <w:sz w:val="18"/>
                <w:szCs w:val="18"/>
              </w:rPr>
              <w:t>收到中关村科 技园区管理委 员会上市支持 资金补助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227"/>
              <w:jc w:val="both"/>
              <w:rPr>
                <w:rFonts w:ascii="宋体" w:hAnsi="宋体" w:cs="宋体" w:eastAsia="宋体" w:hint="default"/>
                <w:sz w:val="18"/>
                <w:szCs w:val="18"/>
              </w:rPr>
            </w:pPr>
            <w:r>
              <w:rPr>
                <w:rFonts w:ascii="宋体" w:hAnsi="宋体" w:cs="宋体" w:eastAsia="宋体" w:hint="default"/>
                <w:sz w:val="18"/>
                <w:szCs w:val="18"/>
              </w:rPr>
              <w:t>北京市中 关村科技 园区管理 委员会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233"/>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326,300.00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326,300.00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5、营业外支出" w:id="378"/>
      <w:bookmarkEnd w:id="378"/>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2,750.29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358,605.22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2,750.29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20,384.13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20,384.13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33,170.77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348.49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23,482.91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391,775.99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23,482.91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6、所得税费用" w:id="379"/>
      <w:bookmarkEnd w:id="379"/>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所得税费用表" w:id="380"/>
      <w:bookmarkEnd w:id="3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11,858,835.05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7,423,105.33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-183,371.55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2,357,141.67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115,628.55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11,791,092.05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9,780,247.00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会计利润与所得税费用调整过程" w:id="381"/>
      <w:bookmarkEnd w:id="3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82,660,250.01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12,399,037.50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-902,083.21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-1,878,506.46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1,355,025.19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701,990.48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115,628.55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11,791,092.05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12" w:right="8857" w:firstLine="0"/>
        <w:jc w:val="left"/>
        <w:rPr>
          <w:rFonts w:ascii="宋体" w:hAnsi="宋体" w:cs="宋体" w:eastAsia="宋体" w:hint="default"/>
          <w:sz w:val="21"/>
          <w:szCs w:val="21"/>
        </w:rPr>
      </w:pPr>
      <w:bookmarkStart w:name="77、其他综合收益" w:id="382"/>
      <w:bookmarkEnd w:id="382"/>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8、现金流量表项目" w:id="383"/>
      <w:bookmarkEnd w:id="383"/>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1133"/>
        <w:jc w:val="left"/>
        <w:rPr>
          <w:b w:val="0"/>
          <w:bCs w:val="0"/>
        </w:rPr>
      </w:pPr>
      <w:bookmarkStart w:name="（1）收到的其他与经营活动有关的现金" w:id="384"/>
      <w:bookmarkEnd w:id="3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1,168,918.31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2,308,538.24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38,118,181.05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22,558,577.49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各项补助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1,350,736.04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714,600.05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40,637,835.40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25,581,715.78</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支付的其他与经营活动有关的现金" w:id="385"/>
      <w:bookmarkEnd w:id="3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6,897,231.73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6,776,519.49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4,375,333.89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3,829,344.84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46,016,390.51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22,313,582.60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25,639,741.59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24,025,148.71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房租等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7,784,194.93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7,273,864.00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2,670,565.42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1,404,714.79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93,383,458.07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65,623,174.43</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收到的其他与投资活动有关的现金" w:id="386"/>
      <w:bookmarkEnd w:id="3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支付的其他与投资活动有关的现金" w:id="387"/>
      <w:bookmarkEnd w:id="38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5）收到的其他与筹资活动有关的现金" w:id="388"/>
      <w:bookmarkEnd w:id="38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支付的其他与筹资活动有关的现金" w:id="389"/>
      <w:bookmarkEnd w:id="38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516,513.90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516,513.90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9、现金流量表补充资料" w:id="390"/>
      <w:bookmarkEnd w:id="390"/>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现金流量表补充资料" w:id="391"/>
      <w:bookmarkEnd w:id="3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653"/>
        <w:gridCol w:w="1939"/>
        <w:gridCol w:w="1937"/>
      </w:tblGrid>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6"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70,869,157.96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51,188,116.34</w:t>
            </w:r>
          </w:p>
        </w:tc>
      </w:tr>
      <w:tr>
        <w:trPr>
          <w:trHeight w:val="401"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941,714.19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2,614,080.70</w:t>
            </w:r>
          </w:p>
        </w:tc>
      </w:tr>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4,888,401.98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3,629,081.11</w:t>
            </w:r>
          </w:p>
        </w:tc>
      </w:tr>
      <w:tr>
        <w:trPr>
          <w:trHeight w:val="401"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2,175,543.78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1,424,796.54</w:t>
            </w:r>
          </w:p>
        </w:tc>
      </w:tr>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206,234.48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83,831.60</w:t>
            </w:r>
          </w:p>
        </w:tc>
      </w:tr>
      <w:tr>
        <w:trPr>
          <w:trHeight w:val="71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80"/>
                <w:sz w:val="18"/>
                <w:szCs w:val="18"/>
              </w:rPr>
              <w:t>、</w:t>
            </w:r>
            <w:r>
              <w:rPr>
                <w:rFonts w:ascii="宋体" w:hAnsi="宋体" w:cs="宋体" w:eastAsia="宋体" w:hint="default"/>
                <w:sz w:val="18"/>
                <w:szCs w:val="18"/>
              </w:rPr>
              <w:t>无形</w:t>
            </w:r>
            <w:r>
              <w:rPr>
                <w:rFonts w:ascii="宋体" w:hAnsi="宋体" w:cs="宋体" w:eastAsia="宋体" w:hint="default"/>
                <w:spacing w:val="2"/>
                <w:sz w:val="18"/>
                <w:szCs w:val="18"/>
              </w:rPr>
              <w:t>资</w:t>
            </w:r>
            <w:r>
              <w:rPr>
                <w:rFonts w:ascii="宋体" w:hAnsi="宋体" w:cs="宋体" w:eastAsia="宋体" w:hint="default"/>
                <w:sz w:val="18"/>
                <w:szCs w:val="18"/>
              </w:rPr>
              <w:t>产和其他长期资产的损</w:t>
            </w:r>
            <w:r>
              <w:rPr>
                <w:rFonts w:ascii="宋体" w:hAnsi="宋体" w:cs="宋体" w:eastAsia="宋体" w:hint="default"/>
                <w:spacing w:val="-80"/>
                <w:sz w:val="18"/>
                <w:szCs w:val="18"/>
              </w:rPr>
              <w:t>失</w:t>
            </w:r>
            <w:r>
              <w:rPr>
                <w:rFonts w:ascii="宋体" w:hAnsi="宋体" w:cs="宋体" w:eastAsia="宋体" w:hint="default"/>
                <w:sz w:val="18"/>
                <w:szCs w:val="18"/>
              </w:rPr>
              <w:t>（收</w:t>
            </w:r>
            <w:r>
              <w:rPr>
                <w:rFonts w:ascii="宋体" w:hAnsi="宋体" w:cs="宋体" w:eastAsia="宋体" w:hint="default"/>
                <w:spacing w:val="2"/>
                <w:sz w:val="18"/>
                <w:szCs w:val="18"/>
              </w:rPr>
              <w:t>益</w:t>
            </w:r>
            <w:r>
              <w:rPr>
                <w:rFonts w:ascii="宋体" w:hAnsi="宋体" w:cs="宋体" w:eastAsia="宋体" w:hint="default"/>
                <w:spacing w:val="-79"/>
                <w:sz w:val="18"/>
                <w:szCs w:val="18"/>
              </w:rPr>
              <w:t>以</w:t>
            </w:r>
            <w:r>
              <w:rPr>
                <w:rFonts w:ascii="宋体" w:hAnsi="宋体" w:cs="宋体" w:eastAsia="宋体" w:hint="default"/>
                <w:sz w:val="18"/>
                <w:szCs w:val="18"/>
              </w:rPr>
              <w:t>“－”</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-357.32</w:t>
            </w:r>
          </w:p>
        </w:tc>
      </w:tr>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2,750.29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358,605.22</w:t>
            </w:r>
          </w:p>
        </w:tc>
      </w:tr>
      <w:tr>
        <w:trPr>
          <w:trHeight w:val="401"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19,150,887.35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16,838,323.54</w:t>
            </w:r>
          </w:p>
        </w:tc>
      </w:tr>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-5,803,890.87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2,227,377.09</w:t>
            </w:r>
          </w:p>
        </w:tc>
      </w:tr>
      <w:tr>
        <w:trPr>
          <w:trHeight w:val="401"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-183,371.55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2,357,141.67</w:t>
            </w:r>
          </w:p>
        </w:tc>
      </w:tr>
      <w:tr>
        <w:trPr>
          <w:trHeight w:val="403"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-435,639,118.38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-108,556,697.46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653"/>
        <w:gridCol w:w="1939"/>
        <w:gridCol w:w="1937"/>
      </w:tblGrid>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7"/>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-158,781,297.08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44,478,496.25</w:t>
            </w:r>
          </w:p>
        </w:tc>
      </w:tr>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37"/>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151,327,239.70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70,833,668.98</w:t>
            </w:r>
          </w:p>
        </w:tc>
      </w:tr>
      <w:tr>
        <w:trPr>
          <w:trHeight w:val="408"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-350,845,748.15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87,476,464.26</w:t>
            </w:r>
          </w:p>
        </w:tc>
      </w:tr>
      <w:tr>
        <w:trPr>
          <w:trHeight w:val="396"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182,294,425.42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255,923,403.94</w:t>
            </w:r>
          </w:p>
        </w:tc>
      </w:tr>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255,923,403.94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341,409,880.20</w:t>
            </w:r>
          </w:p>
        </w:tc>
      </w:tr>
      <w:tr>
        <w:trPr>
          <w:trHeight w:val="402" w:hRule="exact"/>
        </w:trPr>
        <w:tc>
          <w:tcPr>
            <w:tcW w:w="5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-73,628,978.52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-85,486,476.26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支付的取得子公司的现金净额" w:id="392"/>
      <w:bookmarkEnd w:id="3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本期收到的处置子公司的现金净额" w:id="393"/>
      <w:bookmarkEnd w:id="39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现金和现金等价物的构成" w:id="394"/>
      <w:bookmarkEnd w:id="39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182,294,425.42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255,923,403.94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2,029.78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3,849.38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166,474,865.70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254,674,389.61</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15,817,529.94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1,245,164.95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182,294,425.42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255,923,403.94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0、所有者权益变动表项目注释" w:id="395"/>
      <w:bookmarkEnd w:id="395"/>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1、所有权或使用权受到限制的资产" w:id="396"/>
      <w:bookmarkEnd w:id="396"/>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3,256,635.05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3,256,635.05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82、外币货币性项目" w:id="397"/>
      <w:bookmarkEnd w:id="397"/>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外币货币性项目" w:id="398"/>
      <w:bookmarkEnd w:id="3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1,203.74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8,397.53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3,081.00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197.45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bookmarkStart w:name="（2）境外经营实体说明，包括对于重要的境外经营实体，应披露其境外主要经营地、记账" w:id="399"/>
      <w:bookmarkEnd w:id="39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3、套期" w:id="400"/>
      <w:bookmarkEnd w:id="400"/>
      <w:r>
        <w:rPr>
          <w:b w:val="0"/>
          <w:bCs w:val="0"/>
        </w:rPr>
      </w: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84、政府补助" w:id="401"/>
      <w:bookmarkEnd w:id="401"/>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政府补助基本情况" w:id="402"/>
      <w:bookmarkEnd w:id="40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电子发展基金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4" w:right="0"/>
              <w:jc w:val="left"/>
              <w:rPr>
                <w:rFonts w:ascii="Times New Roman" w:hAnsi="Times New Roman" w:cs="Times New Roman" w:eastAsia="Times New Roman" w:hint="default"/>
                <w:sz w:val="18"/>
                <w:szCs w:val="18"/>
              </w:rPr>
            </w:pPr>
            <w:r>
              <w:rPr>
                <w:rFonts w:ascii="Times New Roman"/>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9" w:right="0"/>
              <w:jc w:val="left"/>
              <w:rPr>
                <w:rFonts w:ascii="Times New Roman" w:hAnsi="Times New Roman" w:cs="Times New Roman" w:eastAsia="Times New Roman" w:hint="default"/>
                <w:sz w:val="18"/>
                <w:szCs w:val="18"/>
              </w:rPr>
            </w:pPr>
            <w:r>
              <w:rPr>
                <w:rFonts w:ascii="Times New Roman"/>
                <w:sz w:val="18"/>
              </w:rPr>
              <w:t>270,000.00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政府补助退回情况" w:id="403"/>
      <w:bookmarkEnd w:id="40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9221"/>
        <w:jc w:val="left"/>
      </w:pPr>
      <w:r>
        <w:rPr/>
        <w:t>□ 适用 √</w:t>
      </w:r>
      <w:r>
        <w:rPr>
          <w:spacing w:val="3"/>
        </w:rPr>
        <w:t> </w:t>
      </w:r>
      <w:r>
        <w:rPr/>
        <w:t>不适用</w:t>
      </w:r>
      <w:r>
        <w:rPr/>
        <w:t> 其他说明：</w:t>
      </w:r>
    </w:p>
    <w:p>
      <w:pPr>
        <w:spacing w:line="240" w:lineRule="auto" w:before="6"/>
        <w:rPr>
          <w:rFonts w:ascii="宋体" w:hAnsi="宋体" w:cs="宋体" w:eastAsia="宋体" w:hint="default"/>
          <w:sz w:val="20"/>
          <w:szCs w:val="20"/>
        </w:rPr>
      </w:pPr>
    </w:p>
    <w:p>
      <w:pPr>
        <w:spacing w:line="487" w:lineRule="auto" w:before="0"/>
        <w:ind w:left="112" w:right="8330" w:firstLine="0"/>
        <w:jc w:val="left"/>
        <w:rPr>
          <w:rFonts w:ascii="宋体" w:hAnsi="宋体" w:cs="宋体" w:eastAsia="宋体" w:hint="default"/>
          <w:sz w:val="21"/>
          <w:szCs w:val="21"/>
        </w:rPr>
      </w:pPr>
      <w:bookmarkStart w:name="85、其他" w:id="404"/>
      <w:bookmarkEnd w:id="404"/>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05"/>
      <w:bookmarkEnd w:id="405"/>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1133"/>
        <w:jc w:val="left"/>
        <w:rPr>
          <w:b w:val="0"/>
          <w:bCs w:val="0"/>
        </w:rPr>
      </w:pPr>
      <w:bookmarkStart w:name="（1）本期发生的非同一控制下企业合并" w:id="407"/>
      <w:bookmarkEnd w:id="40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2）合并成本及商誉" w:id="408"/>
      <w:bookmarkEnd w:id="40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被购买方于购买日可辨认资产、负债" w:id="409"/>
      <w:bookmarkEnd w:id="40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购买日之前持有的股权按照公允价值重新计量产生的利得或损失" w:id="410"/>
      <w:bookmarkEnd w:id="41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购买日或合并当期期末无法合理确定合并对价或被购买方可辨认资产、负债公允价值" w:id="411"/>
      <w:bookmarkEnd w:id="41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其他说明" w:id="412"/>
      <w:bookmarkEnd w:id="41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同一控制下企业合并" w:id="413"/>
      <w:bookmarkEnd w:id="41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反向购买" w:id="414"/>
      <w:bookmarkEnd w:id="41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处置子公司" w:id="415"/>
      <w:bookmarkEnd w:id="41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60" w:lineRule="auto" w:before="117"/>
        <w:ind w:right="4994"/>
        <w:jc w:val="left"/>
      </w:pPr>
      <w:r>
        <w:rPr/>
        <w:t>□ 是 √</w:t>
      </w:r>
      <w:r>
        <w:rPr>
          <w:spacing w:val="3"/>
        </w:rPr>
        <w:t> </w:t>
      </w:r>
      <w:r>
        <w:rPr/>
        <w:t>否</w:t>
      </w:r>
      <w:r>
        <w:rPr/>
        <w:t> 是否存在通过多次交易分步处置对子公司投资且在本期丧失控制权的情形</w:t>
      </w:r>
    </w:p>
    <w:p>
      <w:pPr>
        <w:pStyle w:val="BodyText"/>
        <w:spacing w:line="240" w:lineRule="auto" w:before="25"/>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其他原因的合并范围变动" w:id="416"/>
      <w:bookmarkEnd w:id="41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8104" w:firstLine="0"/>
        <w:jc w:val="left"/>
        <w:rPr>
          <w:rFonts w:ascii="宋体" w:hAnsi="宋体" w:cs="宋体" w:eastAsia="宋体" w:hint="default"/>
          <w:sz w:val="21"/>
          <w:szCs w:val="21"/>
        </w:rPr>
      </w:pPr>
      <w:bookmarkStart w:name="6、其他" w:id="417"/>
      <w:bookmarkEnd w:id="41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18"/>
      <w:bookmarkEnd w:id="418"/>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9"/>
      <w:bookmarkEnd w:id="4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1133"/>
        <w:jc w:val="left"/>
        <w:rPr>
          <w:b w:val="0"/>
          <w:bCs w:val="0"/>
        </w:rPr>
      </w:pPr>
      <w:bookmarkStart w:name="（1）企业集团的构成" w:id="420"/>
      <w:bookmarkEnd w:id="4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452"/>
        <w:gridCol w:w="1282"/>
        <w:gridCol w:w="1028"/>
        <w:gridCol w:w="1008"/>
        <w:gridCol w:w="1057"/>
        <w:gridCol w:w="787"/>
        <w:gridCol w:w="936"/>
      </w:tblGrid>
      <w:tr>
        <w:trPr>
          <w:trHeight w:val="403" w:hRule="exact"/>
        </w:trPr>
        <w:tc>
          <w:tcPr>
            <w:tcW w:w="34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452" w:type="dxa"/>
            <w:vMerge/>
            <w:tcBorders>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行业</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行业</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2）重要的非全资子公司" w:id="421"/>
      <w:bookmarkEnd w:id="4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重要非全资子公司的主要财务信息" w:id="422"/>
      <w:bookmarkEnd w:id="4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使用企业集团资产和清偿企业集团债务的重大限制" w:id="423"/>
      <w:bookmarkEnd w:id="4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5）向纳入合并财务报表范围的结构化主体提供的财务支持或其他支持" w:id="424"/>
      <w:bookmarkEnd w:id="4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在子公司的所有者权益份额发生变化且仍控制子公司的交易" w:id="425"/>
      <w:bookmarkEnd w:id="4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在合营安排或联营企业中的权益" w:id="426"/>
      <w:bookmarkEnd w:id="42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的合营企业或联营企业" w:id="427"/>
      <w:bookmarkEnd w:id="42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78"/>
        <w:gridCol w:w="1251"/>
        <w:gridCol w:w="1106"/>
        <w:gridCol w:w="1368"/>
        <w:gridCol w:w="1116"/>
        <w:gridCol w:w="1052"/>
        <w:gridCol w:w="1620"/>
      </w:tblGrid>
      <w:tr>
        <w:trPr>
          <w:trHeight w:val="1026" w:hRule="exact"/>
        </w:trPr>
        <w:tc>
          <w:tcPr>
            <w:tcW w:w="1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316" w:lineRule="auto"/>
              <w:ind w:left="804" w:right="173" w:hanging="632"/>
              <w:jc w:val="left"/>
              <w:rPr>
                <w:rFonts w:ascii="宋体" w:hAnsi="宋体" w:cs="宋体" w:eastAsia="宋体" w:hint="default"/>
                <w:sz w:val="18"/>
                <w:szCs w:val="18"/>
              </w:rPr>
            </w:pPr>
            <w:r>
              <w:rPr>
                <w:rFonts w:ascii="宋体" w:hAnsi="宋体" w:cs="宋体" w:eastAsia="宋体" w:hint="default"/>
                <w:sz w:val="18"/>
                <w:szCs w:val="18"/>
              </w:rPr>
              <w:t>合营企业或联营企业 名称</w:t>
            </w:r>
          </w:p>
        </w:tc>
        <w:tc>
          <w:tcPr>
            <w:tcW w:w="12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5" w:right="173"/>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01" w:hRule="exact"/>
        </w:trPr>
        <w:tc>
          <w:tcPr>
            <w:tcW w:w="1978" w:type="dxa"/>
            <w:vMerge/>
            <w:tcBorders>
              <w:left w:val="single" w:sz="4" w:space="0" w:color="000000"/>
              <w:bottom w:val="single" w:sz="4" w:space="0" w:color="000000"/>
              <w:right w:val="single" w:sz="4" w:space="0" w:color="000000"/>
            </w:tcBorders>
            <w:shd w:val="clear" w:color="auto" w:fill="D2D2D2"/>
          </w:tcPr>
          <w:p>
            <w:pPr/>
          </w:p>
        </w:tc>
        <w:tc>
          <w:tcPr>
            <w:tcW w:w="1251" w:type="dxa"/>
            <w:vMerge/>
            <w:tcBorders>
              <w:left w:val="single" w:sz="4" w:space="0" w:color="000000"/>
              <w:bottom w:val="single" w:sz="4" w:space="0" w:color="000000"/>
              <w:right w:val="single" w:sz="4" w:space="0" w:color="000000"/>
            </w:tcBorders>
            <w:shd w:val="clear" w:color="auto" w:fill="D2D2D2"/>
          </w:tcPr>
          <w:p>
            <w:pPr/>
          </w:p>
        </w:tc>
        <w:tc>
          <w:tcPr>
            <w:tcW w:w="110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63"/>
              <w:jc w:val="left"/>
              <w:rPr>
                <w:rFonts w:ascii="宋体" w:hAnsi="宋体" w:cs="宋体" w:eastAsia="宋体" w:hint="default"/>
                <w:sz w:val="18"/>
                <w:szCs w:val="18"/>
              </w:rPr>
            </w:pPr>
            <w:r>
              <w:rPr>
                <w:rFonts w:ascii="宋体" w:hAnsi="宋体" w:cs="宋体" w:eastAsia="宋体" w:hint="default"/>
                <w:sz w:val="18"/>
                <w:szCs w:val="18"/>
              </w:rPr>
              <w:t>共青城银汐投资管理 合伙企业（有限合伙）</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江西九江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36.63%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3"/>
              <w:jc w:val="left"/>
              <w:rPr>
                <w:rFonts w:ascii="宋体" w:hAnsi="宋体" w:cs="宋体" w:eastAsia="宋体" w:hint="default"/>
                <w:sz w:val="18"/>
                <w:szCs w:val="18"/>
              </w:rPr>
            </w:pPr>
            <w:r>
              <w:rPr>
                <w:rFonts w:ascii="宋体" w:hAnsi="宋体" w:cs="宋体" w:eastAsia="宋体" w:hint="default"/>
                <w:sz w:val="18"/>
                <w:szCs w:val="18"/>
              </w:rPr>
              <w:t>北京泛融科技有限公 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在合营企业或联营企业的持股比例不同于表决权比例的说明：</w:t>
      </w:r>
    </w:p>
    <w:p>
      <w:pPr>
        <w:pStyle w:val="BodyText"/>
        <w:spacing w:line="240" w:lineRule="auto" w:before="117"/>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重要合营企业的主要财务信息" w:id="428"/>
      <w:bookmarkEnd w:id="42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重要联营企业的主要财务信息" w:id="429"/>
      <w:bookmarkEnd w:id="42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39"/>
        <w:gridCol w:w="1915"/>
        <w:gridCol w:w="1448"/>
        <w:gridCol w:w="1916"/>
        <w:gridCol w:w="1548"/>
      </w:tblGrid>
      <w:tr>
        <w:trPr>
          <w:trHeight w:val="402"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4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 w:firstLine="38"/>
              <w:jc w:val="left"/>
              <w:rPr>
                <w:rFonts w:ascii="宋体" w:hAnsi="宋体" w:cs="宋体" w:eastAsia="宋体" w:hint="default"/>
                <w:sz w:val="18"/>
                <w:szCs w:val="18"/>
              </w:rPr>
            </w:pPr>
            <w:r>
              <w:rPr>
                <w:rFonts w:ascii="宋体" w:hAnsi="宋体" w:cs="宋体" w:eastAsia="宋体" w:hint="default"/>
                <w:sz w:val="18"/>
                <w:szCs w:val="18"/>
              </w:rPr>
              <w:t>共青城银汐投资管理 </w:t>
            </w:r>
            <w:r>
              <w:rPr>
                <w:rFonts w:ascii="宋体" w:hAnsi="宋体" w:cs="宋体" w:eastAsia="宋体" w:hint="default"/>
                <w:spacing w:val="-2"/>
                <w:sz w:val="18"/>
                <w:szCs w:val="18"/>
              </w:rPr>
              <w:t>合伙企业（有限合伙）</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78" w:hanging="180"/>
              <w:jc w:val="left"/>
              <w:rPr>
                <w:rFonts w:ascii="宋体" w:hAnsi="宋体" w:cs="宋体" w:eastAsia="宋体" w:hint="default"/>
                <w:sz w:val="18"/>
                <w:szCs w:val="18"/>
              </w:rPr>
            </w:pPr>
            <w:r>
              <w:rPr>
                <w:rFonts w:ascii="宋体" w:hAnsi="宋体" w:cs="宋体" w:eastAsia="宋体" w:hint="default"/>
                <w:sz w:val="18"/>
                <w:szCs w:val="18"/>
              </w:rPr>
              <w:t>北京泛融科技 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 w:firstLine="38"/>
              <w:jc w:val="left"/>
              <w:rPr>
                <w:rFonts w:ascii="宋体" w:hAnsi="宋体" w:cs="宋体" w:eastAsia="宋体" w:hint="default"/>
                <w:sz w:val="18"/>
                <w:szCs w:val="18"/>
              </w:rPr>
            </w:pPr>
            <w:r>
              <w:rPr>
                <w:rFonts w:ascii="宋体" w:hAnsi="宋体" w:cs="宋体" w:eastAsia="宋体" w:hint="default"/>
                <w:sz w:val="18"/>
                <w:szCs w:val="18"/>
              </w:rPr>
              <w:t>共青城银汐投资管理 </w:t>
            </w:r>
            <w:r>
              <w:rPr>
                <w:rFonts w:ascii="宋体" w:hAnsi="宋体" w:cs="宋体" w:eastAsia="宋体" w:hint="default"/>
                <w:spacing w:val="-2"/>
                <w:sz w:val="18"/>
                <w:szCs w:val="18"/>
              </w:rPr>
              <w:t>合伙企业（有限合伙）</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137" w:hanging="360"/>
              <w:jc w:val="left"/>
              <w:rPr>
                <w:rFonts w:ascii="宋体" w:hAnsi="宋体" w:cs="宋体" w:eastAsia="宋体" w:hint="default"/>
                <w:sz w:val="18"/>
                <w:szCs w:val="18"/>
              </w:rPr>
            </w:pPr>
            <w:r>
              <w:rPr>
                <w:rFonts w:ascii="宋体" w:hAnsi="宋体" w:cs="宋体" w:eastAsia="宋体" w:hint="default"/>
                <w:sz w:val="18"/>
                <w:szCs w:val="18"/>
              </w:rPr>
              <w:t>北京泛融科技有 限公司</w:t>
            </w:r>
          </w:p>
        </w:tc>
      </w:tr>
      <w:tr>
        <w:trPr>
          <w:trHeight w:val="404"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126,971,996.94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3,956,240.45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33,974,093.16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2,263,697.32</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144,802,316.04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7,948,612.35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164,471,910.04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6,810,868.51</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271,774,312.98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11,904,852.80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198,446,003.20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9,074,565.83</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10,930,875.34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5,370,935.60</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1,370,000.00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10,930,875.34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5,370,935.60</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270,404,312.98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973,977.46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198,441,003.20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3,703,630.23</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99,049,099.84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243,494.37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72,688,939.47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925,907.56</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4,395,700.00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6,459,754.30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14,652,100.00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6,459,754.30</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6,459,754.30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6,459,754.30</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4,395,700.00</w:t>
            </w:r>
          </w:p>
        </w:tc>
        <w:tc>
          <w:tcPr>
            <w:tcW w:w="144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14,652,100.00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103,444,799.84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6,703,248.67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87,341,039.47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7,385,661.86</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3,287,409.98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1,519,248.83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4,591,022.13</w:t>
            </w: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18,173,948.74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-2,729,652.77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-4,765,454.88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-1,645,611.34</w:t>
            </w:r>
          </w:p>
        </w:tc>
      </w:tr>
      <w:tr>
        <w:trPr>
          <w:trHeight w:val="401"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-15,103,477.36</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18,173,948.74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-2,729,652.77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-19,868,932.24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-1,645,611.34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不重要的合营企业和联营企业的汇总财务信息" w:id="430"/>
      <w:bookmarkEnd w:id="43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5,758,798.51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5,929,611.87</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-170,813.36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-70,388.13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-170,813.36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-70,388.13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合营企业或联营企业向本公司转移资金的能力存在重大限制的说明" w:id="431"/>
      <w:bookmarkEnd w:id="43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合营企业或联营企业发生的超额亏损" w:id="432"/>
      <w:bookmarkEnd w:id="43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7）与合营企业投资相关的未确认承诺" w:id="433"/>
      <w:bookmarkEnd w:id="43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8）与合营企业或联营企业投资相关的或有负债" w:id="434"/>
      <w:bookmarkEnd w:id="43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重要的共同经营" w:id="435"/>
      <w:bookmarkEnd w:id="43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在未纳入合并财务报表范围的结构化主体中的权益" w:id="436"/>
      <w:bookmarkEnd w:id="43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其他" w:id="437"/>
      <w:bookmarkEnd w:id="437"/>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1133"/>
        <w:jc w:val="left"/>
        <w:rPr>
          <w:b w:val="0"/>
          <w:bCs w:val="0"/>
        </w:rPr>
      </w:pPr>
      <w:bookmarkStart w:name="十、与金融工具相关的风险" w:id="438"/>
      <w:bookmarkEnd w:id="438"/>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360"/>
        <w:jc w:val="both"/>
      </w:pPr>
      <w:r>
        <w:rPr>
          <w:spacing w:val="-4"/>
        </w:rPr>
        <w:t>本公司的主要金融工具包括货币资金、应收账款、其他应收款、应收票据、其他权益工具投资、短期借款、应付账款等，</w:t>
      </w:r>
      <w:r>
        <w:rPr/>
        <w:t> 各项金融工具的详细情况说明见本附注五相关项目。</w:t>
      </w:r>
    </w:p>
    <w:p>
      <w:pPr>
        <w:pStyle w:val="BodyText"/>
        <w:spacing w:line="319" w:lineRule="auto" w:before="19"/>
        <w:ind w:right="1128" w:firstLine="360"/>
        <w:jc w:val="both"/>
      </w:pPr>
      <w:r>
        <w:rPr>
          <w:spacing w:val="-2"/>
        </w:rPr>
        <w:t>本公司在经营过程中面临的主要金融风险是：信用风险、利率风险和流动性风险。本公司从事风险管理的目标是在风险</w:t>
      </w:r>
      <w:r>
        <w:rPr/>
        <w:t> </w:t>
      </w:r>
      <w:r>
        <w:rPr>
          <w:spacing w:val="-2"/>
        </w:rPr>
        <w:t>和收益之间取得平衡，力求降低风险对本公司经营业绩的负面影响。基于该风险管理目标，本公司风险管理的基本策略是确</w:t>
      </w:r>
      <w:r>
        <w:rPr>
          <w:spacing w:val="-63"/>
        </w:rPr>
        <w:t> </w:t>
      </w:r>
      <w:r>
        <w:rPr>
          <w:spacing w:val="-63"/>
        </w:rPr>
      </w:r>
      <w:r>
        <w:rPr>
          <w:spacing w:val="-2"/>
        </w:rPr>
        <w:t>认和分析本公司面临的各种风险，建立适当的风险承受底线和进行风险管理，并及时可靠地对各种风险进行监督，将风险控</w:t>
      </w:r>
      <w:r>
        <w:rPr>
          <w:spacing w:val="-61"/>
        </w:rPr>
        <w:t> </w:t>
      </w:r>
      <w:r>
        <w:rPr>
          <w:spacing w:val="-61"/>
        </w:rPr>
      </w:r>
      <w:r>
        <w:rPr/>
        <w:t>制在限定的范围内。</w:t>
      </w:r>
    </w:p>
    <w:p>
      <w:pPr>
        <w:pStyle w:val="BodyText"/>
        <w:spacing w:line="316" w:lineRule="auto" w:before="17"/>
        <w:ind w:left="473" w:right="1129"/>
        <w:jc w:val="left"/>
      </w:pPr>
      <w:r>
        <w:rPr>
          <w:rFonts w:ascii="宋体" w:hAnsi="宋体" w:cs="宋体" w:eastAsia="宋体" w:hint="default"/>
        </w:rPr>
        <w:t>1</w:t>
      </w:r>
      <w:r>
        <w:rPr/>
        <w:t>、信用风险 </w:t>
      </w:r>
      <w:r>
        <w:rPr>
          <w:spacing w:val="-2"/>
        </w:rPr>
        <w:t>信用风险是指金融工具的一方不履行义务，造成另一方发生财务损失的风险。对于银行存款，本公司将其存放于信用评</w:t>
      </w:r>
    </w:p>
    <w:p>
      <w:pPr>
        <w:pStyle w:val="BodyText"/>
        <w:spacing w:line="316" w:lineRule="auto" w:before="19"/>
        <w:ind w:right="0"/>
        <w:jc w:val="left"/>
      </w:pPr>
      <w:r>
        <w:rPr>
          <w:spacing w:val="-4"/>
        </w:rPr>
        <w:t>级较高的金融机构，故其信用风险较低。对于应收账款、其他应收款和应收票据，本公司设定相关政策以控制信用风险敞口。</w:t>
      </w:r>
      <w:r>
        <w:rPr>
          <w:spacing w:val="-46"/>
        </w:rPr>
        <w:t> </w:t>
      </w:r>
      <w:r>
        <w:rPr>
          <w:spacing w:val="-46"/>
        </w:rPr>
      </w:r>
      <w:r>
        <w:rPr>
          <w:spacing w:val="-2"/>
        </w:rPr>
        <w:t>本公司基于对客户的财务状况、信用记录及其它因素诸如目前市场状况等评估客户的信用资质并设置相应信用期，定期对客</w:t>
      </w:r>
      <w:r>
        <w:rPr>
          <w:spacing w:val="-64"/>
        </w:rPr>
        <w:t> </w:t>
      </w:r>
      <w:r>
        <w:rPr>
          <w:spacing w:val="-64"/>
        </w:rPr>
      </w:r>
      <w:r>
        <w:rPr>
          <w:spacing w:val="-2"/>
        </w:rPr>
        <w:t>户信用记录进行监控，及时与客户进行结算与收款，对于信用记录不良的客户，本公司会采用书面催款、缩短信用期或取消</w:t>
      </w:r>
      <w:r>
        <w:rPr>
          <w:spacing w:val="-65"/>
        </w:rPr>
        <w:t> </w:t>
      </w:r>
      <w:r>
        <w:rPr>
          <w:spacing w:val="-65"/>
        </w:rPr>
      </w:r>
      <w:r>
        <w:rPr/>
        <w:t>信用期等方式，以确保本公司的整体信用风险在可控的范围内。</w:t>
      </w:r>
    </w:p>
    <w:p>
      <w:pPr>
        <w:pStyle w:val="BodyText"/>
        <w:spacing w:line="316" w:lineRule="auto" w:before="19"/>
        <w:ind w:left="473" w:right="1129"/>
        <w:jc w:val="left"/>
      </w:pPr>
      <w:r>
        <w:rPr>
          <w:rFonts w:ascii="宋体" w:hAnsi="宋体" w:cs="宋体" w:eastAsia="宋体" w:hint="default"/>
        </w:rPr>
        <w:t>2</w:t>
      </w:r>
      <w:r>
        <w:rPr/>
        <w:t>、利率风险 </w:t>
      </w:r>
      <w:r>
        <w:rPr>
          <w:spacing w:val="-2"/>
        </w:rPr>
        <w:t>利率风险，是指金融工具的公允价值或未来现金流量因市场利率变动而发生波动的风险。本公司面临的利率风险主要来</w:t>
      </w:r>
    </w:p>
    <w:p>
      <w:pPr>
        <w:pStyle w:val="BodyText"/>
        <w:spacing w:line="319" w:lineRule="auto" w:before="19"/>
        <w:ind w:right="1129"/>
        <w:jc w:val="left"/>
      </w:pPr>
      <w:r>
        <w:rPr>
          <w:spacing w:val="-2"/>
        </w:rPr>
        <w:t>源于银行短期借款。本公司通过建立良好的银企关系，对授信额度、授信品种以及授信期限进行合理的设计，保障银行授信</w:t>
      </w:r>
      <w:r>
        <w:rPr>
          <w:spacing w:val="-65"/>
        </w:rPr>
        <w:t> </w:t>
      </w:r>
      <w:r>
        <w:rPr>
          <w:spacing w:val="-65"/>
        </w:rPr>
      </w:r>
      <w:r>
        <w:rPr/>
        <w:t>额度充足，满足本公司融资需求。通过控制借款规模、约定提前还款条款等，合理降低利率波动风险。</w:t>
      </w:r>
    </w:p>
    <w:p>
      <w:pPr>
        <w:pStyle w:val="BodyText"/>
        <w:spacing w:line="316" w:lineRule="auto" w:before="17"/>
        <w:ind w:left="473" w:right="1129"/>
        <w:jc w:val="left"/>
      </w:pPr>
      <w:r>
        <w:rPr>
          <w:rFonts w:ascii="宋体" w:hAnsi="宋体" w:cs="宋体" w:eastAsia="宋体" w:hint="default"/>
        </w:rPr>
        <w:t>3</w:t>
      </w:r>
      <w:r>
        <w:rPr/>
        <w:t>、流动性风险 </w:t>
      </w:r>
      <w:r>
        <w:rPr>
          <w:spacing w:val="-2"/>
        </w:rPr>
        <w:t>流动风险为公司在到期日无法履行其财务义务的风险。本公司管理流动性风险时，确保有充分的现金及现金等价物并对</w:t>
      </w:r>
    </w:p>
    <w:p>
      <w:pPr>
        <w:pStyle w:val="BodyText"/>
        <w:spacing w:line="316" w:lineRule="auto" w:before="19"/>
        <w:ind w:right="0"/>
        <w:jc w:val="left"/>
      </w:pPr>
      <w:r>
        <w:rPr>
          <w:spacing w:val="-2"/>
        </w:rPr>
        <w:t>其进行监控，包括现金盈余的短期投资和筹措贷款以应付预计现金需求，以满足本公司经营需要。本公司管理层对银行借款</w:t>
      </w:r>
      <w:r>
        <w:rPr>
          <w:spacing w:val="-62"/>
        </w:rPr>
        <w:t> </w:t>
      </w:r>
      <w:r>
        <w:rPr>
          <w:spacing w:val="-62"/>
        </w:rPr>
      </w:r>
      <w:r>
        <w:rPr/>
        <w:t>的使用情况进行监控并确保遵守借款协议。同时与金融机构进行融资磋商，以保持一定的授信额度，减低流动性风险。</w:t>
      </w:r>
    </w:p>
    <w:p>
      <w:pPr>
        <w:spacing w:after="0" w:line="316"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1133"/>
        <w:jc w:val="left"/>
        <w:rPr>
          <w:b w:val="0"/>
          <w:bCs w:val="0"/>
        </w:rPr>
      </w:pPr>
      <w:bookmarkStart w:name="十一、公允价值的披露" w:id="439"/>
      <w:bookmarkEnd w:id="439"/>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以公允价值计量的资产和负债的期末公允价值" w:id="440"/>
      <w:bookmarkEnd w:id="44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64"/>
        <w:gridCol w:w="1837"/>
        <w:gridCol w:w="1916"/>
        <w:gridCol w:w="1913"/>
        <w:gridCol w:w="1606"/>
      </w:tblGrid>
      <w:tr>
        <w:trPr>
          <w:trHeight w:val="401" w:hRule="exact"/>
        </w:trPr>
        <w:tc>
          <w:tcPr>
            <w:tcW w:w="2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2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236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sz w:val="16"/>
                <w:szCs w:val="16"/>
              </w:rPr>
              <w:t>第一层次公允价值计量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sz w:val="16"/>
                <w:szCs w:val="16"/>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47"/>
              <w:jc w:val="right"/>
              <w:rPr>
                <w:rFonts w:ascii="宋体" w:hAnsi="宋体" w:cs="宋体" w:eastAsia="宋体" w:hint="default"/>
                <w:sz w:val="16"/>
                <w:szCs w:val="16"/>
              </w:rPr>
            </w:pPr>
            <w:r>
              <w:rPr>
                <w:rFonts w:ascii="宋体" w:hAnsi="宋体" w:cs="宋体" w:eastAsia="宋体" w:hint="default"/>
                <w:spacing w:val="-1"/>
                <w:sz w:val="16"/>
                <w:szCs w:val="16"/>
              </w:rPr>
              <w:t>第三层次公允价值计量</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6,000,000.00</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持续和非持续第一层次公允价值计量项目市价的确定依据" w:id="441"/>
      <w:bookmarkEnd w:id="44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是在计量日能够取得的相同资产或负债在活跃市场上未经调整的报价。</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持续和非持续第二层次公允价值计量项目，采用的估值技术和重要参数的定性及定量信" w:id="442"/>
      <w:bookmarkEnd w:id="44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8" w:firstLine="360"/>
        <w:jc w:val="both"/>
      </w:pPr>
      <w:r>
        <w:rPr/>
        <w:t>是除第一层次输入值外相关资产或负债直接或间接可观察的输入值</w:t>
      </w:r>
      <w:r>
        <w:rPr>
          <w:spacing w:val="-27"/>
        </w:rPr>
        <w:t>。</w:t>
      </w:r>
      <w:r>
        <w:rPr/>
        <w:t>第二层次输入值包括</w:t>
      </w:r>
      <w:r>
        <w:rPr>
          <w:spacing w:val="-118"/>
        </w:rPr>
        <w:t>：</w:t>
      </w:r>
      <w:r>
        <w:rPr/>
        <w:t>（</w:t>
      </w:r>
      <w:r>
        <w:rPr>
          <w:rFonts w:ascii="宋体" w:hAnsi="宋体" w:cs="宋体" w:eastAsia="宋体" w:hint="default"/>
          <w:spacing w:val="1"/>
        </w:rPr>
        <w:t>1</w:t>
      </w:r>
      <w:r>
        <w:rPr>
          <w:spacing w:val="-27"/>
        </w:rPr>
        <w:t>）</w:t>
      </w:r>
      <w:r>
        <w:rPr/>
        <w:t>活跃市场中类似资产或</w:t>
      </w:r>
      <w:r>
        <w:rPr/>
        <w:t> 负债的报价</w:t>
      </w:r>
      <w:r>
        <w:rPr>
          <w:spacing w:val="-108"/>
        </w:rPr>
        <w:t>；</w:t>
      </w:r>
      <w:r>
        <w:rPr/>
        <w:t>（</w:t>
      </w:r>
      <w:r>
        <w:rPr>
          <w:rFonts w:ascii="宋体" w:hAnsi="宋体" w:cs="宋体" w:eastAsia="宋体" w:hint="default"/>
          <w:spacing w:val="1"/>
        </w:rPr>
        <w:t>2</w:t>
      </w:r>
      <w:r>
        <w:rPr>
          <w:spacing w:val="-17"/>
        </w:rPr>
        <w:t>）</w:t>
      </w:r>
      <w:r>
        <w:rPr/>
        <w:t>非活跃市场中相同或类似资产或负债的报价</w:t>
      </w:r>
      <w:r>
        <w:rPr>
          <w:spacing w:val="-108"/>
        </w:rPr>
        <w:t>；</w:t>
      </w:r>
      <w:r>
        <w:rPr/>
        <w:t>（</w:t>
      </w:r>
      <w:r>
        <w:rPr>
          <w:rFonts w:ascii="宋体" w:hAnsi="宋体" w:cs="宋体" w:eastAsia="宋体" w:hint="default"/>
          <w:spacing w:val="1"/>
        </w:rPr>
        <w:t>3</w:t>
      </w:r>
      <w:r>
        <w:rPr>
          <w:spacing w:val="-17"/>
        </w:rPr>
        <w:t>）</w:t>
      </w:r>
      <w:r>
        <w:rPr/>
        <w:t>除报价以外的其他可观察输入值</w:t>
      </w:r>
      <w:r>
        <w:rPr>
          <w:spacing w:val="-17"/>
        </w:rPr>
        <w:t>，</w:t>
      </w:r>
      <w:r>
        <w:rPr/>
        <w:t>包括在正常报价间隔</w:t>
      </w:r>
      <w:r>
        <w:rPr/>
        <w:t> 期间可观察的利率和收益率曲线、隐含波动率和信用利差等</w:t>
      </w:r>
      <w:r>
        <w:rPr>
          <w:spacing w:val="-89"/>
        </w:rPr>
        <w:t>；</w:t>
      </w:r>
      <w:r>
        <w:rPr/>
        <w:t>（</w:t>
      </w:r>
      <w:r>
        <w:rPr>
          <w:rFonts w:ascii="宋体" w:hAnsi="宋体" w:cs="宋体" w:eastAsia="宋体" w:hint="default"/>
          <w:spacing w:val="1"/>
        </w:rPr>
        <w:t>4</w:t>
      </w:r>
      <w:r>
        <w:rPr/>
        <w:t>）市场验证的输入值等。</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4、持续和非持续第三层次公允价值计量项目，采用的估值技术和重要参数的定性及定量信" w:id="443"/>
      <w:bookmarkEnd w:id="44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3" w:right="1133"/>
        <w:jc w:val="left"/>
      </w:pPr>
      <w:r>
        <w:rPr/>
        <w:t>是相关资产或负债的不可观察输入值。</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持续的第三层次公允价值计量项目，期初与期末账面价值间的调节信息及不可观察参数" w:id="444"/>
      <w:bookmarkEnd w:id="44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持续的公允价值计量项目，本期内发生各层级之间转换的，转换的原因及确定转换时点" w:id="445"/>
      <w:bookmarkEnd w:id="44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7、本期内发生的估值技术变更及变更原因" w:id="446"/>
      <w:bookmarkEnd w:id="44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本公司金融工具的公允价值估值技术在本年度未发生变更。</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8、不以公允价值计量的金融资产和金融负债的公允价值情况" w:id="447"/>
      <w:bookmarkEnd w:id="44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不以公允价值计量的金融资产和负债主要包括：货币资金、应收账款、其他应收款、短期借款、应付款项等。上述不以</w:t>
      </w:r>
      <w:r>
        <w:rPr/>
        <w:t> 公允价值计量的金融资产和负债的账面价值与公允价值相差很小。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bookmarkStart w:name="9、其他" w:id="448"/>
      <w:bookmarkEnd w:id="448"/>
      <w:r>
        <w:rPr>
          <w:b w:val="0"/>
          <w:bCs w:val="0"/>
        </w:rPr>
      </w:r>
      <w:r>
        <w:rPr>
          <w:rFonts w:ascii="Times New Roman" w:hAnsi="Times New Roman" w:cs="Times New Roman" w:eastAsia="Times New Roman" w:hint="default"/>
        </w:rPr>
        <w:t>9</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3"/>
        <w:spacing w:line="240" w:lineRule="auto" w:before="26"/>
        <w:ind w:right="1133"/>
        <w:jc w:val="left"/>
        <w:rPr>
          <w:b w:val="0"/>
          <w:bCs w:val="0"/>
        </w:rPr>
      </w:pPr>
      <w:bookmarkStart w:name="十二、关联方及关联交易" w:id="449"/>
      <w:bookmarkEnd w:id="449"/>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0" w:right="8556"/>
        <w:jc w:val="right"/>
        <w:rPr>
          <w:b w:val="0"/>
          <w:bCs w:val="0"/>
        </w:rPr>
      </w:pPr>
      <w:bookmarkStart w:name="1、本企业的母公司情况" w:id="450"/>
      <w:bookmarkEnd w:id="450"/>
      <w:r>
        <w:rPr>
          <w:b w:val="0"/>
          <w:bCs w:val="0"/>
        </w:rPr>
      </w:r>
      <w:r>
        <w:rPr>
          <w:rFonts w:ascii="Times New Roman" w:hAnsi="Times New Roman" w:cs="Times New Roman" w:eastAsia="Times New Roman" w:hint="default"/>
          <w:spacing w:val="-1"/>
        </w:rPr>
        <w:t>1</w:t>
      </w:r>
      <w:r>
        <w:rPr>
          <w:spacing w:val="-1"/>
        </w:rPr>
        <w:t>、本企业的母公司情况</w:t>
      </w:r>
      <w:r>
        <w:rPr>
          <w:b w:val="0"/>
          <w:bCs w:val="0"/>
          <w:spacing w:val="-1"/>
        </w:rPr>
      </w:r>
    </w:p>
    <w:p>
      <w:pPr>
        <w:spacing w:line="240" w:lineRule="auto" w:before="2"/>
        <w:rPr>
          <w:rFonts w:ascii="宋体" w:hAnsi="宋体" w:cs="宋体" w:eastAsia="宋体" w:hint="default"/>
          <w:b/>
          <w:bCs/>
          <w:sz w:val="26"/>
          <w:szCs w:val="26"/>
        </w:rPr>
      </w:pPr>
    </w:p>
    <w:p>
      <w:pPr>
        <w:pStyle w:val="BodyText"/>
        <w:spacing w:line="360" w:lineRule="auto"/>
        <w:ind w:left="473" w:right="8611" w:hanging="361"/>
        <w:jc w:val="right"/>
      </w:pPr>
      <w:r>
        <w:rPr/>
        <w:t>本企业的母公司情况的说明 本公司无实际控制人。</w:t>
      </w:r>
    </w:p>
    <w:p>
      <w:pPr>
        <w:pStyle w:val="BodyText"/>
        <w:spacing w:line="357" w:lineRule="auto" w:before="27"/>
        <w:ind w:right="8144"/>
        <w:jc w:val="left"/>
      </w:pPr>
      <w:r>
        <w:rPr>
          <w:spacing w:val="-6"/>
        </w:rPr>
        <w:t>本企业最终控制方是（不适用）。</w:t>
      </w:r>
      <w:r>
        <w:rPr/>
        <w:t>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本企业的子公司情况" w:id="451"/>
      <w:bookmarkEnd w:id="45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3、本企业合营和联营企业情况" w:id="452"/>
      <w:bookmarkEnd w:id="45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本企业重要的合营或联营企业详见附注九、在其他主体中的权。 本期与本公司发生关联方交易，或前期与本公司发生关联方交易形成余额的其他合营或联营企业情况如下：</w:t>
      </w:r>
    </w:p>
    <w:tbl>
      <w:tblPr>
        <w:tblW w:w="0" w:type="auto"/>
        <w:jc w:val="left"/>
        <w:tblInd w:w="108" w:type="dxa"/>
        <w:tblLayout w:type="fixed"/>
        <w:tblCellMar>
          <w:top w:w="0" w:type="dxa"/>
          <w:left w:w="0" w:type="dxa"/>
          <w:bottom w:w="0" w:type="dxa"/>
          <w:right w:w="0" w:type="dxa"/>
        </w:tblCellMar>
        <w:tblLook w:val="01E0"/>
      </w:tblPr>
      <w:tblGrid>
        <w:gridCol w:w="4091"/>
        <w:gridCol w:w="5475"/>
      </w:tblGrid>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29"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5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5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3" w:hRule="exact"/>
        </w:trPr>
        <w:tc>
          <w:tcPr>
            <w:tcW w:w="4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5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bl>
    <w:p>
      <w:pPr>
        <w:pStyle w:val="BodyText"/>
        <w:spacing w:line="240" w:lineRule="auto" w:before="67"/>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其他关联方情况" w:id="453"/>
      <w:bookmarkEnd w:id="45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165"/>
        <w:gridCol w:w="5413"/>
      </w:tblGrid>
      <w:tr>
        <w:trPr>
          <w:trHeight w:val="402" w:hRule="exact"/>
        </w:trPr>
        <w:tc>
          <w:tcPr>
            <w:tcW w:w="4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1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以上的自然人股东、董事、总经理</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以上的自然人股东、董事长</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本公司董事、副总经理、董事会秘书</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本公司监事会主席</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bl>
    <w:p>
      <w:pPr>
        <w:spacing w:after="0" w:line="240" w:lineRule="auto"/>
        <w:jc w:val="left"/>
        <w:rPr>
          <w:rFonts w:ascii="宋体" w:hAnsi="宋体" w:cs="宋体" w:eastAsia="宋体" w:hint="default"/>
          <w:sz w:val="18"/>
          <w:szCs w:val="18"/>
        </w:rPr>
        <w:sectPr>
          <w:headerReference w:type="default" r:id="rId30"/>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165"/>
        <w:gridCol w:w="5413"/>
      </w:tblGrid>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北京银汉创业投资有限公司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以上股份的法人股东</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中关村兴业（北京）投资管理有限公司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北京银汉创业投资有限公司控股方</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西藏灿煊企业管理合伙企业（有限合伙）</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关联自然人（李铠）控制的企业</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成都加华科技股份有限公司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关联自然人（李铠）控制的企业西藏灿煊持有其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33.33%</w:t>
            </w:r>
            <w:r>
              <w:rPr>
                <w:rFonts w:ascii="宋体" w:hAnsi="宋体" w:cs="宋体" w:eastAsia="宋体" w:hint="default"/>
                <w:sz w:val="18"/>
                <w:szCs w:val="18"/>
              </w:rPr>
              <w:t>股权</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北京奥利伊蕾科技有限责任公司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关联自然人（罗云波配偶赵寅鸿）持股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47%</w:t>
            </w:r>
            <w:r>
              <w:rPr>
                <w:rFonts w:ascii="宋体" w:hAnsi="宋体" w:cs="宋体" w:eastAsia="宋体" w:hint="default"/>
                <w:sz w:val="18"/>
                <w:szCs w:val="18"/>
              </w:rPr>
              <w:t>并担任副董事长的企业</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关联自然人（苏文力）担任独立董事的企业</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金生无忧信息技术有限责任公司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关联自然人（苏文力）担任董事的企业</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创业黑马科技集团股份有限公司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青矩技术股份有限公司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个月内担任独立董事的企业</w:t>
            </w:r>
          </w:p>
        </w:tc>
      </w:tr>
      <w:tr>
        <w:trPr>
          <w:trHeight w:val="4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个月内担任独立董事的企业</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交易情况" w:id="454"/>
      <w:bookmarkEnd w:id="45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购销商品、提供和接受劳务的关联交易" w:id="455"/>
      <w:bookmarkEnd w:id="45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成都加华科技股 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设备及其配</w:t>
            </w:r>
            <w:r>
              <w:rPr>
                <w:rFonts w:ascii="宋体" w:hAnsi="宋体" w:cs="宋体" w:eastAsia="宋体" w:hint="default"/>
                <w:w w:val="99"/>
                <w:sz w:val="18"/>
                <w:szCs w:val="18"/>
              </w:rPr>
              <w:t> </w:t>
            </w:r>
            <w:r>
              <w:rPr>
                <w:rFonts w:ascii="宋体" w:hAnsi="宋体" w:cs="宋体" w:eastAsia="宋体" w:hint="default"/>
                <w:sz w:val="18"/>
                <w:szCs w:val="18"/>
              </w:rPr>
              <w:t>件采购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1,324,955.74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1,801,926.86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北京海同科技有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软件采购</w:t>
            </w:r>
            <w:r>
              <w:rPr>
                <w:rFonts w:ascii="Times New Roman" w:hAnsi="Times New Roman" w:cs="Times New Roman" w:eastAsia="Times New Roman" w:hint="default"/>
                <w:sz w:val="18"/>
                <w:szCs w:val="18"/>
              </w:rPr>
              <w:t>/</w:t>
            </w:r>
            <w:r>
              <w:rPr>
                <w:rFonts w:ascii="宋体" w:hAnsi="宋体" w:cs="宋体" w:eastAsia="宋体" w:hint="default"/>
                <w:sz w:val="18"/>
                <w:szCs w:val="18"/>
              </w:rPr>
              <w:t>开发、 维护服务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4,755,147.55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5,500,000.00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779,887.85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北京泛融科技有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软件采购</w:t>
            </w:r>
            <w:r>
              <w:rPr>
                <w:rFonts w:ascii="Times New Roman" w:hAnsi="Times New Roman" w:cs="Times New Roman" w:eastAsia="Times New Roman" w:hint="default"/>
                <w:sz w:val="18"/>
                <w:szCs w:val="18"/>
              </w:rPr>
              <w:t>/</w:t>
            </w:r>
            <w:r>
              <w:rPr>
                <w:rFonts w:ascii="宋体" w:hAnsi="宋体" w:cs="宋体" w:eastAsia="宋体" w:hint="default"/>
                <w:sz w:val="18"/>
                <w:szCs w:val="18"/>
              </w:rPr>
              <w:t>开发、 维护服务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1,801,926.86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关联受托管理/承包及委托管理/出包情况" w:id="456"/>
      <w:bookmarkEnd w:id="45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关联租赁情况" w:id="457"/>
      <w:bookmarkEnd w:id="45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关联担保情况" w:id="458"/>
      <w:bookmarkEnd w:id="45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本公司作为担保方</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53"/>
        <w:gridCol w:w="1363"/>
        <w:gridCol w:w="1764"/>
        <w:gridCol w:w="1750"/>
        <w:gridCol w:w="1320"/>
      </w:tblGrid>
      <w:tr>
        <w:trPr>
          <w:trHeight w:val="715" w:hRule="exact"/>
        </w:trPr>
        <w:tc>
          <w:tcPr>
            <w:tcW w:w="3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5" w:right="113"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363"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林鸿、李铠、朱胡勇、金鳞、罗云波、 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30,592,153.65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林鸿、李铠、朱胡勇、金鳞、罗云波、 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62,359,130.56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林鸿、李铠、朱胡勇、金鳞、罗云波、 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7,048,715.79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林鸿、李铠、朱胡勇、金鳞、罗云波、 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34,147,904.63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林鸿、李铠、朱胡勇、金鳞、罗云波、 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35,259,941.72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林鸿、李铠、朱胡勇、罗云波、金麟、 吴文胜、杨格平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7"/>
              <w:jc w:val="left"/>
              <w:rPr>
                <w:rFonts w:ascii="宋体" w:hAnsi="宋体" w:cs="宋体" w:eastAsia="宋体" w:hint="default"/>
                <w:sz w:val="18"/>
                <w:szCs w:val="18"/>
              </w:rPr>
            </w:pPr>
            <w:r>
              <w:rPr>
                <w:rFonts w:ascii="宋体" w:hAnsi="宋体" w:cs="宋体" w:eastAsia="宋体" w:hint="default"/>
                <w:sz w:val="18"/>
                <w:szCs w:val="18"/>
              </w:rPr>
              <w:t>林鸿、李铠、朱胡勇、罗云波、金麟、 吴文胜、杨格平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林鸿、李铠、朱胡勇、罗云波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林鸿、李铠、朱胡勇、罗云波、金麟、 吴文胜、杨格平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pacing w:val="-7"/>
                <w:sz w:val="18"/>
                <w:szCs w:val="18"/>
              </w:rPr>
              <w:t>林鸿、李铠、朱胡勇、罗云波、吴文胜、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杨格平、庄云江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7"/>
                <w:sz w:val="18"/>
                <w:szCs w:val="18"/>
              </w:rPr>
              <w:t>林鸿、李铠、朱胡勇、庄云江、罗云波、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pacing w:val="-7"/>
                <w:sz w:val="18"/>
                <w:szCs w:val="18"/>
              </w:rPr>
              <w:t>林鸿、李铠、朱胡勇、庄云江、罗云波、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林鸿、李铠、朱胡勇、罗云波、金麟、 吴文胜、杨格平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16,261,818.06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8"/>
              <w:jc w:val="left"/>
              <w:rPr>
                <w:rFonts w:ascii="宋体" w:hAnsi="宋体" w:cs="宋体" w:eastAsia="宋体" w:hint="default"/>
                <w:sz w:val="18"/>
                <w:szCs w:val="18"/>
              </w:rPr>
            </w:pPr>
            <w:r>
              <w:rPr>
                <w:rFonts w:ascii="宋体" w:hAnsi="宋体" w:cs="宋体" w:eastAsia="宋体" w:hint="default"/>
                <w:sz w:val="18"/>
                <w:szCs w:val="18"/>
              </w:rPr>
              <w:t>林鸿、李铠、朱胡勇、罗云波、金麟、 吴文胜、杨格平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3,738,181.94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7"/>
                <w:sz w:val="18"/>
                <w:szCs w:val="18"/>
              </w:rPr>
              <w:t>林鸿、李铠、朱胡勇、庄云江、罗云波、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pacing w:val="-7"/>
                <w:sz w:val="18"/>
                <w:szCs w:val="18"/>
              </w:rPr>
              <w:t>林鸿、李铠、朱胡勇、庄云江、罗云波、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pacing w:val="-7"/>
                <w:sz w:val="18"/>
                <w:szCs w:val="18"/>
              </w:rPr>
              <w:t>林鸿、李铠、朱胡勇、庄云江、罗云波、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253"/>
        <w:gridCol w:w="1363"/>
        <w:gridCol w:w="1764"/>
        <w:gridCol w:w="1750"/>
        <w:gridCol w:w="1320"/>
      </w:tblGrid>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15,087,182.11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23,114,148.29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11,798,669.60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32,658,260.00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17,341,740.00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36,924,235.20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17,114,722.73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25,393,075.36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16,923,230.32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1,779,206.30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14,147,904.63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5,319,244.48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24,878,094.56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28,099,775.16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3,875,550.03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14,147,904.63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3,644,736.39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16,923,230.32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李铠、林鸿、罗云波、朱胡勇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15,341,507.50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李铠、林鸿、罗云波、朱胡勇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34,650,000.00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李铠、林鸿、罗云波、朱胡勇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李铠、林鸿、罗云波、朱胡勇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李铠、林鸿、罗云波、朱胡勇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363"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林鸿、李铠、朱胡勇、罗云波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林鸿 </w:t>
            </w:r>
            <w:r>
              <w:rPr>
                <w:rFonts w:ascii="宋体" w:hAnsi="宋体" w:cs="宋体" w:eastAsia="宋体" w:hint="default"/>
                <w:spacing w:val="-13"/>
                <w:sz w:val="18"/>
                <w:szCs w:val="18"/>
              </w:rPr>
              <w:t>、罗云波 </w:t>
            </w:r>
            <w:r>
              <w:rPr>
                <w:rFonts w:ascii="宋体" w:hAnsi="宋体" w:cs="宋体" w:eastAsia="宋体" w:hint="default"/>
                <w:spacing w:val="-14"/>
                <w:sz w:val="18"/>
                <w:szCs w:val="18"/>
              </w:rPr>
              <w:t>、朱胡勇、吴文胜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李</w:t>
            </w:r>
            <w:r>
              <w:rPr>
                <w:rFonts w:ascii="宋体" w:hAnsi="宋体" w:cs="宋体" w:eastAsia="宋体" w:hint="default"/>
                <w:sz w:val="18"/>
                <w:szCs w:val="18"/>
              </w:rPr>
              <w:t> 铠</w:t>
            </w:r>
            <w:r>
              <w:rPr>
                <w:rFonts w:ascii="宋体" w:hAnsi="宋体" w:cs="宋体" w:eastAsia="宋体" w:hint="default"/>
                <w:spacing w:val="1"/>
                <w:sz w:val="18"/>
                <w:szCs w:val="18"/>
              </w:rPr>
              <w:t> </w:t>
            </w:r>
            <w:r>
              <w:rPr>
                <w:rFonts w:ascii="宋体" w:hAnsi="宋体" w:cs="宋体" w:eastAsia="宋体" w:hint="default"/>
                <w:sz w:val="18"/>
                <w:szCs w:val="18"/>
              </w:rPr>
              <w:t>、杨格平、庄云江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林鸿 </w:t>
            </w:r>
            <w:r>
              <w:rPr>
                <w:rFonts w:ascii="宋体" w:hAnsi="宋体" w:cs="宋体" w:eastAsia="宋体" w:hint="default"/>
                <w:spacing w:val="-13"/>
                <w:sz w:val="18"/>
                <w:szCs w:val="18"/>
              </w:rPr>
              <w:t>、罗云波 </w:t>
            </w:r>
            <w:r>
              <w:rPr>
                <w:rFonts w:ascii="宋体" w:hAnsi="宋体" w:cs="宋体" w:eastAsia="宋体" w:hint="default"/>
                <w:spacing w:val="-14"/>
                <w:sz w:val="18"/>
                <w:szCs w:val="18"/>
              </w:rPr>
              <w:t>、朱胡勇、吴文胜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李</w:t>
            </w:r>
            <w:r>
              <w:rPr>
                <w:rFonts w:ascii="宋体" w:hAnsi="宋体" w:cs="宋体" w:eastAsia="宋体" w:hint="default"/>
                <w:sz w:val="18"/>
                <w:szCs w:val="18"/>
              </w:rPr>
              <w:t> 铠</w:t>
            </w:r>
            <w:r>
              <w:rPr>
                <w:rFonts w:ascii="宋体" w:hAnsi="宋体" w:cs="宋体" w:eastAsia="宋体" w:hint="default"/>
                <w:spacing w:val="1"/>
                <w:sz w:val="18"/>
                <w:szCs w:val="18"/>
              </w:rPr>
              <w:t> </w:t>
            </w:r>
            <w:r>
              <w:rPr>
                <w:rFonts w:ascii="宋体" w:hAnsi="宋体" w:cs="宋体" w:eastAsia="宋体" w:hint="default"/>
                <w:sz w:val="18"/>
                <w:szCs w:val="18"/>
              </w:rPr>
              <w:t>、杨格平、庄云江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9,458,114.80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林鸿 </w:t>
            </w:r>
            <w:r>
              <w:rPr>
                <w:rFonts w:ascii="宋体" w:hAnsi="宋体" w:cs="宋体" w:eastAsia="宋体" w:hint="default"/>
                <w:spacing w:val="-13"/>
                <w:sz w:val="18"/>
                <w:szCs w:val="18"/>
              </w:rPr>
              <w:t>、罗云波 </w:t>
            </w:r>
            <w:r>
              <w:rPr>
                <w:rFonts w:ascii="宋体" w:hAnsi="宋体" w:cs="宋体" w:eastAsia="宋体" w:hint="default"/>
                <w:spacing w:val="-14"/>
                <w:sz w:val="18"/>
                <w:szCs w:val="18"/>
              </w:rPr>
              <w:t>、朱胡勇、吴文胜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李</w:t>
            </w:r>
            <w:r>
              <w:rPr>
                <w:rFonts w:ascii="宋体" w:hAnsi="宋体" w:cs="宋体" w:eastAsia="宋体" w:hint="default"/>
                <w:sz w:val="18"/>
                <w:szCs w:val="18"/>
              </w:rPr>
              <w:t> 铠</w:t>
            </w:r>
            <w:r>
              <w:rPr>
                <w:rFonts w:ascii="宋体" w:hAnsi="宋体" w:cs="宋体" w:eastAsia="宋体" w:hint="default"/>
                <w:spacing w:val="1"/>
                <w:sz w:val="18"/>
                <w:szCs w:val="18"/>
              </w:rPr>
              <w:t> </w:t>
            </w:r>
            <w:r>
              <w:rPr>
                <w:rFonts w:ascii="宋体" w:hAnsi="宋体" w:cs="宋体" w:eastAsia="宋体" w:hint="default"/>
                <w:sz w:val="18"/>
                <w:szCs w:val="18"/>
              </w:rPr>
              <w:t>、杨格平、庄云江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9,352,391.30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林鸿 </w:t>
            </w:r>
            <w:r>
              <w:rPr>
                <w:rFonts w:ascii="宋体" w:hAnsi="宋体" w:cs="宋体" w:eastAsia="宋体" w:hint="default"/>
                <w:spacing w:val="-13"/>
                <w:sz w:val="18"/>
                <w:szCs w:val="18"/>
              </w:rPr>
              <w:t>、罗云波 </w:t>
            </w:r>
            <w:r>
              <w:rPr>
                <w:rFonts w:ascii="宋体" w:hAnsi="宋体" w:cs="宋体" w:eastAsia="宋体" w:hint="default"/>
                <w:spacing w:val="-14"/>
                <w:sz w:val="18"/>
                <w:szCs w:val="18"/>
              </w:rPr>
              <w:t>、朱胡勇、吴文胜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李</w:t>
            </w:r>
            <w:r>
              <w:rPr>
                <w:rFonts w:ascii="宋体" w:hAnsi="宋体" w:cs="宋体" w:eastAsia="宋体" w:hint="default"/>
                <w:sz w:val="18"/>
                <w:szCs w:val="18"/>
              </w:rPr>
              <w:t> 铠</w:t>
            </w:r>
            <w:r>
              <w:rPr>
                <w:rFonts w:ascii="宋体" w:hAnsi="宋体" w:cs="宋体" w:eastAsia="宋体" w:hint="default"/>
                <w:spacing w:val="1"/>
                <w:sz w:val="18"/>
                <w:szCs w:val="18"/>
              </w:rPr>
              <w:t> </w:t>
            </w:r>
            <w:r>
              <w:rPr>
                <w:rFonts w:ascii="宋体" w:hAnsi="宋体" w:cs="宋体" w:eastAsia="宋体" w:hint="default"/>
                <w:sz w:val="18"/>
                <w:szCs w:val="18"/>
              </w:rPr>
              <w:t>、杨格平、庄云江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r>
              <w:rPr>
                <w:rFonts w:ascii="宋体" w:hAnsi="宋体" w:cs="宋体" w:eastAsia="宋体" w:hint="default"/>
                <w:spacing w:val="1"/>
                <w:sz w:val="18"/>
                <w:szCs w:val="18"/>
              </w:rPr>
              <w:t> </w:t>
            </w:r>
            <w:r>
              <w:rPr>
                <w:rFonts w:ascii="宋体" w:hAnsi="宋体" w:cs="宋体" w:eastAsia="宋体" w:hint="default"/>
                <w:sz w:val="18"/>
                <w:szCs w:val="18"/>
              </w:rPr>
              <w:t>、崔静萱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32,658,260.00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253"/>
        <w:gridCol w:w="1363"/>
        <w:gridCol w:w="1764"/>
        <w:gridCol w:w="1750"/>
        <w:gridCol w:w="1320"/>
      </w:tblGrid>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r>
              <w:rPr>
                <w:rFonts w:ascii="宋体" w:hAnsi="宋体" w:cs="宋体" w:eastAsia="宋体" w:hint="default"/>
                <w:spacing w:val="1"/>
                <w:sz w:val="18"/>
                <w:szCs w:val="18"/>
              </w:rPr>
              <w:t> </w:t>
            </w:r>
            <w:r>
              <w:rPr>
                <w:rFonts w:ascii="宋体" w:hAnsi="宋体" w:cs="宋体" w:eastAsia="宋体" w:hint="default"/>
                <w:sz w:val="18"/>
                <w:szCs w:val="18"/>
              </w:rPr>
              <w:t>、崔静萱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17,341,740.00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pacing w:val="-7"/>
                <w:sz w:val="18"/>
                <w:szCs w:val="18"/>
              </w:rPr>
              <w:t>林鸿、李铠、朱胡勇、罗云波、庄云江、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杨格平、吴文胜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19,434,466.74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9,623,042.40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8,019,202.00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22,453,765.60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9,903,990.00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5,569,651.49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left"/>
              <w:rPr>
                <w:rFonts w:ascii="宋体" w:hAnsi="宋体" w:cs="宋体" w:eastAsia="宋体" w:hint="default"/>
                <w:sz w:val="18"/>
                <w:szCs w:val="18"/>
              </w:rPr>
            </w:pPr>
            <w:r>
              <w:rPr>
                <w:rFonts w:ascii="宋体" w:hAnsi="宋体" w:cs="宋体" w:eastAsia="宋体" w:hint="default"/>
                <w:spacing w:val="-2"/>
                <w:sz w:val="18"/>
                <w:szCs w:val="18"/>
              </w:rPr>
              <w:t>庄云江、罗云波、林鸿、吴文胜、朱胡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勇、李铠、杨格平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方资金拆借" w:id="459"/>
      <w:bookmarkEnd w:id="45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关联方资产转让、债务重组情况" w:id="460"/>
      <w:bookmarkEnd w:id="46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7）关键管理人员报酬" w:id="461"/>
      <w:bookmarkEnd w:id="46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5,205,053.00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4,534,638.00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8）其他关联交易" w:id="462"/>
      <w:bookmarkEnd w:id="46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关联方应收应付款项" w:id="463"/>
      <w:bookmarkEnd w:id="46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项目" w:id="464"/>
      <w:bookmarkEnd w:id="46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2081"/>
        <w:gridCol w:w="1594"/>
        <w:gridCol w:w="1344"/>
        <w:gridCol w:w="1594"/>
        <w:gridCol w:w="1318"/>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2081"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692,784.42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266,556.46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162,269.42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692,784.42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428,825.88</w:t>
            </w: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应付项目" w:id="465"/>
      <w:bookmarkEnd w:id="46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成都加华科技股份有限公司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成都加华科技股份有限公司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1,497,200.00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1,052,332.00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4,514,471.05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6,087,671.05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1,052,332.00</w:t>
            </w:r>
          </w:p>
        </w:tc>
      </w:tr>
    </w:tbl>
    <w:p>
      <w:pPr>
        <w:spacing w:line="240" w:lineRule="auto" w:before="3"/>
        <w:rPr>
          <w:rFonts w:ascii="宋体" w:hAnsi="宋体" w:cs="宋体" w:eastAsia="宋体" w:hint="default"/>
          <w:sz w:val="19"/>
          <w:szCs w:val="19"/>
        </w:rPr>
      </w:pPr>
    </w:p>
    <w:p>
      <w:pPr>
        <w:pStyle w:val="Heading4"/>
        <w:spacing w:line="506" w:lineRule="auto" w:before="36"/>
        <w:ind w:left="533" w:right="9384" w:hanging="421"/>
        <w:jc w:val="left"/>
        <w:rPr>
          <w:rFonts w:ascii="宋体" w:hAnsi="宋体" w:cs="宋体" w:eastAsia="宋体" w:hint="default"/>
          <w:b w:val="0"/>
          <w:bCs w:val="0"/>
        </w:rPr>
      </w:pPr>
      <w:bookmarkStart w:name="7、关联方承诺" w:id="466"/>
      <w:bookmarkEnd w:id="466"/>
      <w:r>
        <w:rPr>
          <w:b w:val="0"/>
          <w:bCs w:val="0"/>
        </w:rPr>
      </w:r>
      <w:r>
        <w:rPr>
          <w:rFonts w:ascii="Times New Roman" w:hAnsi="Times New Roman" w:cs="Times New Roman" w:eastAsia="Times New Roman" w:hint="default"/>
        </w:rPr>
        <w:t>7</w:t>
      </w:r>
      <w:r>
        <w:rPr/>
        <w:t>、关联方承诺</w:t>
      </w:r>
      <w:r>
        <w:rPr>
          <w:spacing w:val="-103"/>
        </w:rPr>
        <w:t> </w:t>
      </w:r>
      <w:r>
        <w:rPr>
          <w:rFonts w:ascii="宋体" w:hAnsi="宋体" w:cs="宋体" w:eastAsia="宋体" w:hint="default"/>
          <w:b w:val="0"/>
          <w:bCs w:val="0"/>
        </w:rPr>
        <w:t>无。</w:t>
      </w:r>
    </w:p>
    <w:p>
      <w:pPr>
        <w:spacing w:line="487" w:lineRule="auto" w:before="104"/>
        <w:ind w:left="112" w:right="8752" w:firstLine="0"/>
        <w:jc w:val="left"/>
        <w:rPr>
          <w:rFonts w:ascii="宋体" w:hAnsi="宋体" w:cs="宋体" w:eastAsia="宋体" w:hint="default"/>
          <w:sz w:val="21"/>
          <w:szCs w:val="21"/>
        </w:rPr>
      </w:pPr>
      <w:bookmarkStart w:name="8、其他" w:id="467"/>
      <w:bookmarkEnd w:id="4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68"/>
      <w:bookmarkEnd w:id="468"/>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t>√ 适用 □</w:t>
      </w:r>
      <w:r>
        <w:rPr>
          <w:spacing w:val="3"/>
        </w:rPr>
        <w:t> </w:t>
      </w:r>
      <w:r>
        <w:rPr/>
        <w:t>不适用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5,195,484.00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525,930.00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限制性股票授予的回购价格由 </w:t>
            </w:r>
            <w:r>
              <w:rPr>
                <w:rFonts w:ascii="Times New Roman" w:hAnsi="Times New Roman" w:cs="Times New Roman" w:eastAsia="Times New Roman" w:hint="default"/>
                <w:sz w:val="18"/>
                <w:szCs w:val="18"/>
              </w:rPr>
              <w:t>11.19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以权益结算的股份支付情况" w:id="470"/>
      <w:bookmarkEnd w:id="47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71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50"/>
              <w:jc w:val="left"/>
              <w:rPr>
                <w:rFonts w:ascii="宋体" w:hAnsi="宋体" w:cs="宋体" w:eastAsia="宋体" w:hint="default"/>
                <w:sz w:val="18"/>
                <w:szCs w:val="18"/>
              </w:rPr>
            </w:pPr>
            <w:r>
              <w:rPr>
                <w:rFonts w:ascii="宋体" w:hAnsi="宋体" w:cs="宋体" w:eastAsia="宋体" w:hint="default"/>
                <w:sz w:val="18"/>
                <w:szCs w:val="18"/>
              </w:rPr>
              <w:t>授予日限制性股票的公允价值基于授予日当天标的股票 的收盘价与授予价格的差价确定。</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50"/>
              <w:jc w:val="left"/>
              <w:rPr>
                <w:rFonts w:ascii="宋体" w:hAnsi="宋体" w:cs="宋体" w:eastAsia="宋体" w:hint="default"/>
                <w:sz w:val="18"/>
                <w:szCs w:val="18"/>
              </w:rPr>
            </w:pPr>
            <w:r>
              <w:rPr>
                <w:rFonts w:ascii="宋体" w:hAnsi="宋体" w:cs="宋体" w:eastAsia="宋体" w:hint="default"/>
                <w:sz w:val="18"/>
                <w:szCs w:val="18"/>
              </w:rPr>
              <w:t>根据每个考核年度业绩指标完成情况和可行权与可解锁 人数变动等后续信息进行确定。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7,247,031.56</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6,549,489.73</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以现金结算的股份支付情况" w:id="471"/>
      <w:bookmarkEnd w:id="47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股份支付的修改、终止情况" w:id="472"/>
      <w:bookmarkEnd w:id="47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日，公司第三届董事会 </w:t>
      </w:r>
      <w:r>
        <w:rPr>
          <w:rFonts w:ascii="宋体" w:hAnsi="宋体" w:cs="宋体" w:eastAsia="宋体" w:hint="default"/>
        </w:rPr>
        <w:t>2019 </w:t>
      </w:r>
      <w:r>
        <w:rPr/>
        <w:t>年第三次临时会议和第三届监事会 </w:t>
      </w:r>
      <w:r>
        <w:rPr>
          <w:rFonts w:ascii="宋体" w:hAnsi="宋体" w:cs="宋体" w:eastAsia="宋体" w:hint="default"/>
        </w:rPr>
        <w:t>2019</w:t>
      </w:r>
      <w:r>
        <w:rPr>
          <w:rFonts w:ascii="宋体" w:hAnsi="宋体" w:cs="宋体" w:eastAsia="宋体" w:hint="default"/>
          <w:spacing w:val="-7"/>
        </w:rPr>
        <w:t> </w:t>
      </w:r>
      <w:r>
        <w:rPr/>
        <w:t>年第三次临时会议审议通过了《关</w:t>
      </w:r>
    </w:p>
    <w:p>
      <w:pPr>
        <w:pStyle w:val="BodyText"/>
        <w:spacing w:line="319" w:lineRule="auto" w:before="76"/>
        <w:ind w:right="1130"/>
        <w:jc w:val="both"/>
      </w:pPr>
      <w:r>
        <w:rPr/>
        <w:t>于调整 </w:t>
      </w:r>
      <w:r>
        <w:rPr>
          <w:rFonts w:ascii="宋体" w:hAnsi="宋体" w:cs="宋体" w:eastAsia="宋体" w:hint="default"/>
        </w:rPr>
        <w:t>2018</w:t>
      </w:r>
      <w:r>
        <w:rPr>
          <w:rFonts w:ascii="宋体" w:hAnsi="宋体" w:cs="宋体" w:eastAsia="宋体" w:hint="default"/>
          <w:spacing w:val="9"/>
        </w:rPr>
        <w:t> </w:t>
      </w:r>
      <w:r>
        <w:rPr>
          <w:spacing w:val="-2"/>
        </w:rPr>
        <w:t>年限制性股票激励计划授予权益数量和回购价格的议案》，由于公司实施了</w:t>
      </w:r>
      <w:r>
        <w:rPr>
          <w:rFonts w:ascii="宋体" w:hAnsi="宋体" w:cs="宋体" w:eastAsia="宋体" w:hint="default"/>
          <w:spacing w:val="-2"/>
        </w:rPr>
        <w:t>2017</w:t>
      </w:r>
      <w:r>
        <w:rPr>
          <w:spacing w:val="-2"/>
        </w:rPr>
        <w:t>年度权益分派及</w:t>
      </w:r>
      <w:r>
        <w:rPr>
          <w:rFonts w:ascii="宋体" w:hAnsi="宋体" w:cs="宋体" w:eastAsia="宋体" w:hint="default"/>
          <w:spacing w:val="-2"/>
        </w:rPr>
        <w:t>2018</w:t>
      </w:r>
      <w:r>
        <w:rPr>
          <w:spacing w:val="-2"/>
        </w:rPr>
        <w:t>年度权益</w:t>
      </w:r>
      <w:r>
        <w:rPr/>
        <w:t> 分派，决定对</w:t>
      </w:r>
      <w:r>
        <w:rPr>
          <w:rFonts w:ascii="宋体" w:hAnsi="宋体" w:cs="宋体" w:eastAsia="宋体" w:hint="default"/>
        </w:rPr>
        <w:t>2018</w:t>
      </w:r>
      <w:r>
        <w:rPr/>
        <w:t>年限制性股票激励计划中的授予权益数量和回购价格进行调整。调整后，授予的股份数量由</w:t>
      </w:r>
      <w:r>
        <w:rPr>
          <w:rFonts w:ascii="宋体" w:hAnsi="宋体" w:cs="宋体" w:eastAsia="宋体" w:hint="default"/>
        </w:rPr>
        <w:t>1,167,000</w:t>
      </w:r>
      <w:r>
        <w:rPr/>
        <w:t>股 调整为</w:t>
      </w:r>
      <w:r>
        <w:rPr>
          <w:rFonts w:ascii="宋体" w:hAnsi="宋体" w:cs="宋体" w:eastAsia="宋体" w:hint="default"/>
        </w:rPr>
        <w:t>1,744,880</w:t>
      </w:r>
      <w:r>
        <w:rPr/>
        <w:t>股，限制性股票的回购价格由</w:t>
      </w:r>
      <w:r>
        <w:rPr>
          <w:rFonts w:ascii="宋体" w:hAnsi="宋体" w:cs="宋体" w:eastAsia="宋体" w:hint="default"/>
        </w:rPr>
        <w:t>11.19</w:t>
      </w:r>
      <w:r>
        <w:rPr/>
        <w:t>元</w:t>
      </w:r>
      <w:r>
        <w:rPr>
          <w:rFonts w:ascii="宋体" w:hAnsi="宋体" w:cs="宋体" w:eastAsia="宋体" w:hint="default"/>
        </w:rPr>
        <w:t>/</w:t>
      </w:r>
      <w:r>
        <w:rPr/>
        <w:t>股调整为</w:t>
      </w:r>
      <w:r>
        <w:rPr>
          <w:rFonts w:ascii="宋体" w:hAnsi="宋体" w:cs="宋体" w:eastAsia="宋体" w:hint="default"/>
        </w:rPr>
        <w:t>7.35</w:t>
      </w:r>
      <w:r>
        <w:rPr/>
        <w:t>元</w:t>
      </w:r>
      <w:r>
        <w:rPr>
          <w:rFonts w:ascii="宋体" w:hAnsi="宋体" w:cs="宋体" w:eastAsia="宋体" w:hint="default"/>
        </w:rPr>
        <w:t>/</w:t>
      </w:r>
      <w:r>
        <w:rPr/>
        <w:t>股；审议通过了《关于回购注销</w:t>
      </w:r>
      <w:r>
        <w:rPr>
          <w:spacing w:val="-43"/>
        </w:rPr>
        <w:t> </w:t>
      </w:r>
      <w:r>
        <w:rPr>
          <w:rFonts w:ascii="宋体" w:hAnsi="宋体" w:cs="宋体" w:eastAsia="宋体" w:hint="default"/>
        </w:rPr>
        <w:t>2018</w:t>
      </w:r>
      <w:r>
        <w:rPr>
          <w:rFonts w:ascii="宋体" w:hAnsi="宋体" w:cs="宋体" w:eastAsia="宋体" w:hint="default"/>
          <w:spacing w:val="-43"/>
        </w:rPr>
        <w:t> </w:t>
      </w:r>
      <w:r>
        <w:rPr/>
        <w:t>年限制性股 </w:t>
      </w:r>
      <w:r>
        <w:rPr>
          <w:spacing w:val="-3"/>
        </w:rPr>
        <w:t>票激励计划部分限制性股票的议案》，鉴于公司</w:t>
      </w:r>
      <w:r>
        <w:rPr>
          <w:rFonts w:ascii="宋体" w:hAnsi="宋体" w:cs="宋体" w:eastAsia="宋体" w:hint="default"/>
          <w:spacing w:val="-3"/>
        </w:rPr>
        <w:t>2018</w:t>
      </w:r>
      <w:r>
        <w:rPr>
          <w:spacing w:val="-3"/>
        </w:rPr>
        <w:t>年限制性股票激励计划中</w:t>
      </w:r>
      <w:r>
        <w:rPr>
          <w:rFonts w:ascii="宋体" w:hAnsi="宋体" w:cs="宋体" w:eastAsia="宋体" w:hint="default"/>
          <w:spacing w:val="-3"/>
        </w:rPr>
        <w:t>5</w:t>
      </w:r>
      <w:r>
        <w:rPr>
          <w:spacing w:val="-3"/>
        </w:rPr>
        <w:t>名激励对象因个人原因离职，根据公司《</w:t>
      </w:r>
      <w:r>
        <w:rPr>
          <w:rFonts w:ascii="宋体" w:hAnsi="宋体" w:cs="宋体" w:eastAsia="宋体" w:hint="default"/>
          <w:spacing w:val="-3"/>
        </w:rPr>
        <w:t>2018</w:t>
      </w:r>
      <w:r>
        <w:rPr>
          <w:rFonts w:ascii="宋体" w:hAnsi="宋体" w:cs="宋体" w:eastAsia="宋体" w:hint="default"/>
        </w:rPr>
        <w:t> </w:t>
      </w:r>
      <w:r>
        <w:rPr/>
        <w:t>年限制性股票激励计划》的规定，已不符合有关激励对象的要求，公司董事会决定对上述</w:t>
      </w:r>
      <w:r>
        <w:rPr>
          <w:rFonts w:ascii="宋体" w:hAnsi="宋体" w:cs="宋体" w:eastAsia="宋体" w:hint="default"/>
        </w:rPr>
        <w:t>5</w:t>
      </w:r>
      <w:r>
        <w:rPr/>
        <w:t>位激励对象已获授但尚未解除限 售的</w:t>
      </w:r>
      <w:r>
        <w:rPr>
          <w:spacing w:val="-44"/>
        </w:rPr>
        <w:t> </w:t>
      </w:r>
      <w:r>
        <w:rPr>
          <w:rFonts w:ascii="宋体" w:hAnsi="宋体" w:cs="宋体" w:eastAsia="宋体" w:hint="default"/>
        </w:rPr>
        <w:t>70,274</w:t>
      </w:r>
      <w:r>
        <w:rPr>
          <w:rFonts w:ascii="宋体" w:hAnsi="宋体" w:cs="宋体" w:eastAsia="宋体" w:hint="default"/>
          <w:spacing w:val="-44"/>
        </w:rPr>
        <w:t> </w:t>
      </w:r>
      <w:r>
        <w:rPr/>
        <w:t>股限制性股票进行回购注销；审议通过了《关于</w:t>
      </w:r>
      <w:r>
        <w:rPr>
          <w:rFonts w:ascii="宋体" w:hAnsi="宋体" w:cs="宋体" w:eastAsia="宋体" w:hint="default"/>
        </w:rPr>
        <w:t>2018</w:t>
      </w:r>
      <w:r>
        <w:rPr/>
        <w:t>年限制性股票激励计划第一个解除限售期解除限售条件成</w:t>
      </w:r>
    </w:p>
    <w:p>
      <w:pPr>
        <w:pStyle w:val="BodyText"/>
        <w:spacing w:line="316" w:lineRule="auto" w:before="17"/>
        <w:ind w:right="1117"/>
        <w:jc w:val="left"/>
      </w:pPr>
      <w:r>
        <w:rPr>
          <w:spacing w:val="-6"/>
        </w:rPr>
        <w:t>就的议案》公司 </w:t>
      </w:r>
      <w:r>
        <w:rPr>
          <w:rFonts w:ascii="宋体" w:hAnsi="宋体" w:cs="宋体" w:eastAsia="宋体" w:hint="default"/>
        </w:rPr>
        <w:t>2018</w:t>
      </w:r>
      <w:r>
        <w:rPr>
          <w:rFonts w:ascii="宋体" w:hAnsi="宋体" w:cs="宋体" w:eastAsia="宋体" w:hint="default"/>
          <w:spacing w:val="-35"/>
        </w:rPr>
        <w:t> </w:t>
      </w:r>
      <w:r>
        <w:rPr/>
        <w:t>年限制性股票激励计划第一个解除限售期可解除限售条件已满足，公司</w:t>
      </w:r>
      <w:r>
        <w:rPr>
          <w:rFonts w:ascii="宋体" w:hAnsi="宋体" w:cs="宋体" w:eastAsia="宋体" w:hint="default"/>
        </w:rPr>
        <w:t>69</w:t>
      </w:r>
      <w:r>
        <w:rPr/>
        <w:t>名激励对象在第一个解除限 售期可解除限售的限制性股票数量为</w:t>
      </w:r>
      <w:r>
        <w:rPr>
          <w:rFonts w:ascii="宋体" w:hAnsi="宋体" w:cs="宋体" w:eastAsia="宋体" w:hint="default"/>
        </w:rPr>
        <w:t>502,357</w:t>
      </w:r>
      <w:r>
        <w:rPr>
          <w:rFonts w:ascii="宋体" w:hAnsi="宋体" w:cs="宋体" w:eastAsia="宋体" w:hint="default"/>
          <w:spacing w:val="1"/>
        </w:rPr>
        <w:t> </w:t>
      </w:r>
      <w:r>
        <w:rPr/>
        <w:t>股。</w:t>
      </w:r>
    </w:p>
    <w:p>
      <w:pPr>
        <w:spacing w:line="240" w:lineRule="auto" w:before="10"/>
        <w:rPr>
          <w:rFonts w:ascii="宋体" w:hAnsi="宋体" w:cs="宋体" w:eastAsia="宋体" w:hint="default"/>
          <w:sz w:val="22"/>
          <w:szCs w:val="22"/>
        </w:rPr>
      </w:pPr>
    </w:p>
    <w:p>
      <w:pPr>
        <w:spacing w:line="487" w:lineRule="auto" w:before="0"/>
        <w:ind w:left="112" w:right="8345" w:firstLine="0"/>
        <w:jc w:val="left"/>
        <w:rPr>
          <w:rFonts w:ascii="宋体" w:hAnsi="宋体" w:cs="宋体" w:eastAsia="宋体" w:hint="default"/>
          <w:sz w:val="21"/>
          <w:szCs w:val="21"/>
        </w:rPr>
      </w:pPr>
      <w:bookmarkStart w:name="5、其他" w:id="473"/>
      <w:bookmarkEnd w:id="4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74"/>
      <w:bookmarkEnd w:id="474"/>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left="473" w:right="8414" w:hanging="361"/>
        <w:jc w:val="left"/>
      </w:pPr>
      <w:r>
        <w:rPr/>
        <w:t>资产负债表日存在的重要承诺 无。</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或有事项" w:id="476"/>
      <w:bookmarkEnd w:id="4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资产负债表日存在的重要或有事项" w:id="477"/>
      <w:bookmarkEnd w:id="4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73" w:right="4813"/>
        <w:jc w:val="left"/>
      </w:pPr>
      <w:r>
        <w:rPr>
          <w:rFonts w:ascii="宋体" w:hAnsi="宋体" w:cs="宋体" w:eastAsia="宋体" w:hint="default"/>
        </w:rPr>
        <w:t>1</w:t>
      </w:r>
      <w:r>
        <w:rPr/>
        <w:t>．未结清保函 </w:t>
      </w: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日公司未结清保函金额为</w:t>
      </w:r>
      <w:r>
        <w:rPr>
          <w:rFonts w:ascii="宋体" w:hAnsi="宋体" w:cs="宋体" w:eastAsia="宋体" w:hint="default"/>
          <w:spacing w:val="-1"/>
        </w:rPr>
        <w:t>9,579,919.78</w:t>
      </w:r>
      <w:r>
        <w:rPr>
          <w:spacing w:val="-1"/>
        </w:rPr>
        <w:t>元。</w:t>
      </w:r>
      <w:r>
        <w:rPr>
          <w:spacing w:val="-65"/>
        </w:rPr>
        <w:t> </w:t>
      </w:r>
      <w:r>
        <w:rPr>
          <w:rFonts w:ascii="宋体" w:hAnsi="宋体" w:cs="宋体" w:eastAsia="宋体" w:hint="default"/>
        </w:rPr>
        <w:t>2</w:t>
      </w:r>
      <w:r>
        <w:rPr/>
        <w:t>．未决诉讼</w:t>
      </w:r>
    </w:p>
    <w:p>
      <w:pPr>
        <w:pStyle w:val="BodyText"/>
        <w:spacing w:line="240" w:lineRule="auto" w:before="19"/>
        <w:ind w:left="473" w:right="1133"/>
        <w:jc w:val="left"/>
      </w:pPr>
      <w:r>
        <w:rPr/>
        <w:t>（</w:t>
      </w:r>
      <w:r>
        <w:rPr>
          <w:rFonts w:ascii="宋体" w:hAnsi="宋体" w:cs="宋体" w:eastAsia="宋体" w:hint="default"/>
        </w:rPr>
        <w:t>1</w:t>
      </w:r>
      <w:r>
        <w:rPr/>
        <w:t>）马鞍山万达广场投资有限公司买卖合同纠纷</w:t>
      </w:r>
    </w:p>
    <w:p>
      <w:pPr>
        <w:pStyle w:val="BodyText"/>
        <w:spacing w:line="319" w:lineRule="auto" w:before="76"/>
        <w:ind w:right="1132" w:firstLine="360"/>
        <w:jc w:val="both"/>
      </w:pPr>
      <w:r>
        <w:rPr/>
        <w:t>仲裁被申请人马鞍山万达广场投资有限公司违反</w:t>
      </w:r>
      <w:r>
        <w:rPr>
          <w:spacing w:val="-1"/>
        </w:rPr>
        <w:t> </w:t>
      </w:r>
      <w:r>
        <w:rPr>
          <w:rFonts w:ascii="宋体" w:hAnsi="宋体" w:cs="宋体" w:eastAsia="宋体" w:hint="default"/>
        </w:rPr>
        <w:t>wifi</w:t>
      </w:r>
      <w:r>
        <w:rPr/>
        <w:t>项目项下合同约定，逾期支付合同价款，已构成违约，应当依法 </w:t>
      </w:r>
      <w:r>
        <w:rPr>
          <w:spacing w:val="-2"/>
        </w:rPr>
        <w:t>赔偿由此违约行为给本公司造成的实际损失。本公司依据仲裁法及仲裁规则规定，请求北京仲裁委员会依法裁决马鞍山万达</w:t>
      </w:r>
      <w:r>
        <w:rPr>
          <w:spacing w:val="-64"/>
        </w:rPr>
        <w:t> </w:t>
      </w:r>
      <w:r>
        <w:rPr>
          <w:spacing w:val="-64"/>
        </w:rPr>
      </w:r>
      <w:r>
        <w:rPr/>
        <w:t>支付拖欠合同价款本金并赔偿本公司损失共计人民币</w:t>
      </w:r>
      <w:r>
        <w:rPr>
          <w:rFonts w:ascii="宋体" w:hAnsi="宋体" w:cs="宋体" w:eastAsia="宋体" w:hint="default"/>
        </w:rPr>
        <w:t>170,767.05</w:t>
      </w:r>
      <w:r>
        <w:rPr/>
        <w:t>元。截至本报告期披露日尚未有仲裁结果。</w:t>
      </w:r>
    </w:p>
    <w:p>
      <w:pPr>
        <w:pStyle w:val="BodyText"/>
        <w:spacing w:line="316" w:lineRule="auto" w:before="17"/>
        <w:ind w:left="473" w:right="1129"/>
        <w:jc w:val="left"/>
      </w:pPr>
      <w:r>
        <w:rPr/>
        <w:t>（</w:t>
      </w:r>
      <w:r>
        <w:rPr>
          <w:rFonts w:ascii="宋体" w:hAnsi="宋体" w:cs="宋体" w:eastAsia="宋体" w:hint="default"/>
        </w:rPr>
        <w:t>2</w:t>
      </w:r>
      <w:r>
        <w:rPr/>
        <w:t>）万达网络科技有限公司买卖合同纠纷 </w:t>
      </w:r>
      <w:r>
        <w:rPr>
          <w:spacing w:val="-2"/>
        </w:rPr>
        <w:t>仲裁被申请人万达网络科技有限公司违反合作合同的约定，逾期支付合同价款，已构成违约，应当依法赔偿由此违约行</w:t>
      </w:r>
    </w:p>
    <w:p>
      <w:pPr>
        <w:pStyle w:val="BodyText"/>
        <w:spacing w:line="316" w:lineRule="auto" w:before="19"/>
        <w:ind w:right="1129"/>
        <w:jc w:val="left"/>
      </w:pPr>
      <w:r>
        <w:rPr>
          <w:spacing w:val="-2"/>
        </w:rPr>
        <w:t>为给本公司造成的实际损失。本公司依据仲裁法及仲裁规则规定，请求北京仲裁委员会依法裁决万达网络科技支付拖欠合同</w:t>
      </w:r>
      <w:r>
        <w:rPr>
          <w:spacing w:val="-64"/>
        </w:rPr>
        <w:t> </w:t>
      </w:r>
      <w:r>
        <w:rPr>
          <w:spacing w:val="-64"/>
        </w:rPr>
      </w:r>
      <w:r>
        <w:rPr/>
        <w:t>价款本金并赔偿本公司损失共计人民币</w:t>
      </w:r>
      <w:r>
        <w:rPr>
          <w:rFonts w:ascii="宋体" w:hAnsi="宋体" w:cs="宋体" w:eastAsia="宋体" w:hint="default"/>
        </w:rPr>
        <w:t>1,405,063.01</w:t>
      </w:r>
      <w:r>
        <w:rPr/>
        <w:t>元。截至本报告期披露日尚未有仲裁结果。</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公司没有需要披露的重要或有事项，也应予以说明" w:id="478"/>
      <w:bookmarkEnd w:id="4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公司不存在需要披露的重要或有事项。</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7863" w:firstLine="0"/>
        <w:jc w:val="left"/>
        <w:rPr>
          <w:rFonts w:ascii="宋体" w:hAnsi="宋体" w:cs="宋体" w:eastAsia="宋体" w:hint="default"/>
          <w:sz w:val="21"/>
          <w:szCs w:val="21"/>
        </w:rPr>
      </w:pPr>
      <w:bookmarkStart w:name="3、其他" w:id="479"/>
      <w:bookmarkEnd w:id="4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80"/>
      <w:bookmarkEnd w:id="480"/>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81"/>
      <w:bookmarkEnd w:id="48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40" w:lineRule="auto" w:before="84"/>
        <w:ind w:right="1133"/>
        <w:jc w:val="left"/>
        <w:rPr>
          <w:b w:val="0"/>
          <w:bCs w:val="0"/>
        </w:rPr>
      </w:pPr>
      <w:bookmarkStart w:name="2、利润分配情况" w:id="482"/>
      <w:bookmarkEnd w:id="48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销售退回" w:id="483"/>
      <w:bookmarkEnd w:id="48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其他资产负债表日后事项说明" w:id="484"/>
      <w:bookmarkEnd w:id="48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54" w:right="10031"/>
        <w:jc w:val="center"/>
      </w:pPr>
      <w:r>
        <w:rPr/>
        <w:t>无。</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十六、其他重要事项" w:id="485"/>
      <w:bookmarkEnd w:id="485"/>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前期会计差错更正" w:id="486"/>
      <w:bookmarkEnd w:id="48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债务重组" w:id="487"/>
      <w:bookmarkEnd w:id="48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资产置换" w:id="488"/>
      <w:bookmarkEnd w:id="48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年金计划" w:id="489"/>
      <w:bookmarkEnd w:id="48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终止经营" w:id="490"/>
      <w:bookmarkEnd w:id="49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分部信息" w:id="491"/>
      <w:bookmarkEnd w:id="49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7、其他对投资者决策有影响的重要交易和事项" w:id="492"/>
      <w:bookmarkEnd w:id="49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6899" w:firstLine="0"/>
        <w:jc w:val="left"/>
        <w:rPr>
          <w:rFonts w:ascii="宋体" w:hAnsi="宋体" w:cs="宋体" w:eastAsia="宋体" w:hint="default"/>
          <w:sz w:val="21"/>
          <w:szCs w:val="21"/>
        </w:rPr>
      </w:pPr>
      <w:bookmarkStart w:name="8、其他" w:id="493"/>
      <w:bookmarkEnd w:id="4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494"/>
      <w:bookmarkEnd w:id="494"/>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495"/>
      <w:bookmarkEnd w:id="4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2"/>
        <w:ind w:right="1133"/>
        <w:jc w:val="left"/>
        <w:rPr>
          <w:b w:val="0"/>
          <w:bCs w:val="0"/>
        </w:rPr>
      </w:pPr>
      <w:bookmarkStart w:name="（1）应收账款分类披露" w:id="496"/>
      <w:bookmarkEnd w:id="49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505"/>
        <w:gridCol w:w="1085"/>
        <w:gridCol w:w="728"/>
        <w:gridCol w:w="965"/>
        <w:gridCol w:w="694"/>
        <w:gridCol w:w="1128"/>
        <w:gridCol w:w="1075"/>
        <w:gridCol w:w="730"/>
        <w:gridCol w:w="1001"/>
        <w:gridCol w:w="696"/>
        <w:gridCol w:w="1080"/>
      </w:tblGrid>
      <w:tr>
        <w:trPr>
          <w:trHeight w:val="401" w:hRule="exact"/>
        </w:trPr>
        <w:tc>
          <w:tcPr>
            <w:tcW w:w="1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05" w:type="dxa"/>
            <w:vMerge/>
            <w:tcBorders>
              <w:left w:val="single" w:sz="4" w:space="0" w:color="000000"/>
              <w:right w:val="single" w:sz="4" w:space="0" w:color="000000"/>
            </w:tcBorders>
            <w:shd w:val="clear" w:color="auto" w:fill="D2D2D2"/>
          </w:tcPr>
          <w:p>
            <w:pP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505"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60" w:right="16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63" w:right="16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1,158,669.14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0.20%</w:t>
            </w:r>
            <w:r>
              <w:rPr>
                <w:rFonts w:ascii="Times New Roman"/>
                <w:sz w:val="13"/>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73" w:right="0"/>
              <w:jc w:val="center"/>
              <w:rPr>
                <w:rFonts w:ascii="Times New Roman" w:hAnsi="Times New Roman" w:cs="Times New Roman" w:eastAsia="Times New Roman" w:hint="default"/>
                <w:sz w:val="13"/>
                <w:szCs w:val="13"/>
              </w:rPr>
            </w:pPr>
            <w:r>
              <w:rPr>
                <w:rFonts w:ascii="Times New Roman"/>
                <w:sz w:val="13"/>
              </w:rPr>
              <w:t>1,158,669.14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1" w:right="0"/>
              <w:jc w:val="center"/>
              <w:rPr>
                <w:rFonts w:ascii="Times New Roman" w:hAnsi="Times New Roman" w:cs="Times New Roman" w:eastAsia="Times New Roman" w:hint="default"/>
                <w:sz w:val="13"/>
                <w:szCs w:val="13"/>
              </w:rPr>
            </w:pPr>
            <w:r>
              <w:rPr>
                <w:rFonts w:ascii="Times New Roman"/>
                <w:sz w:val="13"/>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z w:val="13"/>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2,309,066.64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0.48%</w:t>
            </w:r>
            <w:r>
              <w:rPr>
                <w:rFonts w:ascii="Times New Roman"/>
                <w:sz w:val="13"/>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2,309,066.64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0.00</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587,081,544.34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99.80%</w:t>
            </w:r>
            <w:r>
              <w:rPr>
                <w:rFonts w:ascii="Times New Roman"/>
                <w:sz w:val="13"/>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9" w:right="0"/>
              <w:jc w:val="center"/>
              <w:rPr>
                <w:rFonts w:ascii="Times New Roman" w:hAnsi="Times New Roman" w:cs="Times New Roman" w:eastAsia="Times New Roman" w:hint="default"/>
                <w:sz w:val="13"/>
                <w:szCs w:val="13"/>
              </w:rPr>
            </w:pPr>
            <w:r>
              <w:rPr>
                <w:rFonts w:ascii="Times New Roman"/>
                <w:sz w:val="13"/>
              </w:rPr>
              <w:t>10,496,394.75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41" w:right="0"/>
              <w:jc w:val="center"/>
              <w:rPr>
                <w:rFonts w:ascii="Times New Roman" w:hAnsi="Times New Roman" w:cs="Times New Roman" w:eastAsia="Times New Roman" w:hint="default"/>
                <w:sz w:val="13"/>
                <w:szCs w:val="13"/>
              </w:rPr>
            </w:pPr>
            <w:r>
              <w:rPr>
                <w:rFonts w:ascii="Times New Roman"/>
                <w:sz w:val="13"/>
              </w:rPr>
              <w:t>1.79%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576,585,149.59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475,547,090.22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99.52%</w:t>
            </w:r>
            <w:r>
              <w:rPr>
                <w:rFonts w:ascii="Times New Roman"/>
                <w:sz w:val="13"/>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9,251,367.67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1.95%</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466,295,722.55</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588,240,213.48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3"/>
                <w:szCs w:val="13"/>
              </w:rPr>
            </w:pPr>
            <w:r>
              <w:rPr>
                <w:rFonts w:ascii="Times New Roman"/>
                <w:sz w:val="13"/>
              </w:rPr>
              <w:t>11,655,063.89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41" w:right="0"/>
              <w:jc w:val="center"/>
              <w:rPr>
                <w:rFonts w:ascii="Times New Roman" w:hAnsi="Times New Roman" w:cs="Times New Roman" w:eastAsia="Times New Roman" w:hint="default"/>
                <w:sz w:val="13"/>
                <w:szCs w:val="13"/>
              </w:rPr>
            </w:pPr>
            <w:r>
              <w:rPr>
                <w:rFonts w:ascii="Times New Roman"/>
                <w:sz w:val="13"/>
              </w:rPr>
              <w:t>1.98%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576,585,149.59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477,856,156.86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pacing w:val="-1"/>
                <w:sz w:val="13"/>
              </w:rPr>
              <w:t>11,560,434.31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2.42%</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466,295,722.55</w:t>
            </w:r>
          </w:p>
        </w:tc>
      </w:tr>
    </w:tbl>
    <w:p>
      <w:pPr>
        <w:pStyle w:val="BodyText"/>
        <w:spacing w:line="240" w:lineRule="auto" w:before="49"/>
        <w:ind w:left="632"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1,158,669.14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2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608,669.14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608,669.14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涉诉款项</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涉诉款项</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1,158,669.14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1,158,669.14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500" w:right="0"/>
        </w:sectPr>
      </w:pPr>
    </w:p>
    <w:p>
      <w:pPr>
        <w:pStyle w:val="BodyText"/>
        <w:spacing w:line="360" w:lineRule="auto" w:before="49"/>
        <w:ind w:left="632" w:right="-17"/>
        <w:jc w:val="left"/>
        <w:rPr>
          <w:rFonts w:ascii="Times New Roman" w:hAnsi="Times New Roman" w:cs="Times New Roman" w:eastAsia="Times New Roman" w:hint="default"/>
        </w:rPr>
      </w:pPr>
      <w:r>
        <w:rPr/>
        <w:t>按单项计提坏账准备： 按组合计提坏账准备：</w:t>
      </w:r>
      <w:r>
        <w:rPr>
          <w:rFonts w:ascii="Times New Roman" w:hAnsi="Times New Roman" w:cs="Times New Roman" w:eastAsia="Times New Roman" w:hint="default"/>
        </w:rPr>
        <w:t>10,496,394.75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632" w:right="0"/>
        <w:jc w:val="left"/>
      </w:pPr>
      <w:r>
        <w:rPr/>
        <w:t>单位：</w:t>
      </w:r>
      <w:r>
        <w:rPr>
          <w:spacing w:val="1"/>
        </w:rPr>
        <w:t> </w:t>
      </w:r>
      <w:r>
        <w:rPr/>
        <w:t>元</w:t>
      </w:r>
    </w:p>
    <w:p>
      <w:pPr>
        <w:spacing w:after="0" w:line="240" w:lineRule="auto"/>
        <w:jc w:val="left"/>
        <w:sectPr>
          <w:type w:val="continuous"/>
          <w:pgSz w:w="11910" w:h="16840"/>
          <w:pgMar w:top="1100" w:bottom="1220" w:left="500" w:right="0"/>
          <w:cols w:num="2" w:equalWidth="0">
            <w:col w:w="3471" w:space="5359"/>
            <w:col w:w="2580"/>
          </w:cols>
        </w:sectPr>
      </w:pPr>
    </w:p>
    <w:p>
      <w:pPr>
        <w:spacing w:line="240" w:lineRule="auto" w:before="4"/>
        <w:rPr>
          <w:rFonts w:ascii="宋体" w:hAnsi="宋体" w:cs="宋体" w:eastAsia="宋体" w:hint="default"/>
          <w:sz w:val="8"/>
          <w:szCs w:val="8"/>
        </w:rPr>
      </w:pPr>
    </w:p>
    <w:tbl>
      <w:tblPr>
        <w:tblW w:w="0" w:type="auto"/>
        <w:jc w:val="left"/>
        <w:tblInd w:w="627"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539,731,357.93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5,397,313.58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21,213,206.17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1,060,660.31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22,740,685.57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2,274,068.56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2,069,885.45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620,965.64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366,045.13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183,022.57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960,364.09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960,364.09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587,081,544.34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10,496,394.75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632" w:right="8774"/>
        <w:jc w:val="left"/>
      </w:pPr>
      <w:r>
        <w:rPr/>
        <w:t>确定该组合依据的说明： 按组合计提坏账准备： 确定该组合依据的说明：</w:t>
      </w:r>
    </w:p>
    <w:p>
      <w:pPr>
        <w:pStyle w:val="BodyText"/>
        <w:spacing w:line="240" w:lineRule="auto" w:before="26"/>
        <w:ind w:left="632" w:right="0"/>
        <w:jc w:val="left"/>
      </w:pPr>
      <w:r>
        <w:rPr/>
        <w:t>如是按照预期信用损失一般模型计提应收账款坏账准备，请参照其他应收款的披露方式披露坏账准备的相关信息：</w:t>
      </w:r>
    </w:p>
    <w:p>
      <w:pPr>
        <w:pStyle w:val="BodyText"/>
        <w:spacing w:line="240" w:lineRule="auto" w:before="117"/>
        <w:ind w:left="632" w:right="0"/>
        <w:jc w:val="left"/>
      </w:pPr>
      <w:r>
        <w:rPr/>
        <w:t>□ 适用 √</w:t>
      </w:r>
      <w:r>
        <w:rPr>
          <w:spacing w:val="3"/>
        </w:rPr>
        <w:t> </w:t>
      </w:r>
      <w:r>
        <w:rPr/>
        <w:t>不适用</w:t>
      </w:r>
    </w:p>
    <w:p>
      <w:pPr>
        <w:spacing w:after="0" w:line="240" w:lineRule="auto"/>
        <w:jc w:val="left"/>
        <w:sectPr>
          <w:type w:val="continuous"/>
          <w:pgSz w:w="11910" w:h="16840"/>
          <w:pgMar w:top="1100" w:bottom="1220" w:left="50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539,731,357.93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21,213,206.17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22,740,685.57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4,554,963.81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2,069,885.45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366,045.13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2,119,033.23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588,240,213.48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497"/>
      <w:bookmarkEnd w:id="4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12,048,974.11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2,089,704.34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1,150,397.50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800,835.59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12,187,445.36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12,048,974.11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2,089,704.34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1,150,397.50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800,835.59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12,187,445.36</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585,167.28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563,699.36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1,530.86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诉讼回款</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1,150,397.50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498"/>
      <w:bookmarkEnd w:id="49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4）按欠款方归集的期末余额前五名的应收账款情况" w:id="499"/>
      <w:bookmarkEnd w:id="49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170,827,395.00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1,708,273.95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31,710,568.50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317,105.69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29,067,251.87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290,672.52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25,688,681.00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256,886.81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22,533,538.60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225,335.39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279,827,434.97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47.57%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500"/>
      <w:bookmarkEnd w:id="50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501"/>
      <w:bookmarkEnd w:id="50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其他应收款" w:id="502"/>
      <w:bookmarkEnd w:id="50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127,186,726.71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83,050,206.15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127,186,726.71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83,050,206.15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503"/>
      <w:bookmarkEnd w:id="50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504"/>
      <w:bookmarkEnd w:id="50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2）重要逾期利息" w:id="505"/>
      <w:bookmarkEnd w:id="50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坏账准备计提情况" w:id="506"/>
      <w:bookmarkEnd w:id="50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应收股利" w:id="507"/>
      <w:bookmarkEnd w:id="50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508"/>
      <w:bookmarkEnd w:id="508"/>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重要的账龄超过1年的应收股利" w:id="509"/>
      <w:bookmarkEnd w:id="509"/>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坏账准备计提情况" w:id="510"/>
      <w:bookmarkEnd w:id="51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221"/>
        <w:jc w:val="left"/>
      </w:pPr>
      <w:r>
        <w:rPr/>
        <w:t>□ 适用 √</w:t>
      </w:r>
      <w:r>
        <w:rPr>
          <w:spacing w:val="3"/>
        </w:rPr>
        <w:t> </w:t>
      </w:r>
      <w:r>
        <w:rPr/>
        <w:t>不适用</w:t>
      </w:r>
      <w:r>
        <w:rPr/>
        <w:t> 其他说明：</w:t>
      </w:r>
    </w:p>
    <w:p>
      <w:pPr>
        <w:spacing w:after="0" w:line="3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其他应收款" w:id="511"/>
      <w:bookmarkEnd w:id="51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512"/>
      <w:bookmarkEnd w:id="51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106,183,260.00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70,113,260.00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19,708,429.38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12,134,068.36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1,517,290.60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977,526.05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310,128.20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313,891.54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127,719,108.18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83,538,745.95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513"/>
      <w:bookmarkEnd w:id="51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488,539.80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488,539.80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43,841.67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43,841.67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532,381.47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532,381.47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57" w:lineRule="auto" w:before="117"/>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17,984,579.28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1,837,144.07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1,267,794.87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446,329.96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446,329.96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21,535,848.18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本期计提、收回或转回的坏账准备情况" w:id="514"/>
      <w:bookmarkEnd w:id="51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本期实际核销的其他应收款情况" w:id="515"/>
      <w:bookmarkEnd w:id="51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5）按欠款方归集的期末余额前五名的其他应收款情况" w:id="516"/>
      <w:bookmarkEnd w:id="51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5"/>
        <w:gridCol w:w="1369"/>
        <w:gridCol w:w="1550"/>
        <w:gridCol w:w="2120"/>
        <w:gridCol w:w="1616"/>
        <w:gridCol w:w="1346"/>
      </w:tblGrid>
      <w:tr>
        <w:trPr>
          <w:trHeight w:val="715" w:hRule="exact"/>
        </w:trPr>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163" w:right="159"/>
              <w:jc w:val="left"/>
              <w:rPr>
                <w:rFonts w:ascii="宋体" w:hAnsi="宋体" w:cs="宋体" w:eastAsia="宋体" w:hint="default"/>
                <w:sz w:val="16"/>
                <w:szCs w:val="16"/>
              </w:rPr>
            </w:pPr>
            <w:r>
              <w:rPr>
                <w:rFonts w:ascii="宋体" w:hAnsi="宋体" w:cs="宋体" w:eastAsia="宋体" w:hint="default"/>
                <w:sz w:val="16"/>
                <w:szCs w:val="16"/>
              </w:rPr>
              <w:t>占其他应收款期末</w:t>
            </w:r>
            <w:r>
              <w:rPr>
                <w:rFonts w:ascii="宋体" w:hAnsi="宋体" w:cs="宋体" w:eastAsia="宋体" w:hint="default"/>
                <w:w w:val="100"/>
                <w:sz w:val="16"/>
                <w:szCs w:val="16"/>
              </w:rPr>
              <w:t> </w:t>
            </w:r>
            <w:r>
              <w:rPr>
                <w:rFonts w:ascii="宋体" w:hAnsi="宋体" w:cs="宋体" w:eastAsia="宋体" w:hint="default"/>
                <w:sz w:val="16"/>
                <w:szCs w:val="16"/>
              </w:rPr>
              <w:t>余额合计数的比例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9" w:right="12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1025"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70,113,260.00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64,111,020.00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54.90%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36,070,000.00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28.24%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2,536,015.00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25,360.15</w:t>
            </w:r>
          </w:p>
        </w:tc>
      </w:tr>
      <w:tr>
        <w:trPr>
          <w:trHeight w:val="715"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2,098,045.00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1,359,645.00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738,400.00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87,436.45</w:t>
            </w:r>
          </w:p>
        </w:tc>
      </w:tr>
      <w:tr>
        <w:trPr>
          <w:trHeight w:val="40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1,440,000.00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14,400.00</w:t>
            </w:r>
          </w:p>
        </w:tc>
      </w:tr>
      <w:tr>
        <w:trPr>
          <w:trHeight w:val="403" w:hRule="exact"/>
        </w:trPr>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112,257,320.00</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127,196.60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517"/>
      <w:bookmarkEnd w:id="51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7）因金融资产转移而终止确认的其他应收款" w:id="518"/>
      <w:bookmarkEnd w:id="51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519"/>
      <w:bookmarkEnd w:id="51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长期股权投资" w:id="520"/>
      <w:bookmarkEnd w:id="52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60,000,000.00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60,000,000.00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对子公司投资" w:id="521"/>
      <w:bookmarkEnd w:id="52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15"/>
        <w:gridCol w:w="1263"/>
        <w:gridCol w:w="1166"/>
        <w:gridCol w:w="1166"/>
        <w:gridCol w:w="1167"/>
        <w:gridCol w:w="907"/>
        <w:gridCol w:w="1294"/>
        <w:gridCol w:w="1070"/>
      </w:tblGrid>
      <w:tr>
        <w:trPr>
          <w:trHeight w:val="403" w:hRule="exact"/>
        </w:trPr>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26" w:right="14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4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40" w:right="16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2" w:right="16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1515" w:type="dxa"/>
            <w:vMerge/>
            <w:tcBorders>
              <w:left w:val="single" w:sz="4" w:space="0" w:color="000000"/>
              <w:bottom w:val="single" w:sz="4" w:space="0" w:color="000000"/>
              <w:right w:val="single" w:sz="4" w:space="0" w:color="000000"/>
            </w:tcBorders>
            <w:shd w:val="clear" w:color="auto" w:fill="D2D2D2"/>
          </w:tcPr>
          <w:p>
            <w:pPr/>
          </w:p>
        </w:tc>
        <w:tc>
          <w:tcPr>
            <w:tcW w:w="126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7" w:right="0"/>
              <w:jc w:val="left"/>
              <w:rPr>
                <w:rFonts w:ascii="宋体" w:hAnsi="宋体" w:cs="宋体" w:eastAsia="宋体" w:hint="default"/>
                <w:sz w:val="15"/>
                <w:szCs w:val="15"/>
              </w:rPr>
            </w:pPr>
            <w:r>
              <w:rPr>
                <w:rFonts w:ascii="宋体" w:hAnsi="宋体" w:cs="宋体" w:eastAsia="宋体" w:hint="default"/>
                <w:sz w:val="15"/>
                <w:szCs w:val="15"/>
              </w:rPr>
              <w:t>计提减值准备</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4"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西藏先进数通信 息技术有限公司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50,000,000.00</w:t>
            </w:r>
          </w:p>
        </w:tc>
        <w:tc>
          <w:tcPr>
            <w:tcW w:w="10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15"/>
        <w:gridCol w:w="1263"/>
        <w:gridCol w:w="1166"/>
        <w:gridCol w:w="1166"/>
        <w:gridCol w:w="1167"/>
        <w:gridCol w:w="907"/>
        <w:gridCol w:w="1294"/>
        <w:gridCol w:w="1070"/>
      </w:tblGrid>
      <w:tr>
        <w:trPr>
          <w:trHeight w:val="71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39"/>
              <w:jc w:val="left"/>
              <w:rPr>
                <w:rFonts w:ascii="宋体" w:hAnsi="宋体" w:cs="宋体" w:eastAsia="宋体" w:hint="default"/>
                <w:sz w:val="18"/>
                <w:szCs w:val="18"/>
              </w:rPr>
            </w:pPr>
            <w:r>
              <w:rPr>
                <w:rFonts w:ascii="宋体" w:hAnsi="宋体" w:cs="宋体" w:eastAsia="宋体" w:hint="default"/>
                <w:sz w:val="18"/>
                <w:szCs w:val="18"/>
              </w:rPr>
              <w:t>广州先进数通信 息技术有限公司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0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对联营、合营企业投资" w:id="522"/>
      <w:bookmarkEnd w:id="52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1133"/>
        <w:jc w:val="left"/>
        <w:rPr>
          <w:b w:val="0"/>
          <w:bCs w:val="0"/>
        </w:rPr>
      </w:pPr>
      <w:bookmarkStart w:name="（3）其他说明" w:id="523"/>
      <w:bookmarkEnd w:id="52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营业收入和营业成本" w:id="524"/>
      <w:bookmarkEnd w:id="52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1,768,083,820.01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1,502,955,067.88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1,390,348,474.90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1,169,716,001.27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1,768,083,820.01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1,502,955,067.88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1,390,348,474.90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1,169,716,001.27</w:t>
            </w:r>
          </w:p>
        </w:tc>
      </w:tr>
    </w:tbl>
    <w:p>
      <w:pPr>
        <w:pStyle w:val="BodyText"/>
        <w:spacing w:line="240" w:lineRule="auto" w:before="49"/>
        <w:ind w:right="1133"/>
        <w:jc w:val="left"/>
      </w:pPr>
      <w:r>
        <w:rPr/>
        <w:t>是否已执行新收入准则</w:t>
      </w:r>
    </w:p>
    <w:p>
      <w:pPr>
        <w:pStyle w:val="BodyText"/>
        <w:spacing w:line="360" w:lineRule="auto" w:before="115"/>
        <w:ind w:right="9134"/>
        <w:jc w:val="left"/>
      </w:pPr>
      <w:r>
        <w:rPr/>
        <w:t>□ 是 √</w:t>
      </w:r>
      <w:r>
        <w:rPr>
          <w:spacing w:val="3"/>
        </w:rPr>
        <w:t> </w:t>
      </w:r>
      <w:r>
        <w:rPr/>
        <w:t>否</w:t>
      </w:r>
      <w:r>
        <w:rPr/>
        <w:t>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5、投资收益" w:id="525"/>
      <w:bookmarkEnd w:id="52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其他" w:id="526"/>
      <w:bookmarkEnd w:id="526"/>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1133"/>
        <w:jc w:val="left"/>
        <w:rPr>
          <w:b w:val="0"/>
          <w:bCs w:val="0"/>
        </w:rPr>
      </w:pPr>
      <w:bookmarkStart w:name="十八、补充资料" w:id="527"/>
      <w:bookmarkEnd w:id="527"/>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528"/>
      <w:bookmarkEnd w:id="52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16"/>
        <w:gridCol w:w="2115"/>
        <w:gridCol w:w="2530"/>
      </w:tblGrid>
      <w:tr>
        <w:trPr>
          <w:trHeight w:val="398"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-2,750.29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r>
      <w:tr>
        <w:trPr>
          <w:trHeight w:val="715"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残疾人管理所岗位补贴</w:t>
            </w:r>
          </w:p>
        </w:tc>
      </w:tr>
      <w:tr>
        <w:trPr>
          <w:trHeight w:val="401"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47,386.15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账面营业外收入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p>
        </w:tc>
      </w:tr>
      <w:tr>
        <w:trPr>
          <w:trHeight w:val="403"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10,443.42</w:t>
            </w:r>
          </w:p>
        </w:tc>
        <w:tc>
          <w:tcPr>
            <w:tcW w:w="25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59,192.44</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240" w:lineRule="auto" w:before="62"/>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号——非经常性损益》中列举的非经常性损益项目界定为经常性损益的项目，应</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说明原因。</w:t>
      </w:r>
    </w:p>
    <w:p>
      <w:pPr>
        <w:pStyle w:val="BodyText"/>
        <w:spacing w:line="240" w:lineRule="auto" w:before="117"/>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净资产收益率及每股收益" w:id="529"/>
      <w:bookmarkEnd w:id="52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527"/>
        <w:gridCol w:w="1200"/>
        <w:gridCol w:w="1913"/>
        <w:gridCol w:w="1913"/>
      </w:tblGrid>
      <w:tr>
        <w:trPr>
          <w:trHeight w:val="403" w:hRule="exact"/>
        </w:trPr>
        <w:tc>
          <w:tcPr>
            <w:tcW w:w="4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46" w:right="142"/>
              <w:jc w:val="left"/>
              <w:rPr>
                <w:rFonts w:ascii="宋体" w:hAnsi="宋体" w:cs="宋体" w:eastAsia="宋体" w:hint="default"/>
                <w:sz w:val="18"/>
                <w:szCs w:val="18"/>
              </w:rPr>
            </w:pPr>
            <w:r>
              <w:rPr>
                <w:rFonts w:ascii="宋体" w:hAnsi="宋体" w:cs="宋体" w:eastAsia="宋体" w:hint="default"/>
                <w:sz w:val="18"/>
                <w:szCs w:val="18"/>
              </w:rPr>
              <w:t>加权平均净 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4527"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3" w:hRule="exact"/>
        </w:trPr>
        <w:tc>
          <w:tcPr>
            <w:tcW w:w="4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4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0.39</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境内外会计准则下会计数据差异" w:id="530"/>
      <w:bookmarkEnd w:id="53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中国会计准则披露的财务报告中净利润和净资产差异情况" w:id="531"/>
      <w:bookmarkEnd w:id="53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同时按照境外会计准则与按中国会计准则披露的财务报告中净利润和净资产差异情况" w:id="532"/>
      <w:bookmarkEnd w:id="53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59" w:lineRule="auto" w:before="120"/>
        <w:ind w:right="1133"/>
        <w:jc w:val="left"/>
        <w:rPr>
          <w:b w:val="0"/>
          <w:bCs w:val="0"/>
        </w:rPr>
      </w:pPr>
      <w:bookmarkStart w:name="（3）境内外会计准则下会计数据差异原因说明，对已经境外审计机构审计的数据进行差异" w:id="533"/>
      <w:bookmarkEnd w:id="53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其他" w:id="534"/>
      <w:bookmarkEnd w:id="53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5" w:right="1133"/>
        <w:jc w:val="left"/>
        <w:rPr>
          <w:b w:val="0"/>
          <w:bCs w:val="0"/>
        </w:rPr>
      </w:pPr>
      <w:bookmarkStart w:name="第十三节 备查文件目录" w:id="535"/>
      <w:bookmarkEnd w:id="535"/>
      <w:r>
        <w:rPr>
          <w:b w:val="0"/>
          <w:bCs w:val="0"/>
        </w:rPr>
      </w:r>
      <w:bookmarkStart w:name="_bookmark12" w:id="536"/>
      <w:bookmarkEnd w:id="536"/>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734"/>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w:t>
      </w:r>
      <w:r>
        <w:rPr>
          <w:rFonts w:ascii="宋体" w:hAnsi="宋体" w:cs="宋体" w:eastAsia="宋体" w:hint="default"/>
        </w:rPr>
        <w:t>2019</w:t>
      </w:r>
      <w:r>
        <w:rPr/>
        <w:t>年度报告原文件；</w:t>
      </w:r>
    </w:p>
    <w:p>
      <w:pPr>
        <w:pStyle w:val="BodyText"/>
        <w:spacing w:line="316" w:lineRule="auto" w:before="19"/>
        <w:ind w:right="6974"/>
        <w:jc w:val="left"/>
      </w:pPr>
      <w:r>
        <w:rPr/>
        <w:t>五、其他备查文件。 以上备查文件的备置地点：公司董事会办公室。</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（本页无正文，为《北京先进数通信息技术股份公司</w:t>
      </w:r>
      <w:r>
        <w:rPr>
          <w:rFonts w:ascii="宋体" w:hAnsi="宋体" w:cs="宋体" w:eastAsia="宋体" w:hint="default"/>
        </w:rPr>
        <w:t>2019</w:t>
      </w:r>
      <w:r>
        <w:rPr/>
        <w:t>年年度报告》签章页）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2"/>
        <w:tabs>
          <w:tab w:pos="3632" w:val="left" w:leader="none"/>
        </w:tabs>
        <w:spacing w:line="240" w:lineRule="auto" w:before="0"/>
        <w:ind w:right="1133"/>
        <w:jc w:val="left"/>
        <w:rPr>
          <w:b w:val="0"/>
          <w:bCs w:val="0"/>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（林鸿）</w:t>
      </w:r>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pStyle w:val="Heading2"/>
        <w:spacing w:line="408" w:lineRule="auto" w:before="248"/>
        <w:ind w:left="6738" w:right="1177" w:hanging="984"/>
        <w:jc w:val="left"/>
        <w:rPr>
          <w:b w:val="0"/>
          <w:bCs w:val="0"/>
        </w:rPr>
      </w:pPr>
      <w:r>
        <w:rPr/>
        <w:t>北京先进数通信息技术股份公司</w:t>
      </w:r>
      <w:r>
        <w:rPr>
          <w:w w:val="99"/>
        </w:rPr>
        <w:t> </w:t>
      </w:r>
      <w:r>
        <w:rPr/>
        <w:t>二零二零年四月</w:t>
      </w:r>
      <w:r>
        <w:rPr>
          <w:b w:val="0"/>
          <w:bCs w:val="0"/>
        </w:rPr>
      </w:r>
    </w:p>
    <w:sectPr>
      <w:pgSz w:w="11910" w:h="16840"/>
      <w:pgMar w:header="906" w:footer="1021"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712" type="#_x0000_t75" stroked="false">
          <v:imagedata r:id="rId1" o:title=""/>
        </v:shape>
      </w:pict>
    </w:r>
    <w:r>
      <w:rPr/>
      <w:pict>
        <v:shape style="position:absolute;margin-left:55.639999pt;margin-top:793.453918pt;width:6.5pt;height:11pt;mso-position-horizontal-relative:page;mso-position-vertical-relative:page;z-index:-7776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136" type="#_x0000_t75" stroked="false">
          <v:imagedata r:id="rId1" o:title=""/>
        </v:shape>
      </w:pict>
    </w:r>
    <w:r>
      <w:rPr/>
      <w:pict>
        <v:shape style="position:absolute;margin-left:54.639999pt;margin-top:779.893921pt;width:17.7pt;height:11pt;mso-position-horizontal-relative:page;mso-position-vertical-relative:page;z-index:-777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088" type="#_x0000_t75" stroked="false">
          <v:imagedata r:id="rId1" o:title=""/>
        </v:shape>
      </w:pict>
    </w:r>
    <w:r>
      <w:rPr/>
      <w:pict>
        <v:shape style="position:absolute;margin-left:54.639999pt;margin-top:779.893921pt;width:17.3pt;height:11pt;mso-position-horizontal-relative:page;mso-position-vertical-relative:page;z-index:-777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040" type="#_x0000_t75" stroked="false">
          <v:imagedata r:id="rId1" o:title=""/>
        </v:shape>
      </w:pict>
    </w:r>
    <w:r>
      <w:rPr/>
      <w:pict>
        <v:shape style="position:absolute;margin-left:54.639999pt;margin-top:779.893921pt;width:17.7pt;height:11pt;mso-position-horizontal-relative:page;mso-position-vertical-relative:page;z-index:-777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664" type="#_x0000_t75" stroked="false">
          <v:imagedata r:id="rId1" o:title=""/>
        </v:shape>
      </w:pict>
    </w:r>
    <w:r>
      <w:rPr/>
      <w:pict>
        <v:shape style="position:absolute;margin-left:54.639999pt;margin-top:779.893921pt;width:13.15pt;height:11pt;mso-position-horizontal-relative:page;mso-position-vertical-relative:page;z-index:-777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293945pt;width:11.15pt;height:11pt;mso-position-horizontal-relative:page;mso-position-vertical-relative:page;z-index:-777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77544" type="#_x0000_t75" stroked="false">
          <v:imagedata r:id="rId1" o:title=""/>
        </v:shape>
      </w:pict>
    </w:r>
    <w:r>
      <w:rPr/>
      <w:pict>
        <v:shape style="position:absolute;margin-left:70pt;margin-top:533.293945pt;width:13.15pt;height:11pt;mso-position-horizontal-relative:page;mso-position-vertical-relative:page;z-index:-777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9.893921pt;width:11.15pt;height:11pt;mso-position-horizontal-relative:page;mso-position-vertical-relative:page;z-index:-7774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376" type="#_x0000_t75" stroked="false">
          <v:imagedata r:id="rId1" o:title=""/>
        </v:shape>
      </w:pict>
    </w:r>
    <w:r>
      <w:rPr/>
      <w:pict>
        <v:shape style="position:absolute;margin-left:54.639999pt;margin-top:779.893921pt;width:13.15pt;height:11pt;mso-position-horizontal-relative:page;mso-position-vertical-relative:page;z-index:-777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304" type="#_x0000_t75" stroked="false">
          <v:imagedata r:id="rId1" o:title=""/>
        </v:shape>
      </w:pict>
    </w:r>
    <w:r>
      <w:rPr/>
      <w:pict>
        <v:shape style="position:absolute;margin-left:76.664001pt;margin-top:753.841614pt;width:29pt;height:11pt;mso-position-horizontal-relative:page;mso-position-vertical-relative:page;z-index:-777280" type="#_x0000_t202" filled="false" stroked="false">
          <v:textbox inset="0,0,0,0">
            <w:txbxContent>
              <w:p>
                <w:pPr>
                  <w:pStyle w:val="BodyText"/>
                  <w:spacing w:line="200" w:lineRule="exact"/>
                  <w:ind w:left="20" w:right="0"/>
                  <w:jc w:val="left"/>
                </w:pPr>
                <w:r>
                  <w:rPr/>
                  <w:t>不适用</w:t>
                </w:r>
              </w:p>
            </w:txbxContent>
          </v:textbox>
          <w10:wrap type="none"/>
        </v:shape>
      </w:pict>
    </w:r>
    <w:r>
      <w:rPr/>
      <w:pict>
        <v:shape style="position:absolute;margin-left:54.639999pt;margin-top:779.893921pt;width:13.15pt;height:11pt;mso-position-horizontal-relative:page;mso-position-vertical-relative:page;z-index:-777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232" type="#_x0000_t75" stroked="false">
          <v:imagedata r:id="rId1" o:title=""/>
        </v:shape>
      </w:pict>
    </w:r>
    <w:r>
      <w:rPr/>
      <w:pict>
        <v:shape style="position:absolute;margin-left:54.639999pt;margin-top:779.893921pt;width:13.15pt;height:11pt;mso-position-horizontal-relative:page;mso-position-vertical-relative:page;z-index:-777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7184" type="#_x0000_t75" stroked="false">
          <v:imagedata r:id="rId1" o:title=""/>
        </v:shape>
      </w:pict>
    </w:r>
    <w:r>
      <w:rPr/>
      <w:pict>
        <v:shape style="position:absolute;margin-left:55.639999pt;margin-top:779.893921pt;width:15.7pt;height:11pt;mso-position-horizontal-relative:page;mso-position-vertical-relative:page;z-index:-777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185608pt;width:213.75pt;height:11.5pt;mso-position-horizontal-relative:page;mso-position-vertical-relative:page;z-index:-777736"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777616"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785633pt;width:213.7pt;height:11.5pt;mso-position-horizontal-relative:page;mso-position-vertical-relative:page;z-index:-777592"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777496"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r>
      <w:rPr/>
      <w:pict>
        <v:shape style="position:absolute;margin-left:55.639999pt;margin-top:72.80748pt;width:98.35pt;height:14pt;mso-position-horizontal-relative:page;mso-position-vertical-relative:page;z-index:-7774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三、公司基本情况</w:t>
                </w:r>
                <w:r>
                  <w:rPr>
                    <w:rFonts w:ascii="宋体" w:hAnsi="宋体" w:cs="宋体" w:eastAsia="宋体" w:hint="default"/>
                    <w:sz w:val="24"/>
                    <w:szCs w:val="24"/>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777424"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r>
      <w:rPr/>
      <w:pict>
        <v:shape style="position:absolute;margin-left:55.639999pt;margin-top:73.564980pt;width:260.3pt;height:13.15pt;mso-position-horizontal-relative:page;mso-position-vertical-relative:page;z-index:-77740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777328"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776992" type="#_x0000_t202" filled="false" stroked="false">
          <v:textbox inset="0,0,0,0">
            <w:txbxContent>
              <w:p>
                <w:pPr>
                  <w:pStyle w:val="BodyText"/>
                  <w:spacing w:line="214" w:lineRule="exact"/>
                  <w:ind w:left="20" w:right="0"/>
                  <w:jc w:val="left"/>
                </w:pPr>
                <w:r>
                  <w:rPr/>
                  <w:t>北京先进数通信息技术股份公司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454"/>
      <w:outlineLvl w:val="1"/>
    </w:pPr>
    <w:rPr>
      <w:rFonts w:ascii="宋体" w:hAnsi="宋体" w:eastAsia="宋体"/>
      <w:b/>
      <w:bCs/>
      <w:sz w:val="32"/>
      <w:szCs w:val="32"/>
    </w:rPr>
  </w:style>
  <w:style w:styleId="Heading2" w:type="paragraph">
    <w:name w:val="Heading 2"/>
    <w:basedOn w:val="Normal"/>
    <w:uiPriority w:val="1"/>
    <w:qFormat/>
    <w:pPr>
      <w:spacing w:before="162"/>
      <w:ind w:left="112"/>
      <w:outlineLvl w:val="2"/>
    </w:pPr>
    <w:rPr>
      <w:rFonts w:ascii="宋体" w:hAnsi="宋体" w:eastAsia="宋体"/>
      <w:b/>
      <w:bCs/>
      <w:sz w:val="28"/>
      <w:szCs w:val="28"/>
    </w:rPr>
  </w:style>
  <w:style w:styleId="Heading3" w:type="paragraph">
    <w:name w:val="Heading 3"/>
    <w:basedOn w:val="Normal"/>
    <w:uiPriority w:val="1"/>
    <w:qFormat/>
    <w:pPr>
      <w:ind w:left="112"/>
      <w:outlineLvl w:val="3"/>
    </w:pPr>
    <w:rPr>
      <w:rFonts w:ascii="宋体" w:hAnsi="宋体" w:eastAsia="宋体"/>
      <w:b/>
      <w:bCs/>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Heading5" w:type="paragraph">
    <w:name w:val="Heading 5"/>
    <w:basedOn w:val="Normal"/>
    <w:uiPriority w:val="1"/>
    <w:qFormat/>
    <w:pPr>
      <w:spacing w:before="18"/>
      <w:ind w:left="1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adtec.com.cn/" TargetMode="External"/><Relationship Id="rId11" Type="http://schemas.openxmlformats.org/officeDocument/2006/relationships/hyperlink" Target="mailto:adtec@adtec.com.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1.jpeg"/><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ZHY</dc:creator>
  <dcterms:created xsi:type="dcterms:W3CDTF">2020-05-19T06:06:56Z</dcterms:created>
  <dcterms:modified xsi:type="dcterms:W3CDTF">2020-05-19T06:06:56Z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