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7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1411147" cy="6191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11147" cy="619125"/>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3145" w:right="3146" w:firstLine="0"/>
        <w:jc w:val="center"/>
        <w:rPr>
          <w:rFonts w:ascii="宋体" w:hAnsi="宋体" w:cs="宋体" w:eastAsia="宋体" w:hint="default"/>
          <w:sz w:val="36"/>
          <w:szCs w:val="36"/>
        </w:rPr>
      </w:pPr>
      <w:r>
        <w:rPr>
          <w:rFonts w:ascii="宋体" w:hAnsi="宋体" w:cs="宋体" w:eastAsia="宋体" w:hint="default"/>
          <w:b/>
          <w:bCs/>
          <w:sz w:val="36"/>
          <w:szCs w:val="36"/>
        </w:rPr>
        <w:t>新晨科技股份有限公司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145" w:right="314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8"/>
        <w:rPr>
          <w:rFonts w:ascii="宋体" w:hAnsi="宋体" w:cs="宋体" w:eastAsia="宋体" w:hint="default"/>
          <w:b/>
          <w:bCs/>
          <w:sz w:val="32"/>
          <w:szCs w:val="32"/>
        </w:rPr>
      </w:pPr>
    </w:p>
    <w:p>
      <w:pPr>
        <w:spacing w:before="0"/>
        <w:ind w:left="3145" w:right="3145" w:firstLine="0"/>
        <w:jc w:val="center"/>
        <w:rPr>
          <w:rFonts w:ascii="Times New Roman" w:hAnsi="Times New Roman" w:cs="Times New Roman" w:eastAsia="Times New Roman" w:hint="default"/>
          <w:sz w:val="22"/>
          <w:szCs w:val="22"/>
        </w:rPr>
      </w:pPr>
      <w:r>
        <w:rPr>
          <w:rFonts w:ascii="Times New Roman"/>
          <w:b/>
          <w:sz w:val="22"/>
        </w:rPr>
        <w:t>2018-024</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7"/>
        <w:ind w:left="3145" w:right="314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53"/>
        <w:jc w:val="left"/>
        <w:rPr>
          <w:b w:val="0"/>
          <w:bCs w:val="0"/>
        </w:rPr>
      </w:pPr>
      <w:bookmarkStart w:name="_TOC_250011"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公司负责人康路、主管会计工作负责人余克俭及会计机构负责人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牛敬声明：保证年度报告中财务报告的真实、准确、完整。</w:t>
      </w:r>
      <w:r>
        <w:rPr>
          <w:rFonts w:ascii="宋体" w:hAnsi="宋体" w:cs="宋体" w:eastAsia="宋体" w:hint="default"/>
          <w:sz w:val="28"/>
          <w:szCs w:val="28"/>
        </w:rPr>
      </w:r>
    </w:p>
    <w:p>
      <w:pPr>
        <w:spacing w:line="472" w:lineRule="auto" w:before="148"/>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本报告中所涉及的未来经营计划和未来目标等前瞻性陈述，不代表公司的</w:t>
      </w:r>
      <w:r>
        <w:rPr>
          <w:rFonts w:ascii="宋体" w:hAnsi="宋体" w:cs="宋体" w:eastAsia="宋体" w:hint="default"/>
          <w:spacing w:val="2"/>
          <w:sz w:val="28"/>
          <w:szCs w:val="28"/>
        </w:rPr>
      </w:r>
    </w:p>
    <w:p>
      <w:pPr>
        <w:spacing w:line="408" w:lineRule="auto" w:before="0"/>
        <w:ind w:left="152" w:right="159" w:firstLine="0"/>
        <w:jc w:val="both"/>
        <w:rPr>
          <w:rFonts w:ascii="宋体" w:hAnsi="宋体" w:cs="宋体" w:eastAsia="宋体" w:hint="default"/>
          <w:sz w:val="28"/>
          <w:szCs w:val="28"/>
        </w:rPr>
      </w:pPr>
      <w:r>
        <w:rPr>
          <w:rFonts w:ascii="宋体" w:hAnsi="宋体" w:cs="宋体" w:eastAsia="宋体" w:hint="default"/>
          <w:b/>
          <w:bCs/>
          <w:spacing w:val="2"/>
          <w:sz w:val="28"/>
          <w:szCs w:val="28"/>
        </w:rPr>
        <w:t>盈利预测或对投资者的实质性承诺，敬请投资者注意投资风险。公司在发展过</w:t>
      </w:r>
      <w:r>
        <w:rPr>
          <w:rFonts w:ascii="宋体" w:hAnsi="宋体" w:cs="宋体" w:eastAsia="宋体" w:hint="default"/>
          <w:b/>
          <w:bCs/>
          <w:w w:val="99"/>
          <w:sz w:val="28"/>
          <w:szCs w:val="28"/>
        </w:rPr>
        <w:t> </w:t>
      </w:r>
      <w:r>
        <w:rPr>
          <w:rFonts w:ascii="宋体" w:hAnsi="宋体" w:cs="宋体" w:eastAsia="宋体" w:hint="default"/>
          <w:b/>
          <w:bCs/>
          <w:spacing w:val="2"/>
          <w:sz w:val="28"/>
          <w:szCs w:val="28"/>
        </w:rPr>
        <w:t>程中，存在对大客户的依赖风险、人力成本上升的风险等风险因素。具体内容</w:t>
      </w:r>
      <w:r>
        <w:rPr>
          <w:rFonts w:ascii="宋体" w:hAnsi="宋体" w:cs="宋体" w:eastAsia="宋体" w:hint="default"/>
          <w:b/>
          <w:bCs/>
          <w:w w:val="99"/>
          <w:sz w:val="28"/>
          <w:szCs w:val="28"/>
        </w:rPr>
        <w:t> </w:t>
      </w:r>
      <w:r>
        <w:rPr>
          <w:rFonts w:ascii="宋体" w:hAnsi="宋体" w:cs="宋体" w:eastAsia="宋体" w:hint="default"/>
          <w:b/>
          <w:bCs/>
          <w:sz w:val="28"/>
          <w:szCs w:val="28"/>
        </w:rPr>
        <w:t>详见</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w:t>
      </w:r>
      <w:r>
        <w:rPr>
          <w:rFonts w:ascii="宋体" w:hAnsi="宋体" w:cs="宋体" w:eastAsia="宋体" w:hint="default"/>
          <w:b/>
          <w:bCs/>
          <w:spacing w:val="-6"/>
          <w:sz w:val="28"/>
          <w:szCs w:val="28"/>
        </w:rPr>
        <w:t> </w:t>
      </w:r>
      <w:r>
        <w:rPr>
          <w:rFonts w:ascii="宋体" w:hAnsi="宋体" w:cs="宋体" w:eastAsia="宋体" w:hint="default"/>
          <w:b/>
          <w:bCs/>
          <w:sz w:val="28"/>
          <w:szCs w:val="28"/>
        </w:rPr>
        <w:t>经营情况讨论与分析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之</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部分。</w:t>
      </w:r>
      <w:r>
        <w:rPr>
          <w:rFonts w:ascii="宋体" w:hAnsi="宋体" w:cs="宋体" w:eastAsia="宋体" w:hint="default"/>
          <w:sz w:val="28"/>
          <w:szCs w:val="28"/>
        </w:rPr>
      </w:r>
    </w:p>
    <w:p>
      <w:pPr>
        <w:spacing w:before="120"/>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91,191,500</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8</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7</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3145" w:right="314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11">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3" w:val="right" w:leader="dot"/>
            </w:tabs>
            <w:spacing w:line="240" w:lineRule="auto" w:before="195"/>
            <w:ind w:right="0"/>
            <w:jc w:val="left"/>
            <w:rPr>
              <w:rFonts w:ascii="宋体" w:hAnsi="宋体" w:cs="宋体" w:eastAsia="宋体" w:hint="default"/>
              <w:b w:val="0"/>
              <w:bCs w:val="0"/>
            </w:rPr>
          </w:pPr>
          <w:hyperlink w:history="true" w:anchor="_TOC_250010">
            <w:r>
              <w:rPr/>
              <w:t>第二节</w:t>
            </w:r>
            <w:r>
              <w:rPr>
                <w:spacing w:val="1"/>
              </w:rPr>
              <w:t> </w:t>
            </w:r>
            <w:r>
              <w:rPr/>
              <w:t>公司简介和主要财务指标</w:t>
            </w:r>
            <w:r>
              <w:rPr>
                <w:rFonts w:ascii="宋体" w:hAnsi="宋体" w:cs="宋体" w:eastAsia="宋体" w:hint="default"/>
              </w:rPr>
              <w:tab/>
              <w:t>5</w:t>
            </w:r>
            <w:r>
              <w:rPr>
                <w:rFonts w:ascii="宋体" w:hAnsi="宋体" w:cs="宋体" w:eastAsia="宋体" w:hint="default"/>
                <w:b w:val="0"/>
                <w:bCs w:val="0"/>
              </w:rPr>
            </w:r>
          </w:hyperlink>
        </w:p>
        <w:p>
          <w:pPr>
            <w:pStyle w:val="TOC1"/>
            <w:tabs>
              <w:tab w:pos="9783" w:val="right" w:leader="dot"/>
            </w:tabs>
            <w:spacing w:line="240" w:lineRule="auto" w:before="192"/>
            <w:ind w:right="0"/>
            <w:jc w:val="left"/>
            <w:rPr>
              <w:rFonts w:ascii="宋体" w:hAnsi="宋体" w:cs="宋体" w:eastAsia="宋体" w:hint="default"/>
              <w:b w:val="0"/>
              <w:bCs w:val="0"/>
            </w:rPr>
          </w:pPr>
          <w:hyperlink w:history="true" w:anchor="_TOC_250009">
            <w:r>
              <w:rPr/>
              <w:t>第三节</w:t>
            </w:r>
            <w:r>
              <w:rPr>
                <w:spacing w:val="1"/>
              </w:rPr>
              <w:t> </w:t>
            </w:r>
            <w:r>
              <w:rPr/>
              <w:t>公司业务概要</w:t>
            </w:r>
            <w:r>
              <w:rPr>
                <w:rFonts w:ascii="宋体" w:hAnsi="宋体" w:cs="宋体" w:eastAsia="宋体" w:hint="default"/>
              </w:rPr>
              <w:tab/>
              <w:t>8</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8">
            <w:r>
              <w:rPr/>
              <w:t>第四节</w:t>
            </w:r>
            <w:r>
              <w:rPr>
                <w:spacing w:val="1"/>
              </w:rPr>
              <w:t> </w:t>
            </w:r>
            <w:r>
              <w:rPr/>
              <w:t>经营情况讨论与分析</w:t>
            </w:r>
            <w:r>
              <w:rPr>
                <w:rFonts w:ascii="宋体" w:hAnsi="宋体" w:cs="宋体" w:eastAsia="宋体" w:hint="default"/>
              </w:rPr>
              <w:tab/>
              <w:t>12</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7">
            <w:r>
              <w:rPr/>
              <w:t>第五节</w:t>
            </w:r>
            <w:r>
              <w:rPr>
                <w:spacing w:val="2"/>
              </w:rPr>
              <w:t> </w:t>
            </w:r>
            <w:r>
              <w:rPr/>
              <w:t>重要事项</w:t>
            </w:r>
            <w:r>
              <w:rPr>
                <w:rFonts w:ascii="宋体" w:hAnsi="宋体" w:cs="宋体" w:eastAsia="宋体" w:hint="default"/>
              </w:rPr>
              <w:tab/>
              <w:t>26</w:t>
            </w:r>
            <w:r>
              <w:rPr>
                <w:rFonts w:ascii="宋体" w:hAnsi="宋体" w:cs="宋体" w:eastAsia="宋体" w:hint="default"/>
                <w:b w:val="0"/>
                <w:bCs w:val="0"/>
              </w:rPr>
            </w:r>
          </w:hyperlink>
        </w:p>
        <w:p>
          <w:pPr>
            <w:pStyle w:val="TOC1"/>
            <w:tabs>
              <w:tab w:pos="9785" w:val="right" w:leader="dot"/>
            </w:tabs>
            <w:spacing w:line="240" w:lineRule="auto" w:before="192"/>
            <w:ind w:right="0"/>
            <w:jc w:val="left"/>
            <w:rPr>
              <w:rFonts w:ascii="宋体" w:hAnsi="宋体" w:cs="宋体" w:eastAsia="宋体" w:hint="default"/>
              <w:b w:val="0"/>
              <w:bCs w:val="0"/>
            </w:rPr>
          </w:pPr>
          <w:hyperlink w:history="true" w:anchor="_TOC_250006">
            <w:r>
              <w:rPr/>
              <w:t>第六节</w:t>
            </w:r>
            <w:r>
              <w:rPr>
                <w:spacing w:val="1"/>
              </w:rPr>
              <w:t> </w:t>
            </w:r>
            <w:r>
              <w:rPr/>
              <w:t>股份变动及股东情况</w:t>
            </w:r>
            <w:r>
              <w:rPr>
                <w:rFonts w:ascii="宋体" w:hAnsi="宋体" w:cs="宋体" w:eastAsia="宋体" w:hint="default"/>
              </w:rPr>
              <w:tab/>
              <w:t>46</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5">
            <w:r>
              <w:rPr/>
              <w:t>第七节</w:t>
            </w:r>
            <w:r>
              <w:rPr>
                <w:spacing w:val="1"/>
              </w:rPr>
              <w:t> </w:t>
            </w:r>
            <w:r>
              <w:rPr/>
              <w:t>优先股相关情况</w:t>
            </w:r>
            <w:r>
              <w:rPr>
                <w:rFonts w:ascii="宋体" w:hAnsi="宋体" w:cs="宋体" w:eastAsia="宋体" w:hint="default"/>
              </w:rPr>
              <w:tab/>
              <w:t>52</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4">
            <w:r>
              <w:rPr/>
              <w:t>第八节</w:t>
            </w:r>
            <w:r>
              <w:rPr>
                <w:spacing w:val="1"/>
              </w:rPr>
              <w:t> </w:t>
            </w:r>
            <w:r>
              <w:rPr/>
              <w:t>董事、监事、高级管理人员和员工情况</w:t>
            </w:r>
            <w:r>
              <w:rPr>
                <w:rFonts w:ascii="宋体" w:hAnsi="宋体" w:cs="宋体" w:eastAsia="宋体" w:hint="default"/>
              </w:rPr>
              <w:tab/>
              <w:t>53</w:t>
            </w:r>
            <w:r>
              <w:rPr>
                <w:rFonts w:ascii="宋体" w:hAnsi="宋体" w:cs="宋体" w:eastAsia="宋体" w:hint="default"/>
                <w:b w:val="0"/>
                <w:bCs w:val="0"/>
              </w:rPr>
            </w:r>
          </w:hyperlink>
        </w:p>
        <w:p>
          <w:pPr>
            <w:pStyle w:val="TOC1"/>
            <w:tabs>
              <w:tab w:pos="9785" w:val="right" w:leader="dot"/>
            </w:tabs>
            <w:spacing w:line="240" w:lineRule="auto" w:before="192"/>
            <w:ind w:right="0"/>
            <w:jc w:val="left"/>
            <w:rPr>
              <w:rFonts w:ascii="宋体" w:hAnsi="宋体" w:cs="宋体" w:eastAsia="宋体" w:hint="default"/>
              <w:b w:val="0"/>
              <w:bCs w:val="0"/>
            </w:rPr>
          </w:pPr>
          <w:hyperlink w:history="true" w:anchor="_TOC_250003">
            <w:r>
              <w:rPr/>
              <w:t>第九节</w:t>
            </w:r>
            <w:r>
              <w:rPr>
                <w:spacing w:val="2"/>
              </w:rPr>
              <w:t> </w:t>
            </w:r>
            <w:r>
              <w:rPr/>
              <w:t>公司治理</w:t>
            </w:r>
            <w:r>
              <w:rPr>
                <w:rFonts w:ascii="宋体" w:hAnsi="宋体" w:cs="宋体" w:eastAsia="宋体" w:hint="default"/>
              </w:rPr>
              <w:tab/>
              <w:t>59</w:t>
            </w:r>
            <w:r>
              <w:rPr>
                <w:rFonts w:ascii="宋体" w:hAnsi="宋体" w:cs="宋体" w:eastAsia="宋体" w:hint="default"/>
                <w:b w:val="0"/>
                <w:bCs w:val="0"/>
              </w:rPr>
            </w:r>
          </w:hyperlink>
        </w:p>
        <w:p>
          <w:pPr>
            <w:pStyle w:val="TOC1"/>
            <w:tabs>
              <w:tab w:pos="9785" w:val="right" w:leader="dot"/>
            </w:tabs>
            <w:spacing w:line="240" w:lineRule="auto" w:before="195"/>
            <w:ind w:right="0"/>
            <w:jc w:val="left"/>
            <w:rPr>
              <w:rFonts w:ascii="宋体" w:hAnsi="宋体" w:cs="宋体" w:eastAsia="宋体" w:hint="default"/>
              <w:b w:val="0"/>
              <w:bCs w:val="0"/>
            </w:rPr>
          </w:pPr>
          <w:hyperlink w:history="true" w:anchor="_TOC_250002">
            <w:r>
              <w:rPr/>
              <w:t>第十节</w:t>
            </w:r>
            <w:r>
              <w:rPr>
                <w:spacing w:val="2"/>
              </w:rPr>
              <w:t> </w:t>
            </w:r>
            <w:r>
              <w:rPr/>
              <w:t>公司债券相关情况</w:t>
            </w:r>
            <w:r>
              <w:rPr>
                <w:rFonts w:ascii="宋体" w:hAnsi="宋体" w:cs="宋体" w:eastAsia="宋体" w:hint="default"/>
              </w:rPr>
              <w:tab/>
              <w:t>64</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1">
            <w:r>
              <w:rPr/>
              <w:t>第十一节</w:t>
            </w:r>
            <w:r>
              <w:rPr>
                <w:spacing w:val="-1"/>
              </w:rPr>
              <w:t> </w:t>
            </w:r>
            <w:r>
              <w:rPr/>
              <w:t>财务报告</w:t>
            </w:r>
            <w:r>
              <w:rPr>
                <w:rFonts w:ascii="宋体" w:hAnsi="宋体" w:cs="宋体" w:eastAsia="宋体" w:hint="default"/>
              </w:rPr>
              <w:tab/>
              <w:t>65</w:t>
            </w:r>
            <w:r>
              <w:rPr>
                <w:rFonts w:ascii="宋体" w:hAnsi="宋体" w:cs="宋体" w:eastAsia="宋体" w:hint="default"/>
                <w:b w:val="0"/>
                <w:bCs w:val="0"/>
              </w:rPr>
            </w:r>
          </w:hyperlink>
        </w:p>
        <w:p>
          <w:pPr>
            <w:pStyle w:val="TOC1"/>
            <w:tabs>
              <w:tab w:pos="9783" w:val="right" w:leader="dot"/>
            </w:tabs>
            <w:spacing w:line="240" w:lineRule="auto" w:before="192"/>
            <w:ind w:right="0"/>
            <w:jc w:val="left"/>
            <w:rPr>
              <w:rFonts w:ascii="宋体" w:hAnsi="宋体" w:cs="宋体" w:eastAsia="宋体" w:hint="default"/>
              <w:b w:val="0"/>
              <w:bCs w:val="0"/>
            </w:rPr>
          </w:pPr>
          <w:hyperlink w:history="true" w:anchor="_TOC_250000">
            <w:r>
              <w:rPr/>
              <w:t>第十二节</w:t>
            </w:r>
            <w:r>
              <w:rPr>
                <w:spacing w:val="-2"/>
              </w:rPr>
              <w:t> </w:t>
            </w:r>
            <w:r>
              <w:rPr/>
              <w:t>备查文件目录</w:t>
            </w:r>
            <w:r>
              <w:rPr>
                <w:rFonts w:ascii="宋体" w:hAnsi="宋体" w:cs="宋体" w:eastAsia="宋体" w:hint="default"/>
              </w:rPr>
              <w:tab/>
              <w:t>158</w:t>
            </w:r>
            <w:r>
              <w:rPr>
                <w:rFonts w:ascii="宋体" w:hAnsi="宋体" w:cs="宋体" w:eastAsia="宋体" w:hint="default"/>
                <w:b w:val="0"/>
                <w:bCs w:val="0"/>
              </w:rPr>
            </w:r>
          </w:hyperlink>
        </w:p>
        <w:p>
          <w:pPr/>
          <w:r>
            <w:fldChar w:fldCharType="end"/>
          </w:r>
        </w:p>
      </w:sdtContent>
    </w:sdt>
    <w:p>
      <w:pPr>
        <w:spacing w:after="0"/>
        <w:sectPr>
          <w:pgSz w:w="11910" w:h="16840"/>
          <w:pgMar w:header="745" w:footer="980" w:top="1060" w:bottom="1160" w:left="980" w:right="980"/>
        </w:sectPr>
      </w:pPr>
    </w:p>
    <w:p>
      <w:pPr>
        <w:spacing w:before="945"/>
        <w:ind w:left="3145" w:right="314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53"/>
        <w:ind w:left="0" w:right="161"/>
        <w:jc w:val="right"/>
      </w:pPr>
      <w:r>
        <w:rPr/>
        <w:pict>
          <v:shape style="position:absolute;margin-left:56.400002pt;margin-top:-216.468292pt;width:479.3pt;height:476.1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2"/>
                    <w:gridCol w:w="687"/>
                    <w:gridCol w:w="6462"/>
                  </w:tblGrid>
                  <w:tr>
                    <w:trPr>
                      <w:trHeight w:val="403"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新晨科技、本公司、公司</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新晨科技股份有限公司</w:t>
                        </w:r>
                      </w:p>
                    </w:tc>
                  </w:tr>
                  <w:tr>
                    <w:trPr>
                      <w:trHeight w:val="403"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1"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3"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邮储银行</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中国邮政储蓄银行股份有限公司</w:t>
                        </w:r>
                      </w:p>
                    </w:tc>
                  </w:tr>
                  <w:tr>
                    <w:trPr>
                      <w:trHeight w:val="401"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中信银行</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中信银行股份有限公司</w:t>
                        </w:r>
                      </w:p>
                    </w:tc>
                  </w:tr>
                  <w:tr>
                    <w:trPr>
                      <w:trHeight w:val="403"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光大银行</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中国光大银行股份有限公司</w:t>
                        </w:r>
                      </w:p>
                    </w:tc>
                  </w:tr>
                  <w:tr>
                    <w:trPr>
                      <w:trHeight w:val="401"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IT</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，信息技术</w:t>
                        </w:r>
                      </w:p>
                    </w:tc>
                  </w:tr>
                  <w:tr>
                    <w:trPr>
                      <w:trHeight w:val="403"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交易银行</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交易银行是银行服务于企业日常交易活动的银行产品和服务</w:t>
                        </w:r>
                      </w:p>
                    </w:tc>
                  </w:tr>
                  <w:tr>
                    <w:trPr>
                      <w:trHeight w:val="317" w:hRule="exact"/>
                    </w:trPr>
                    <w:tc>
                      <w:tcPr>
                        <w:tcW w:w="2422"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10"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z w:val="18"/>
                            <w:szCs w:val="18"/>
                          </w:rPr>
                          <w:t>分布式计算技术的一种，通过网络将庞大的计算任务分拆成无数个较小的子程序 </w:t>
                        </w:r>
                        <w:r>
                          <w:rPr>
                            <w:rFonts w:ascii="宋体" w:hAnsi="宋体" w:cs="宋体" w:eastAsia="宋体" w:hint="default"/>
                            <w:spacing w:val="-3"/>
                            <w:sz w:val="18"/>
                            <w:szCs w:val="18"/>
                          </w:rPr>
                          <w:t>再交由多部服务器组成的庞大系统处理之后，将结果回传给用户，通过计算力的虚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拟整合实现强大效能的计算技术</w:t>
                        </w:r>
                      </w:p>
                    </w:tc>
                  </w:tr>
                  <w:tr>
                    <w:trPr>
                      <w:trHeight w:val="391" w:hRule="exact"/>
                    </w:trPr>
                    <w:tc>
                      <w:tcPr>
                        <w:tcW w:w="2422" w:type="dxa"/>
                        <w:vMerge/>
                        <w:tcBorders>
                          <w:left w:val="single" w:sz="4" w:space="0" w:color="000000"/>
                          <w:right w:val="single" w:sz="9" w:space="0" w:color="D2D2D2"/>
                        </w:tcBorders>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10" w:space="0" w:color="D2D2D2"/>
                          <w:right w:val="single" w:sz="4" w:space="0" w:color="000000"/>
                        </w:tcBorders>
                      </w:tcPr>
                      <w:p>
                        <w:pPr/>
                      </w:p>
                    </w:tc>
                  </w:tr>
                  <w:tr>
                    <w:trPr>
                      <w:trHeight w:val="317" w:hRule="exact"/>
                    </w:trPr>
                    <w:tc>
                      <w:tcPr>
                        <w:tcW w:w="2422" w:type="dxa"/>
                        <w:vMerge/>
                        <w:tcBorders>
                          <w:left w:val="single" w:sz="4" w:space="0" w:color="000000"/>
                          <w:bottom w:val="single" w:sz="4" w:space="0" w:color="000000"/>
                          <w:right w:val="single" w:sz="9" w:space="0" w:color="D2D2D2"/>
                        </w:tcBorders>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10" w:space="0" w:color="D2D2D2"/>
                          <w:bottom w:val="single" w:sz="4" w:space="0" w:color="000000"/>
                          <w:right w:val="single" w:sz="4" w:space="0" w:color="000000"/>
                        </w:tcBorders>
                      </w:tcPr>
                      <w:p>
                        <w:pPr/>
                      </w:p>
                    </w:tc>
                  </w:tr>
                  <w:tr>
                    <w:trPr>
                      <w:trHeight w:val="403"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分布式数据存储、点对点传输、共识机制、加密算法等计算机技术的新型应用模式</w:t>
                        </w:r>
                      </w:p>
                    </w:tc>
                  </w:tr>
                  <w:tr>
                    <w:trPr>
                      <w:trHeight w:val="161" w:hRule="exact"/>
                    </w:trPr>
                    <w:tc>
                      <w:tcPr>
                        <w:tcW w:w="2422"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10"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3"/>
                            <w:sz w:val="18"/>
                            <w:szCs w:val="18"/>
                          </w:rPr>
                          <w:t>网络与网络之间所串连成的庞大网络，这些网络以一组通用的协议相连，形成逻辑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上的单一巨大国际网络</w:t>
                        </w:r>
                      </w:p>
                    </w:tc>
                  </w:tr>
                  <w:tr>
                    <w:trPr>
                      <w:trHeight w:val="391" w:hRule="exact"/>
                    </w:trPr>
                    <w:tc>
                      <w:tcPr>
                        <w:tcW w:w="2422" w:type="dxa"/>
                        <w:vMerge/>
                        <w:tcBorders>
                          <w:left w:val="single" w:sz="4" w:space="0" w:color="000000"/>
                          <w:right w:val="single" w:sz="9" w:space="0" w:color="D2D2D2"/>
                        </w:tcBorders>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10" w:space="0" w:color="D2D2D2"/>
                          <w:right w:val="single" w:sz="4" w:space="0" w:color="000000"/>
                        </w:tcBorders>
                      </w:tcPr>
                      <w:p>
                        <w:pPr/>
                      </w:p>
                    </w:tc>
                  </w:tr>
                  <w:tr>
                    <w:trPr>
                      <w:trHeight w:val="161" w:hRule="exact"/>
                    </w:trPr>
                    <w:tc>
                      <w:tcPr>
                        <w:tcW w:w="2422" w:type="dxa"/>
                        <w:vMerge/>
                        <w:tcBorders>
                          <w:left w:val="single" w:sz="4" w:space="0" w:color="000000"/>
                          <w:bottom w:val="single" w:sz="4" w:space="0" w:color="000000"/>
                          <w:right w:val="single" w:sz="9" w:space="0" w:color="D2D2D2"/>
                        </w:tcBorders>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10" w:space="0" w:color="D2D2D2"/>
                          <w:bottom w:val="single" w:sz="4" w:space="0" w:color="000000"/>
                          <w:right w:val="single" w:sz="4" w:space="0" w:color="000000"/>
                        </w:tcBorders>
                      </w:tcPr>
                      <w:p>
                        <w:pPr/>
                      </w:p>
                    </w:tc>
                  </w:tr>
                  <w:tr>
                    <w:trPr>
                      <w:trHeight w:val="161" w:hRule="exact"/>
                    </w:trPr>
                    <w:tc>
                      <w:tcPr>
                        <w:tcW w:w="2422"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10"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3"/>
                            <w:sz w:val="18"/>
                            <w:szCs w:val="18"/>
                          </w:rPr>
                          <w:t>当下几乎所有技术与计算机、互联网技术的结合，实现物体与物体之间：环境以及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状态信息实时的实时共享以及智能化的收集、传递、处理、执行</w:t>
                        </w:r>
                      </w:p>
                    </w:tc>
                  </w:tr>
                  <w:tr>
                    <w:trPr>
                      <w:trHeight w:val="394" w:hRule="exact"/>
                    </w:trPr>
                    <w:tc>
                      <w:tcPr>
                        <w:tcW w:w="2422" w:type="dxa"/>
                        <w:vMerge/>
                        <w:tcBorders>
                          <w:left w:val="single" w:sz="4" w:space="0" w:color="000000"/>
                          <w:right w:val="single" w:sz="9" w:space="0" w:color="D2D2D2"/>
                        </w:tcBorders>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10" w:space="0" w:color="D2D2D2"/>
                          <w:right w:val="single" w:sz="4" w:space="0" w:color="000000"/>
                        </w:tcBorders>
                      </w:tcPr>
                      <w:p>
                        <w:pPr/>
                      </w:p>
                    </w:tc>
                  </w:tr>
                  <w:tr>
                    <w:trPr>
                      <w:trHeight w:val="161" w:hRule="exact"/>
                    </w:trPr>
                    <w:tc>
                      <w:tcPr>
                        <w:tcW w:w="2422" w:type="dxa"/>
                        <w:vMerge/>
                        <w:tcBorders>
                          <w:left w:val="single" w:sz="4" w:space="0" w:color="000000"/>
                          <w:bottom w:val="single" w:sz="4" w:space="0" w:color="000000"/>
                          <w:right w:val="single" w:sz="9" w:space="0" w:color="D2D2D2"/>
                        </w:tcBorders>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10" w:space="0" w:color="D2D2D2"/>
                          <w:bottom w:val="single" w:sz="4" w:space="0" w:color="000000"/>
                          <w:right w:val="single" w:sz="4" w:space="0" w:color="000000"/>
                        </w:tcBorders>
                      </w:tcPr>
                      <w:p>
                        <w:pPr/>
                      </w:p>
                    </w:tc>
                  </w:tr>
                  <w:tr>
                    <w:trPr>
                      <w:trHeight w:val="161" w:hRule="exact"/>
                    </w:trPr>
                    <w:tc>
                      <w:tcPr>
                        <w:tcW w:w="2422"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10"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3"/>
                            <w:sz w:val="18"/>
                            <w:szCs w:val="18"/>
                          </w:rPr>
                          <w:t>规模巨大、类型复杂的数据集，这些数据集的规模已超出普通数据库管理工具在可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容忍的运行时间内进行数据捕获、存储和处理的能力</w:t>
                        </w:r>
                      </w:p>
                    </w:tc>
                  </w:tr>
                  <w:tr>
                    <w:trPr>
                      <w:trHeight w:val="391" w:hRule="exact"/>
                    </w:trPr>
                    <w:tc>
                      <w:tcPr>
                        <w:tcW w:w="2422" w:type="dxa"/>
                        <w:vMerge/>
                        <w:tcBorders>
                          <w:left w:val="single" w:sz="4" w:space="0" w:color="000000"/>
                          <w:right w:val="single" w:sz="9" w:space="0" w:color="D2D2D2"/>
                        </w:tcBorders>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10" w:space="0" w:color="D2D2D2"/>
                          <w:right w:val="single" w:sz="4" w:space="0" w:color="000000"/>
                        </w:tcBorders>
                      </w:tcPr>
                      <w:p>
                        <w:pPr/>
                      </w:p>
                    </w:tc>
                  </w:tr>
                  <w:tr>
                    <w:trPr>
                      <w:trHeight w:val="161" w:hRule="exact"/>
                    </w:trPr>
                    <w:tc>
                      <w:tcPr>
                        <w:tcW w:w="2422" w:type="dxa"/>
                        <w:vMerge/>
                        <w:tcBorders>
                          <w:left w:val="single" w:sz="4" w:space="0" w:color="000000"/>
                          <w:bottom w:val="single" w:sz="4" w:space="0" w:color="000000"/>
                          <w:right w:val="single" w:sz="9" w:space="0" w:color="D2D2D2"/>
                        </w:tcBorders>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10" w:space="0" w:color="D2D2D2"/>
                          <w:bottom w:val="single" w:sz="4" w:space="0" w:color="000000"/>
                          <w:right w:val="single" w:sz="4" w:space="0" w:color="000000"/>
                        </w:tcBorders>
                      </w:tcPr>
                      <w:p>
                        <w:pPr/>
                      </w:p>
                    </w:tc>
                  </w:tr>
                  <w:tr>
                    <w:trPr>
                      <w:trHeight w:val="161" w:hRule="exact"/>
                    </w:trPr>
                    <w:tc>
                      <w:tcPr>
                        <w:tcW w:w="2422"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人工智能</w:t>
                        </w: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10"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3"/>
                            <w:sz w:val="18"/>
                            <w:szCs w:val="18"/>
                          </w:rPr>
                          <w:t>研究、开发用于模拟、延伸和扩展人的智能的理论、方法、技术及应用系统的一门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新的技术科学</w:t>
                        </w:r>
                      </w:p>
                    </w:tc>
                  </w:tr>
                  <w:tr>
                    <w:trPr>
                      <w:trHeight w:val="394" w:hRule="exact"/>
                    </w:trPr>
                    <w:tc>
                      <w:tcPr>
                        <w:tcW w:w="2422" w:type="dxa"/>
                        <w:vMerge/>
                        <w:tcBorders>
                          <w:left w:val="single" w:sz="4" w:space="0" w:color="000000"/>
                          <w:right w:val="single" w:sz="9" w:space="0" w:color="D2D2D2"/>
                        </w:tcBorders>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10" w:space="0" w:color="D2D2D2"/>
                          <w:right w:val="single" w:sz="4" w:space="0" w:color="000000"/>
                        </w:tcBorders>
                      </w:tcPr>
                      <w:p>
                        <w:pPr/>
                      </w:p>
                    </w:tc>
                  </w:tr>
                  <w:tr>
                    <w:trPr>
                      <w:trHeight w:val="161" w:hRule="exact"/>
                    </w:trPr>
                    <w:tc>
                      <w:tcPr>
                        <w:tcW w:w="2422" w:type="dxa"/>
                        <w:vMerge/>
                        <w:tcBorders>
                          <w:left w:val="single" w:sz="4" w:space="0" w:color="000000"/>
                          <w:bottom w:val="single" w:sz="4" w:space="0" w:color="000000"/>
                          <w:right w:val="single" w:sz="9" w:space="0" w:color="D2D2D2"/>
                        </w:tcBorders>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10" w:space="0" w:color="D2D2D2"/>
                          <w:bottom w:val="single" w:sz="4" w:space="0" w:color="000000"/>
                          <w:right w:val="single" w:sz="4" w:space="0" w:color="000000"/>
                        </w:tcBorders>
                      </w:tcPr>
                      <w:p>
                        <w:pPr/>
                      </w:p>
                    </w:tc>
                  </w:tr>
                  <w:tr>
                    <w:trPr>
                      <w:trHeight w:val="401"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IBM</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International Business Machines</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，国际商业机器公司的英文缩写</w:t>
                        </w:r>
                      </w:p>
                    </w:tc>
                  </w:tr>
                  <w:tr>
                    <w:trPr>
                      <w:trHeight w:val="403"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Oracle</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美国甲骨文股份有限公司</w:t>
                        </w:r>
                      </w:p>
                    </w:tc>
                  </w:tr>
                </w:tbl>
                <w:p>
                  <w:pPr/>
                </w:p>
              </w:txbxContent>
            </v:textbox>
            <w10:wrap type="none"/>
          </v:shape>
        </w:pict>
      </w: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53"/>
        <w:jc w:val="left"/>
        <w:rPr>
          <w:b w:val="0"/>
          <w:bCs w:val="0"/>
        </w:rPr>
      </w:pPr>
      <w:bookmarkStart w:name="_TOC_250010"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新晨科技</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300542</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新晨科技股份有限公司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新晨科技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Brilliance Technology Co.,</w:t>
            </w:r>
            <w:r>
              <w:rPr>
                <w:rFonts w:ascii="Times New Roman"/>
                <w:spacing w:val="-25"/>
                <w:sz w:val="18"/>
              </w:rPr>
              <w:t> </w:t>
            </w:r>
            <w:r>
              <w:rPr>
                <w:rFonts w:ascii="Times New Roman"/>
                <w:sz w:val="18"/>
              </w:rPr>
              <w:t>Ltd.</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康路</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北京市海淀区蓝靛厂东路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号院金源时代商务中心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层</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100097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北京市海淀区蓝靛厂东路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号院金源时代商务中心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层</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100097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http://www.brilliance.com.cn</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brilliance@brilliance.com.cn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张大新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丁菲</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93"/>
              <w:jc w:val="left"/>
              <w:rPr>
                <w:rFonts w:ascii="宋体" w:hAnsi="宋体" w:cs="宋体" w:eastAsia="宋体" w:hint="default"/>
                <w:sz w:val="18"/>
                <w:szCs w:val="18"/>
              </w:rPr>
            </w:pPr>
            <w:r>
              <w:rPr>
                <w:rFonts w:ascii="宋体" w:hAnsi="宋体" w:cs="宋体" w:eastAsia="宋体" w:hint="default"/>
                <w:sz w:val="18"/>
                <w:szCs w:val="18"/>
              </w:rPr>
              <w:t>北京市海淀区蓝靛厂东路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号院金源时 代商务中心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北京市海淀区蓝靛厂东路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号院金源时 代商务中心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010-88877301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010-88877301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010-88877301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010-88877301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0">
              <w:r>
                <w:rPr>
                  <w:rFonts w:ascii="Times New Roman"/>
                  <w:sz w:val="18"/>
                </w:rPr>
                <w:t>brilliance@brilliance.com.cn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brilliance@brilliance.com.cn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证券时报、上海证券报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1">
              <w:r>
                <w:rPr>
                  <w:rFonts w:ascii="Times New Roman" w:hAnsi="Times New Roman" w:cs="Times New Roman" w:eastAsia="Times New Roman" w:hint="default"/>
                  <w:sz w:val="18"/>
                  <w:szCs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四、其他有关资料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层</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刘黎 </w:t>
            </w:r>
            <w:r>
              <w:rPr>
                <w:rFonts w:ascii="宋体" w:hAnsi="宋体" w:cs="宋体" w:eastAsia="宋体" w:hint="default"/>
                <w:spacing w:val="2"/>
                <w:sz w:val="18"/>
                <w:szCs w:val="18"/>
              </w:rPr>
              <w:t> </w:t>
            </w:r>
            <w:r>
              <w:rPr>
                <w:rFonts w:ascii="宋体" w:hAnsi="宋体" w:cs="宋体" w:eastAsia="宋体" w:hint="default"/>
                <w:sz w:val="18"/>
                <w:szCs w:val="18"/>
              </w:rPr>
              <w:t>李峰</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北京市西城区阜成门北大街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号国投金融大厦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tabs>
                <w:tab w:pos="657" w:val="left" w:leader="none"/>
              </w:tabs>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乔岩</w:t>
              <w:tab/>
              <w:t>程桃红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227"/>
        <w:gridCol w:w="1307"/>
        <w:gridCol w:w="1738"/>
        <w:gridCol w:w="1738"/>
        <w:gridCol w:w="1735"/>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70" w:right="0"/>
              <w:jc w:val="left"/>
              <w:rPr>
                <w:rFonts w:ascii="Times New Roman" w:hAnsi="Times New Roman" w:cs="Times New Roman" w:eastAsia="Times New Roman" w:hint="default"/>
                <w:sz w:val="18"/>
                <w:szCs w:val="18"/>
              </w:rPr>
            </w:pPr>
            <w:r>
              <w:rPr>
                <w:rFonts w:ascii="Times New Roman"/>
                <w:sz w:val="18"/>
              </w:rPr>
              <w:t>606,451,812.65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431,422,441.35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413,527,153.77</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22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36,187,810.88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34,396,365.86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35,158,093.73</w:t>
            </w:r>
          </w:p>
        </w:tc>
      </w:tr>
      <w:tr>
        <w:trPr>
          <w:trHeight w:val="715"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1" w:right="0"/>
              <w:jc w:val="left"/>
              <w:rPr>
                <w:rFonts w:ascii="Times New Roman" w:hAnsi="Times New Roman" w:cs="Times New Roman" w:eastAsia="Times New Roman" w:hint="default"/>
                <w:sz w:val="18"/>
                <w:szCs w:val="18"/>
              </w:rPr>
            </w:pPr>
            <w:r>
              <w:rPr>
                <w:rFonts w:ascii="Times New Roman"/>
                <w:sz w:val="18"/>
              </w:rPr>
              <w:t>34,334,463.34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32,866,272.94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32,211,285.19</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22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-491,616.54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-10,002,159.38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-16,562,986.86</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0.52</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0.52</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5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70" w:right="0"/>
              <w:jc w:val="left"/>
              <w:rPr>
                <w:rFonts w:ascii="Times New Roman" w:hAnsi="Times New Roman" w:cs="Times New Roman" w:eastAsia="Times New Roman" w:hint="default"/>
                <w:sz w:val="18"/>
                <w:szCs w:val="18"/>
              </w:rPr>
            </w:pPr>
            <w:r>
              <w:rPr>
                <w:rFonts w:ascii="Times New Roman"/>
                <w:sz w:val="18"/>
              </w:rPr>
              <w:t>789,485,927.16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726,524,324.50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548,479,027.99</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22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595,145,700.50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563,032,700.01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371,160,995.30</w:t>
            </w:r>
          </w:p>
        </w:tc>
      </w:tr>
    </w:tbl>
    <w:p>
      <w:pPr>
        <w:spacing w:line="240" w:lineRule="auto" w:before="11"/>
        <w:rPr>
          <w:rFonts w:ascii="宋体" w:hAnsi="宋体" w:cs="宋体" w:eastAsia="宋体" w:hint="default"/>
          <w:sz w:val="17"/>
          <w:szCs w:val="17"/>
        </w:rPr>
      </w:pPr>
    </w:p>
    <w:p>
      <w:pPr>
        <w:pStyle w:val="Heading2"/>
        <w:spacing w:line="240" w:lineRule="auto" w:before="26"/>
        <w:ind w:right="0"/>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2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13"/>
        <w:gridCol w:w="1741"/>
        <w:gridCol w:w="1728"/>
        <w:gridCol w:w="1731"/>
        <w:gridCol w:w="1728"/>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87,597,453.50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160,549,382.39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131,310,637.79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226,994,338.97</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-2,940,108.01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10,507,848.81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2,972,435.26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25,647,634.82</w:t>
            </w:r>
          </w:p>
        </w:tc>
      </w:tr>
      <w:tr>
        <w:trPr>
          <w:trHeight w:val="715"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-3,008,068.15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10,260,693.41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2,904,323.00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24,177,515.08</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-64,896,432.49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-49,372,310.84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-23,514,807.62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137,291,934.41</w:t>
            </w:r>
          </w:p>
        </w:tc>
      </w:tr>
    </w:tbl>
    <w:p>
      <w:pPr>
        <w:pStyle w:val="BodyText"/>
        <w:spacing w:line="240" w:lineRule="auto" w:before="49"/>
        <w:ind w:right="0"/>
        <w:jc w:val="left"/>
      </w:pPr>
      <w:r>
        <w:rPr/>
        <w:t>上述财务指标或其加总数是否与公司已披露季度报告、半年度报告相关财务指标存在重大差异</w:t>
      </w:r>
    </w:p>
    <w:p>
      <w:pPr>
        <w:spacing w:after="0" w:line="240" w:lineRule="auto"/>
        <w:jc w:val="left"/>
        <w:sectPr>
          <w:pgSz w:w="11910" w:h="16840"/>
          <w:pgMar w:header="745" w:footer="980" w:top="1060" w:bottom="1160" w:left="980" w:right="90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2"/>
        <w:spacing w:line="240" w:lineRule="auto"/>
        <w:ind w:right="153"/>
        <w:jc w:val="left"/>
        <w:rPr>
          <w:b w:val="0"/>
          <w:bCs w:val="0"/>
        </w:rPr>
      </w:pP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44"/>
        <w:ind w:left="0" w:right="170"/>
        <w:jc w:val="right"/>
      </w:pPr>
      <w:r>
        <w:rPr/>
        <w:pict>
          <v:shape style="position:absolute;margin-left:56.400002pt;margin-top:-134.548248pt;width:478.55pt;height:312.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6"/>
                    <w:gridCol w:w="1529"/>
                    <w:gridCol w:w="1532"/>
                    <w:gridCol w:w="1531"/>
                    <w:gridCol w:w="2269"/>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5"/>
                            <w:sz w:val="18"/>
                            <w:szCs w:val="18"/>
                          </w:rPr>
                          <w:t>非流动资产处置损益（包括已计提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资产减值准备的冲销部分）</w:t>
                        </w:r>
                      </w:p>
                    </w:tc>
                    <w:tc>
                      <w:tcPr>
                        <w:tcW w:w="1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-30,165.61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-4,721.70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-41,455.77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非流动资产处置损益为固定 资产处置损益</w:t>
                        </w:r>
                      </w:p>
                    </w:tc>
                  </w:tr>
                  <w:tr>
                    <w:trPr>
                      <w:trHeight w:val="1097" w:hRule="exact"/>
                    </w:trPr>
                    <w:tc>
                      <w:tcPr>
                        <w:tcW w:w="2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2,037,827.88</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1,044,278.04</w:t>
                        </w:r>
                      </w:p>
                    </w:tc>
                    <w:tc>
                      <w:tcPr>
                        <w:tcW w:w="15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1,963,530.64</w:t>
                        </w:r>
                      </w:p>
                    </w:tc>
                    <w:tc>
                      <w:tcPr>
                        <w:tcW w:w="2269"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国家高技术研究发展计划</w:t>
                        </w:r>
                      </w:p>
                      <w:p>
                        <w:pPr>
                          <w:pStyle w:val="TableParagraph"/>
                          <w:spacing w:line="309" w:lineRule="auto" w:before="76"/>
                          <w:ind w:left="23"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863 </w:t>
                        </w:r>
                        <w:r>
                          <w:rPr>
                            <w:rFonts w:ascii="宋体" w:hAnsi="宋体" w:cs="宋体" w:eastAsia="宋体" w:hint="default"/>
                            <w:spacing w:val="-8"/>
                            <w:sz w:val="18"/>
                            <w:szCs w:val="18"/>
                          </w:rPr>
                          <w:t>计划）基金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316,901.88 </w:t>
                        </w:r>
                        <w:r>
                          <w:rPr>
                            <w:rFonts w:ascii="宋体" w:hAnsi="宋体" w:cs="宋体" w:eastAsia="宋体" w:hint="default"/>
                            <w:sz w:val="18"/>
                            <w:szCs w:val="18"/>
                          </w:rPr>
                          <w:t>元；中关村企业信用促进会 中介服务支持资金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20,000.00 </w:t>
                        </w:r>
                        <w:r>
                          <w:rPr>
                            <w:rFonts w:ascii="宋体" w:hAnsi="宋体" w:cs="宋体" w:eastAsia="宋体" w:hint="default"/>
                            <w:sz w:val="18"/>
                            <w:szCs w:val="18"/>
                          </w:rPr>
                          <w:t>元；中关村科管委中小企业 信用贷款贴息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110,926.00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元</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上海市长宁区</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年度信息</w:t>
                        </w:r>
                      </w:p>
                      <w:p>
                        <w:pPr>
                          <w:pStyle w:val="TableParagraph"/>
                          <w:spacing w:line="309"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消费专项资金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1,500,000.00 </w:t>
                        </w:r>
                        <w:r>
                          <w:rPr>
                            <w:rFonts w:ascii="宋体" w:hAnsi="宋体" w:cs="宋体" w:eastAsia="宋体" w:hint="default"/>
                            <w:sz w:val="18"/>
                            <w:szCs w:val="18"/>
                          </w:rPr>
                          <w:t>元；上海市长宁区支持经济 发展专项资金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15" w:hRule="exact"/>
                    </w:trPr>
                    <w:tc>
                      <w:tcPr>
                        <w:tcW w:w="2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pacing w:val="-5"/>
                            <w:sz w:val="18"/>
                            <w:szCs w:val="18"/>
                          </w:rPr>
                          <w:t>计入当期损益的政府补助（与企业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业务密切相关，按照国家统一标准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定额或定量享受的政府补助除外）</w:t>
                        </w:r>
                      </w:p>
                    </w:tc>
                    <w:tc>
                      <w:tcPr>
                        <w:tcW w:w="1529" w:type="dxa"/>
                        <w:vMerge/>
                        <w:tcBorders>
                          <w:left w:val="single" w:sz="10" w:space="0" w:color="D2D2D2"/>
                          <w:right w:val="single" w:sz="4" w:space="0" w:color="000000"/>
                        </w:tcBorders>
                      </w:tcPr>
                      <w:p>
                        <w:pPr/>
                      </w:p>
                    </w:tc>
                    <w:tc>
                      <w:tcPr>
                        <w:tcW w:w="1532" w:type="dxa"/>
                        <w:vMerge/>
                        <w:tcBorders>
                          <w:left w:val="single" w:sz="4" w:space="0" w:color="000000"/>
                          <w:right w:val="single" w:sz="4" w:space="0" w:color="000000"/>
                        </w:tcBorders>
                      </w:tcPr>
                      <w:p>
                        <w:pPr/>
                      </w:p>
                    </w:tc>
                    <w:tc>
                      <w:tcPr>
                        <w:tcW w:w="1531" w:type="dxa"/>
                        <w:vMerge/>
                        <w:tcBorders>
                          <w:left w:val="single" w:sz="4" w:space="0" w:color="000000"/>
                          <w:right w:val="single" w:sz="4" w:space="0" w:color="000000"/>
                        </w:tcBorders>
                      </w:tcPr>
                      <w:p>
                        <w:pPr/>
                      </w:p>
                    </w:tc>
                    <w:tc>
                      <w:tcPr>
                        <w:tcW w:w="2269" w:type="dxa"/>
                        <w:vMerge/>
                        <w:tcBorders>
                          <w:left w:val="single" w:sz="4" w:space="0" w:color="000000"/>
                          <w:right w:val="single" w:sz="4" w:space="0" w:color="000000"/>
                        </w:tcBorders>
                      </w:tcPr>
                      <w:p>
                        <w:pPr/>
                      </w:p>
                    </w:tc>
                  </w:tr>
                  <w:tr>
                    <w:trPr>
                      <w:trHeight w:val="1097" w:hRule="exact"/>
                    </w:trPr>
                    <w:tc>
                      <w:tcPr>
                        <w:tcW w:w="2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vMerge/>
                        <w:tcBorders>
                          <w:left w:val="single" w:sz="10" w:space="0" w:color="D2D2D2"/>
                          <w:bottom w:val="single" w:sz="4" w:space="0" w:color="000000"/>
                          <w:right w:val="single" w:sz="4" w:space="0" w:color="000000"/>
                        </w:tcBorders>
                      </w:tcPr>
                      <w:p>
                        <w:pPr/>
                      </w:p>
                    </w:tc>
                    <w:tc>
                      <w:tcPr>
                        <w:tcW w:w="1532" w:type="dxa"/>
                        <w:vMerge/>
                        <w:tcBorders>
                          <w:left w:val="single" w:sz="4" w:space="0" w:color="000000"/>
                          <w:bottom w:val="single" w:sz="4" w:space="0" w:color="000000"/>
                          <w:right w:val="single" w:sz="4" w:space="0" w:color="000000"/>
                        </w:tcBorders>
                      </w:tcPr>
                      <w:p>
                        <w:pPr/>
                      </w:p>
                    </w:tc>
                    <w:tc>
                      <w:tcPr>
                        <w:tcW w:w="1531" w:type="dxa"/>
                        <w:vMerge/>
                        <w:tcBorders>
                          <w:left w:val="single" w:sz="4" w:space="0" w:color="000000"/>
                          <w:bottom w:val="single" w:sz="4" w:space="0" w:color="000000"/>
                          <w:right w:val="single" w:sz="4" w:space="0" w:color="000000"/>
                        </w:tcBorders>
                      </w:tcPr>
                      <w:p>
                        <w:pPr/>
                      </w:p>
                    </w:tc>
                    <w:tc>
                      <w:tcPr>
                        <w:tcW w:w="2269" w:type="dxa"/>
                        <w:vMerge/>
                        <w:tcBorders>
                          <w:left w:val="single" w:sz="4" w:space="0" w:color="000000"/>
                          <w:bottom w:val="single" w:sz="4" w:space="0" w:color="000000"/>
                          <w:right w:val="single" w:sz="4" w:space="0" w:color="000000"/>
                        </w:tcBorders>
                      </w:tcPr>
                      <w:p>
                        <w:pP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 入和支出</w:t>
                        </w:r>
                      </w:p>
                    </w:tc>
                    <w:tc>
                      <w:tcPr>
                        <w:tcW w:w="1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153,821.39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779,037.90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1,551,011.91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个人所得税手续费返还</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153,821.39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308,136.12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288,501.32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526,016.04</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38"/>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9" w:type="dxa"/>
                        <w:tcBorders>
                          <w:top w:val="single" w:sz="4" w:space="0" w:color="000000"/>
                          <w:left w:val="single" w:sz="13" w:space="0" w:color="D2D2D2"/>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262.20</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1,853,347.54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1,530,092.92</w:t>
                        </w:r>
                      </w:p>
                    </w:tc>
                    <w:tc>
                      <w:tcPr>
                        <w:tcW w:w="15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2,946,808.54</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0"/>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p>
    <w:p>
      <w:pPr>
        <w:spacing w:after="0" w:line="240" w:lineRule="auto"/>
        <w:jc w:val="left"/>
        <w:sectPr>
          <w:footerReference w:type="default" r:id="rId12"/>
          <w:pgSz w:w="11910" w:h="16840"/>
          <w:pgMar w:footer="1501" w:header="745" w:top="1060" w:bottom="1700" w:left="980" w:right="980"/>
          <w:pgNumType w:start="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536"/>
        <w:jc w:val="center"/>
        <w:rPr>
          <w:b w:val="0"/>
          <w:bCs w:val="0"/>
        </w:rPr>
      </w:pPr>
      <w:bookmarkStart w:name="_TOC_250009"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6" w:lineRule="auto" w:before="25"/>
        <w:ind w:left="513" w:right="93"/>
        <w:jc w:val="left"/>
      </w:pPr>
      <w:r>
        <w:rPr/>
        <w:t>（一）主要业务、主要产品及其用途 </w:t>
      </w:r>
      <w:r>
        <w:rPr>
          <w:spacing w:val="-2"/>
        </w:rPr>
        <w:t>新晨科技是以金融行业为核心，覆盖空管、媒体、政府机构及大中型国有企事业单位等行业的专业信息化解决方案与服</w:t>
      </w:r>
    </w:p>
    <w:p>
      <w:pPr>
        <w:pStyle w:val="BodyText"/>
        <w:spacing w:line="316" w:lineRule="auto" w:before="19"/>
        <w:ind w:right="93"/>
        <w:jc w:val="left"/>
      </w:pPr>
      <w:r>
        <w:rPr>
          <w:spacing w:val="-2"/>
        </w:rPr>
        <w:t>务的供应商。公司以技术为核心，提供软件开发、系统集成、专业技术服务等多层次的行业信息化服务。自设立以来，公司</w:t>
      </w:r>
      <w:r>
        <w:rPr>
          <w:spacing w:val="-68"/>
        </w:rPr>
        <w:t> </w:t>
      </w:r>
      <w:r>
        <w:rPr>
          <w:spacing w:val="-68"/>
        </w:rPr>
      </w:r>
      <w:r>
        <w:rPr/>
        <w:t>主营业务未发生变更。</w:t>
      </w:r>
    </w:p>
    <w:p>
      <w:pPr>
        <w:pStyle w:val="BodyText"/>
        <w:spacing w:line="300" w:lineRule="auto" w:before="19"/>
        <w:ind w:left="513" w:right="93"/>
        <w:jc w:val="left"/>
      </w:pPr>
      <w:r>
        <w:rPr>
          <w:rFonts w:ascii="Times New Roman" w:hAnsi="Times New Roman" w:cs="Times New Roman" w:eastAsia="Times New Roman" w:hint="default"/>
        </w:rPr>
        <w:t>1</w:t>
      </w:r>
      <w:r>
        <w:rPr/>
        <w:t>、软件开发业务 新晨科技具备了雄厚的软件研发和项目实施实力，拥有强大的、覆盖全国的技术支持服务体系以及长期从事技术咨询、</w:t>
      </w:r>
    </w:p>
    <w:p>
      <w:pPr>
        <w:pStyle w:val="BodyText"/>
        <w:spacing w:line="316" w:lineRule="auto" w:before="31"/>
        <w:ind w:right="93"/>
        <w:jc w:val="left"/>
      </w:pPr>
      <w:r>
        <w:rPr>
          <w:spacing w:val="-2"/>
        </w:rPr>
        <w:t>服务和项目实施的经验。其核心产品交换平台、渠道整合云平台及电子渠道产品、贸易融资结算系统、协作云平台等系列产</w:t>
      </w:r>
      <w:r>
        <w:rPr>
          <w:spacing w:val="-65"/>
        </w:rPr>
        <w:t> </w:t>
      </w:r>
      <w:r>
        <w:rPr>
          <w:spacing w:val="-65"/>
        </w:rPr>
      </w:r>
      <w:r>
        <w:rPr/>
        <w:t>品和解决方案在金融、空管、媒体等行业得到广泛应用。</w:t>
      </w:r>
    </w:p>
    <w:p>
      <w:pPr>
        <w:pStyle w:val="BodyText"/>
        <w:spacing w:line="309" w:lineRule="auto" w:before="19"/>
        <w:ind w:right="190" w:firstLine="360"/>
        <w:jc w:val="both"/>
      </w:pPr>
      <w:r>
        <w:rPr>
          <w:spacing w:val="-2"/>
        </w:rPr>
        <w:t>交换平台是公司核心技术平台，可为各个应用系统提供统一的格式转换、统一的业务路由、统一的事务管理、统一监控</w:t>
      </w:r>
      <w:r>
        <w:rPr/>
        <w:t> </w:t>
      </w:r>
      <w:r>
        <w:rPr>
          <w:spacing w:val="-2"/>
        </w:rPr>
        <w:t>管理，实现统一的信息数据交换。由于交换平台核心服务</w:t>
      </w:r>
      <w:r>
        <w:rPr>
          <w:rFonts w:ascii="Times New Roman" w:hAnsi="Times New Roman" w:cs="Times New Roman" w:eastAsia="Times New Roman" w:hint="default"/>
          <w:spacing w:val="-2"/>
        </w:rPr>
        <w:t>——</w:t>
      </w:r>
      <w:r>
        <w:rPr>
          <w:spacing w:val="-2"/>
        </w:rPr>
        <w:t>信息数据交换服务具有同质性，因此，交换平台被广泛应用到</w:t>
      </w:r>
      <w:r>
        <w:rPr>
          <w:spacing w:val="-63"/>
        </w:rPr>
        <w:t> </w:t>
      </w:r>
      <w:r>
        <w:rPr>
          <w:spacing w:val="-63"/>
        </w:rPr>
      </w:r>
      <w:r>
        <w:rPr/>
        <w:t>具有信息数据交换需求的多个应用领域。</w:t>
      </w:r>
    </w:p>
    <w:p>
      <w:pPr>
        <w:pStyle w:val="BodyText"/>
        <w:spacing w:line="316" w:lineRule="auto" w:before="24"/>
        <w:ind w:right="190" w:firstLine="360"/>
        <w:jc w:val="both"/>
      </w:pPr>
      <w:r>
        <w:rPr>
          <w:spacing w:val="-2"/>
        </w:rPr>
        <w:t>渠道整合云平台及电子渠道产品是公司在金融行业渠道层上的主要产品和解决方案。新晨渠道整合云平台基于分布式架</w:t>
      </w:r>
      <w:r>
        <w:rPr/>
        <w:t> </w:t>
      </w:r>
      <w:r>
        <w:rPr>
          <w:spacing w:val="-2"/>
        </w:rPr>
        <w:t>构构建，为各渠道建立统一的数据标准和服务规范，实现渠道交易信息的统一传递和交易数据的统一分发，以及统一的安全</w:t>
      </w:r>
      <w:r>
        <w:rPr>
          <w:spacing w:val="-63"/>
        </w:rPr>
        <w:t> </w:t>
      </w:r>
      <w:r>
        <w:rPr>
          <w:spacing w:val="-63"/>
        </w:rPr>
      </w:r>
      <w:r>
        <w:rPr>
          <w:spacing w:val="-2"/>
        </w:rPr>
        <w:t>认证和授权、统一的系统接入、统一的信息模型及转换、统一的流程管理、便捷的监控管理等功能，以满足新业务的快速部</w:t>
      </w:r>
      <w:r>
        <w:rPr>
          <w:spacing w:val="-67"/>
        </w:rPr>
        <w:t> </w:t>
      </w:r>
      <w:r>
        <w:rPr>
          <w:spacing w:val="-67"/>
        </w:rPr>
      </w:r>
      <w:r>
        <w:rPr>
          <w:spacing w:val="-2"/>
        </w:rPr>
        <w:t>署、多渠道发布、主动营销、统一客户视图等市场需求。新晨渠道整合云平台在国有大型银行、股份制银行以及地区性商业</w:t>
      </w:r>
      <w:r>
        <w:rPr>
          <w:spacing w:val="-65"/>
        </w:rPr>
        <w:t> </w:t>
      </w:r>
      <w:r>
        <w:rPr>
          <w:spacing w:val="-65"/>
        </w:rPr>
      </w:r>
      <w:r>
        <w:rPr/>
        <w:t>银行都有成功应用。</w:t>
      </w:r>
    </w:p>
    <w:p>
      <w:pPr>
        <w:pStyle w:val="BodyText"/>
        <w:spacing w:line="316" w:lineRule="auto" w:before="19"/>
        <w:ind w:right="192" w:firstLine="360"/>
        <w:jc w:val="both"/>
      </w:pPr>
      <w:r>
        <w:rPr>
          <w:spacing w:val="-2"/>
        </w:rPr>
        <w:t>贸易融资结算系统是公司在金融行业核心业务层上的主要产品和解决方案。新晨贸易融资结算系统全面覆盖了国际结算</w:t>
      </w:r>
      <w:r>
        <w:rPr/>
        <w:t> </w:t>
      </w:r>
      <w:r>
        <w:rPr>
          <w:spacing w:val="-2"/>
        </w:rPr>
        <w:t>的各项业务品种，提供外汇资金和清算的支持，系统还包含国际支付前置、外汇监管报送、授信管理、供应链金融等多个子</w:t>
      </w:r>
      <w:r>
        <w:rPr>
          <w:spacing w:val="-67"/>
        </w:rPr>
        <w:t> </w:t>
      </w:r>
      <w:r>
        <w:rPr>
          <w:spacing w:val="-67"/>
        </w:rPr>
      </w:r>
      <w:r>
        <w:rPr/>
        <w:t>系统，能为客户提供一站式的贸易融资结算解决方案。目前在</w:t>
      </w:r>
      <w:r>
        <w:rPr>
          <w:rFonts w:ascii="Times New Roman" w:hAnsi="Times New Roman" w:cs="Times New Roman" w:eastAsia="Times New Roman" w:hint="default"/>
        </w:rPr>
        <w:t>30</w:t>
      </w:r>
      <w:r>
        <w:rPr/>
        <w:t>家以上的股份制银行以及地区性商业银行都有成功应用。</w:t>
      </w:r>
    </w:p>
    <w:p>
      <w:pPr>
        <w:pStyle w:val="BodyText"/>
        <w:spacing w:line="316" w:lineRule="auto"/>
        <w:ind w:right="192" w:firstLine="360"/>
        <w:jc w:val="both"/>
      </w:pPr>
      <w:r>
        <w:rPr>
          <w:spacing w:val="-2"/>
        </w:rPr>
        <w:t>协作云平台是公司在金融行业业务支撑层上的主要产品，是具备快捷协作能力的特色业务处理云平台，实现了总分行协</w:t>
      </w:r>
      <w:r>
        <w:rPr/>
        <w:t> </w:t>
      </w:r>
      <w:r>
        <w:rPr>
          <w:spacing w:val="-2"/>
        </w:rPr>
        <w:t>作以及银企协作。分行特色业务采用总分行协作的方式，统一接入总行平台，快速开发部署。总行进行抽象组件开发、标准</w:t>
      </w:r>
      <w:r>
        <w:rPr>
          <w:spacing w:val="-67"/>
        </w:rPr>
        <w:t> </w:t>
      </w:r>
      <w:r>
        <w:rPr>
          <w:spacing w:val="-67"/>
        </w:rPr>
      </w:r>
      <w:r>
        <w:rPr>
          <w:spacing w:val="-2"/>
        </w:rPr>
        <w:t>业务模型的构建；分行使用平台向导裁剪业务模型、适配标准接口、与第三方联调测试。对于特定行业的应用场景，将标准</w:t>
      </w:r>
      <w:r>
        <w:rPr>
          <w:spacing w:val="-67"/>
        </w:rPr>
        <w:t> </w:t>
      </w:r>
      <w:r>
        <w:rPr>
          <w:spacing w:val="-67"/>
        </w:rPr>
      </w:r>
      <w:r>
        <w:rPr/>
        <w:t>业务模型固化，同时为两方的终端客户提供完整的管理平台与渠道，形成可复用的软件产品。</w:t>
      </w:r>
    </w:p>
    <w:p>
      <w:pPr>
        <w:pStyle w:val="BodyText"/>
        <w:spacing w:line="300" w:lineRule="auto" w:before="19"/>
        <w:ind w:right="100" w:firstLine="360"/>
        <w:jc w:val="both"/>
      </w:pPr>
      <w:r>
        <w:rPr>
          <w:rFonts w:ascii="Times New Roman" w:hAnsi="Times New Roman" w:cs="Times New Roman" w:eastAsia="Times New Roman" w:hint="default"/>
          <w:spacing w:val="-2"/>
        </w:rPr>
        <w:t>2017</w:t>
      </w:r>
      <w:r>
        <w:rPr>
          <w:spacing w:val="-2"/>
        </w:rPr>
        <w:t>年度，公司新增</w:t>
      </w:r>
      <w:r>
        <w:rPr>
          <w:rFonts w:ascii="Times New Roman" w:hAnsi="Times New Roman" w:cs="Times New Roman" w:eastAsia="Times New Roman" w:hint="default"/>
          <w:spacing w:val="-2"/>
        </w:rPr>
        <w:t>21</w:t>
      </w:r>
      <w:r>
        <w:rPr>
          <w:spacing w:val="-2"/>
        </w:rPr>
        <w:t>个软件著作权认证证书，新增</w:t>
      </w:r>
      <w:r>
        <w:rPr>
          <w:rFonts w:ascii="Times New Roman" w:hAnsi="Times New Roman" w:cs="Times New Roman" w:eastAsia="Times New Roman" w:hint="default"/>
          <w:spacing w:val="-2"/>
        </w:rPr>
        <w:t>1</w:t>
      </w:r>
      <w:r>
        <w:rPr>
          <w:spacing w:val="-2"/>
        </w:rPr>
        <w:t>项发明专利，对公司开拓市场、提升品牌影响力产生积极的作用，</w:t>
      </w:r>
      <w:r>
        <w:rPr/>
        <w:t> 有利于公司保持技术的领先性，提升了公司的核心竞争力。</w:t>
      </w:r>
    </w:p>
    <w:p>
      <w:pPr>
        <w:pStyle w:val="BodyText"/>
        <w:spacing w:line="300" w:lineRule="auto" w:before="31"/>
        <w:ind w:left="513" w:right="93"/>
        <w:jc w:val="left"/>
      </w:pPr>
      <w:r>
        <w:rPr>
          <w:rFonts w:ascii="Times New Roman" w:hAnsi="Times New Roman" w:cs="Times New Roman" w:eastAsia="Times New Roman" w:hint="default"/>
        </w:rPr>
        <w:t>2</w:t>
      </w:r>
      <w:r>
        <w:rPr/>
        <w:t>、系统集成业务 </w:t>
      </w:r>
      <w:r>
        <w:rPr>
          <w:spacing w:val="-2"/>
        </w:rPr>
        <w:t>公司自成立以来一直从事系统集成相关业务，形成了从设计规划、实施、管理到技术支持与服务完整而强大的系统集成</w:t>
      </w:r>
    </w:p>
    <w:p>
      <w:pPr>
        <w:pStyle w:val="BodyText"/>
        <w:spacing w:line="319" w:lineRule="auto" w:before="31"/>
        <w:ind w:left="513" w:right="93" w:hanging="361"/>
        <w:jc w:val="left"/>
      </w:pPr>
      <w:r>
        <w:rPr/>
        <w:t>能力，在系统安全性、可靠性、可用性及成本控制和运营管理等方面具有较强的综合竞争能力。 </w:t>
      </w:r>
      <w:r>
        <w:rPr>
          <w:spacing w:val="-2"/>
        </w:rPr>
        <w:t>系统集成业务是公司根据客户的业务特点和个性化需求，向客户提供计算机硬件设备、第三方软件及系统架构的集成服</w:t>
      </w:r>
    </w:p>
    <w:p>
      <w:pPr>
        <w:pStyle w:val="BodyText"/>
        <w:spacing w:line="316" w:lineRule="auto" w:before="17"/>
        <w:ind w:right="93"/>
        <w:jc w:val="left"/>
      </w:pPr>
      <w:r>
        <w:rPr>
          <w:spacing w:val="-2"/>
        </w:rPr>
        <w:t>务，帮助客户构建一套整体的计算机软硬件信息系统环境，用于客户的信息化办公和业务运行管理。目前公司系统集成业务</w:t>
      </w:r>
      <w:r>
        <w:rPr>
          <w:spacing w:val="-61"/>
        </w:rPr>
        <w:t> </w:t>
      </w:r>
      <w:r>
        <w:rPr>
          <w:spacing w:val="-61"/>
        </w:rPr>
      </w:r>
      <w:r>
        <w:rPr/>
        <w:t>主要包括：网络集成、数据中心、容灾备份、虚拟化、信息安全等解决方案。</w:t>
      </w:r>
    </w:p>
    <w:p>
      <w:pPr>
        <w:pStyle w:val="BodyText"/>
        <w:spacing w:line="300" w:lineRule="auto" w:before="19"/>
        <w:ind w:left="513" w:right="93"/>
        <w:jc w:val="left"/>
      </w:pPr>
      <w:r>
        <w:rPr>
          <w:rFonts w:ascii="Times New Roman" w:hAnsi="Times New Roman" w:cs="Times New Roman" w:eastAsia="Times New Roman" w:hint="default"/>
        </w:rPr>
        <w:t>3</w:t>
      </w:r>
      <w:r>
        <w:rPr/>
        <w:t>、专业技术服务业务 </w:t>
      </w:r>
      <w:r>
        <w:rPr>
          <w:spacing w:val="-2"/>
        </w:rPr>
        <w:t>公司的专业技术服务主要是基于软件开发和系统集成业务为客户提供技术支持及运营维护等服务，是软件开发和系统集</w:t>
      </w:r>
    </w:p>
    <w:p>
      <w:pPr>
        <w:pStyle w:val="BodyText"/>
        <w:spacing w:line="316" w:lineRule="auto" w:before="31"/>
        <w:ind w:right="93"/>
        <w:jc w:val="left"/>
      </w:pPr>
      <w:r>
        <w:rPr>
          <w:spacing w:val="-2"/>
        </w:rPr>
        <w:t>成业务不可或缺的支持手段。公司已形成了由标准服务、高级服务和咨询服务构成的多级服务体系，从行业客户的战略方案</w:t>
      </w:r>
      <w:r>
        <w:rPr>
          <w:spacing w:val="-63"/>
        </w:rPr>
        <w:t> </w:t>
      </w:r>
      <w:r>
        <w:rPr>
          <w:spacing w:val="-63"/>
        </w:rPr>
      </w:r>
      <w:r>
        <w:rPr/>
        <w:t>制订、系统策划、项目建设等方面，为客户提供产品升级和行业技术咨询服务与培训。</w:t>
      </w:r>
    </w:p>
    <w:p>
      <w:pPr>
        <w:pStyle w:val="BodyText"/>
        <w:spacing w:line="240" w:lineRule="auto" w:before="19"/>
        <w:ind w:left="513" w:right="93"/>
        <w:jc w:val="left"/>
      </w:pPr>
      <w:r>
        <w:rPr/>
        <w:t>（二）公司主要经营模式</w:t>
      </w:r>
    </w:p>
    <w:p>
      <w:pPr>
        <w:spacing w:after="0" w:line="240" w:lineRule="auto"/>
        <w:jc w:val="left"/>
        <w:sectPr>
          <w:footerReference w:type="default" r:id="rId13"/>
          <w:pgSz w:w="11910" w:h="16840"/>
          <w:pgMar w:footer="980" w:header="745" w:top="1060" w:bottom="1160" w:left="980" w:right="940"/>
          <w:pgNumType w:start="8"/>
        </w:sectPr>
      </w:pPr>
    </w:p>
    <w:p>
      <w:pPr>
        <w:spacing w:line="240" w:lineRule="auto" w:before="9"/>
        <w:rPr>
          <w:rFonts w:ascii="宋体" w:hAnsi="宋体" w:cs="宋体" w:eastAsia="宋体" w:hint="default"/>
          <w:sz w:val="25"/>
          <w:szCs w:val="25"/>
        </w:rPr>
      </w:pPr>
    </w:p>
    <w:p>
      <w:pPr>
        <w:pStyle w:val="BodyText"/>
        <w:spacing w:line="300" w:lineRule="auto" w:before="44"/>
        <w:ind w:left="513" w:right="93"/>
        <w:jc w:val="left"/>
      </w:pPr>
      <w:r>
        <w:rPr>
          <w:rFonts w:ascii="Times New Roman" w:hAnsi="Times New Roman" w:cs="Times New Roman" w:eastAsia="Times New Roman" w:hint="default"/>
        </w:rPr>
        <w:t>1</w:t>
      </w:r>
      <w:r>
        <w:rPr/>
        <w:t>、盈利模式 </w:t>
      </w:r>
      <w:r>
        <w:rPr>
          <w:spacing w:val="-2"/>
        </w:rPr>
        <w:t>公司为行业客户提供围绕</w:t>
      </w:r>
      <w:r>
        <w:rPr>
          <w:rFonts w:ascii="Times New Roman" w:hAnsi="Times New Roman" w:cs="Times New Roman" w:eastAsia="Times New Roman" w:hint="default"/>
          <w:spacing w:val="-2"/>
        </w:rPr>
        <w:t>IT</w:t>
      </w:r>
      <w:r>
        <w:rPr>
          <w:spacing w:val="-2"/>
        </w:rPr>
        <w:t>基础建设的系统集成服务，以自有软件为核心的业务应用软件开发和项目实施服务，以专业</w:t>
      </w:r>
    </w:p>
    <w:p>
      <w:pPr>
        <w:pStyle w:val="BodyText"/>
        <w:spacing w:line="316" w:lineRule="auto" w:before="13"/>
        <w:ind w:right="93"/>
        <w:jc w:val="left"/>
      </w:pPr>
      <w:r>
        <w:rPr>
          <w:spacing w:val="-2"/>
        </w:rPr>
        <w:t>化的流程体系和优秀的技术人才为支撑的技术支持服务，以丰富的业务经验和专业技能为基础的顾问咨询服务，并从中获得</w:t>
      </w:r>
      <w:r>
        <w:rPr>
          <w:spacing w:val="-64"/>
        </w:rPr>
        <w:t> </w:t>
      </w:r>
      <w:r>
        <w:rPr>
          <w:spacing w:val="-64"/>
        </w:rPr>
      </w:r>
      <w:r>
        <w:rPr/>
        <w:t>收入和利润。</w:t>
      </w:r>
    </w:p>
    <w:p>
      <w:pPr>
        <w:pStyle w:val="BodyText"/>
        <w:spacing w:line="300" w:lineRule="auto" w:before="19"/>
        <w:ind w:left="513" w:right="93"/>
        <w:jc w:val="left"/>
      </w:pPr>
      <w:r>
        <w:rPr>
          <w:rFonts w:ascii="Times New Roman" w:hAnsi="Times New Roman" w:cs="Times New Roman" w:eastAsia="Times New Roman" w:hint="default"/>
        </w:rPr>
        <w:t>2</w:t>
      </w:r>
      <w:r>
        <w:rPr/>
        <w:t>、采购模式 </w:t>
      </w:r>
      <w:r>
        <w:rPr>
          <w:spacing w:val="-2"/>
        </w:rPr>
        <w:t>在系统集成服务中需要采购的主要为软硬件产品，公司建立了严格的供应商管理制度和采购流程，供应商需要经过资质</w:t>
      </w:r>
    </w:p>
    <w:p>
      <w:pPr>
        <w:pStyle w:val="BodyText"/>
        <w:spacing w:line="316" w:lineRule="auto" w:before="31"/>
        <w:ind w:right="191"/>
        <w:jc w:val="both"/>
      </w:pPr>
      <w:r>
        <w:rPr>
          <w:spacing w:val="-2"/>
        </w:rPr>
        <w:t>审核、内部评审、商务谈判等环节，才能入围公司合格供应商目录。在采购环节，遵循至少有三家合格的供应商进行竞争性</w:t>
      </w:r>
      <w:r>
        <w:rPr>
          <w:spacing w:val="-67"/>
        </w:rPr>
        <w:t> </w:t>
      </w:r>
      <w:r>
        <w:rPr>
          <w:spacing w:val="-67"/>
        </w:rPr>
      </w:r>
      <w:r>
        <w:rPr>
          <w:spacing w:val="-2"/>
        </w:rPr>
        <w:t>谈判原则；数额较大的采购会委托专业的招投标服务机构进行公开招标。同时，公司建立了严格的采购审批制度，并对数额</w:t>
      </w:r>
      <w:r>
        <w:rPr>
          <w:spacing w:val="-64"/>
        </w:rPr>
        <w:t> </w:t>
      </w:r>
      <w:r>
        <w:rPr>
          <w:spacing w:val="-64"/>
        </w:rPr>
      </w:r>
      <w:r>
        <w:rPr/>
        <w:t>较大的采购进行专项审计，规范公司的采购管理。</w:t>
      </w:r>
    </w:p>
    <w:p>
      <w:pPr>
        <w:pStyle w:val="BodyText"/>
        <w:spacing w:line="300" w:lineRule="auto" w:before="19"/>
        <w:ind w:left="513" w:right="93"/>
        <w:jc w:val="left"/>
      </w:pPr>
      <w:r>
        <w:rPr>
          <w:rFonts w:ascii="Times New Roman" w:hAnsi="Times New Roman" w:cs="Times New Roman" w:eastAsia="Times New Roman" w:hint="default"/>
        </w:rPr>
        <w:t>3</w:t>
      </w:r>
      <w:r>
        <w:rPr/>
        <w:t>、生产模式 </w:t>
      </w:r>
      <w:r>
        <w:rPr>
          <w:spacing w:val="-2"/>
        </w:rPr>
        <w:t>公司产品研发团队，通过对目标市场的调研、目标客户业务需求的分析，开发具有自有知识产权的软件产品，并以自有</w:t>
      </w:r>
    </w:p>
    <w:p>
      <w:pPr>
        <w:pStyle w:val="BodyText"/>
        <w:spacing w:line="240" w:lineRule="auto" w:before="31"/>
        <w:ind w:right="93"/>
        <w:jc w:val="left"/>
      </w:pPr>
      <w:r>
        <w:rPr/>
        <w:t>产品为核心，根据客户的业务要求进行定制应用开发和部署。</w:t>
      </w:r>
    </w:p>
    <w:p>
      <w:pPr>
        <w:pStyle w:val="BodyText"/>
        <w:spacing w:line="300" w:lineRule="auto" w:before="76"/>
        <w:ind w:left="513" w:right="93"/>
        <w:jc w:val="left"/>
      </w:pPr>
      <w:r>
        <w:rPr>
          <w:rFonts w:ascii="Times New Roman" w:hAnsi="Times New Roman" w:cs="Times New Roman" w:eastAsia="Times New Roman" w:hint="default"/>
        </w:rPr>
        <w:t>4</w:t>
      </w:r>
      <w:r>
        <w:rPr/>
        <w:t>、营销模式 </w:t>
      </w:r>
      <w:r>
        <w:rPr>
          <w:spacing w:val="-2"/>
        </w:rPr>
        <w:t>公司通过自有的销售体系以及合作伙伴的销售体系，向各终端用户推介本公司系统集成服务、业务应用开发和项目实施</w:t>
      </w:r>
    </w:p>
    <w:p>
      <w:pPr>
        <w:pStyle w:val="BodyText"/>
        <w:spacing w:line="316" w:lineRule="auto" w:before="31"/>
        <w:ind w:left="513" w:right="3334" w:hanging="361"/>
        <w:jc w:val="left"/>
      </w:pPr>
      <w:r>
        <w:rPr/>
        <w:t>服务、技术支持服务及顾问咨询服务，通过投标或单一来源谈判的方式获取订单。 公司的经营模式及相关影响因素在报告期内不存在重大变化。</w:t>
      </w:r>
    </w:p>
    <w:p>
      <w:pPr>
        <w:pStyle w:val="BodyText"/>
        <w:spacing w:line="316" w:lineRule="auto" w:before="19"/>
        <w:ind w:left="513" w:right="93"/>
        <w:jc w:val="left"/>
      </w:pPr>
      <w:r>
        <w:rPr/>
        <w:t>（三）主要的业绩驱动因素 </w:t>
      </w:r>
      <w:r>
        <w:rPr>
          <w:spacing w:val="-2"/>
        </w:rPr>
        <w:t>本年度公司依然坚持</w:t>
      </w:r>
      <w:r>
        <w:rPr>
          <w:rFonts w:ascii="Times New Roman" w:hAnsi="Times New Roman" w:cs="Times New Roman" w:eastAsia="Times New Roman" w:hint="default"/>
          <w:spacing w:val="-2"/>
        </w:rPr>
        <w:t>“</w:t>
      </w:r>
      <w:r>
        <w:rPr>
          <w:spacing w:val="-2"/>
        </w:rPr>
        <w:t>核心价值、核心产品、核心客户、核心业务</w:t>
      </w:r>
      <w:r>
        <w:rPr>
          <w:rFonts w:ascii="Times New Roman" w:hAnsi="Times New Roman" w:cs="Times New Roman" w:eastAsia="Times New Roman" w:hint="default"/>
          <w:spacing w:val="-2"/>
        </w:rPr>
        <w:t>”</w:t>
      </w:r>
      <w:r>
        <w:rPr>
          <w:spacing w:val="-2"/>
        </w:rPr>
        <w:t>的发展战略。核心价值是指公司提供的产品与服务的</w:t>
      </w:r>
    </w:p>
    <w:p>
      <w:pPr>
        <w:pStyle w:val="BodyText"/>
        <w:spacing w:line="316" w:lineRule="auto"/>
        <w:ind w:right="94"/>
        <w:jc w:val="left"/>
      </w:pPr>
      <w:r>
        <w:rPr/>
        <w:t>同质性，不仅能够实现跨行业、跨客户以及跨业务的横向推广，还能够最大限度地降低实施成本，提高公司的市场竞争力。 </w:t>
      </w:r>
      <w:r>
        <w:rPr>
          <w:spacing w:val="-2"/>
        </w:rPr>
        <w:t>核心客户为公司提供了稳定的销售收入来源，保证了公司业务经营的稳步发展。同时，核心客户还为公司新产品的研发以及</w:t>
      </w:r>
      <w:r>
        <w:rPr>
          <w:spacing w:val="-66"/>
        </w:rPr>
        <w:t> </w:t>
      </w:r>
      <w:r>
        <w:rPr>
          <w:spacing w:val="-66"/>
        </w:rPr>
      </w:r>
      <w:r>
        <w:rPr>
          <w:spacing w:val="-2"/>
        </w:rPr>
        <w:t>业务的创新提供了方便落地实施的机会。核心产品和核心业务则是公司的核心竞争力，它是公司深挖老客户，开拓新客户的</w:t>
      </w:r>
      <w:r>
        <w:rPr>
          <w:spacing w:val="-63"/>
        </w:rPr>
        <w:t> </w:t>
      </w:r>
      <w:r>
        <w:rPr>
          <w:spacing w:val="-63"/>
        </w:rPr>
      </w:r>
      <w:r>
        <w:rPr/>
        <w:t>动力和源泉。</w:t>
      </w:r>
    </w:p>
    <w:p>
      <w:pPr>
        <w:pStyle w:val="BodyText"/>
        <w:spacing w:line="316" w:lineRule="auto" w:before="19"/>
        <w:ind w:left="513" w:right="93"/>
        <w:jc w:val="left"/>
      </w:pPr>
      <w:r>
        <w:rPr/>
        <w:t>（四）行业特征 </w:t>
      </w:r>
      <w:r>
        <w:rPr>
          <w:spacing w:val="-2"/>
        </w:rPr>
        <w:t>根据中国证监会颁布的《上市公司行业分类指引》（</w:t>
      </w:r>
      <w:r>
        <w:rPr>
          <w:rFonts w:ascii="Times New Roman" w:hAnsi="Times New Roman" w:cs="Times New Roman" w:eastAsia="Times New Roman" w:hint="default"/>
          <w:spacing w:val="-2"/>
        </w:rPr>
        <w:t>2012</w:t>
      </w:r>
      <w:r>
        <w:rPr>
          <w:spacing w:val="-2"/>
        </w:rPr>
        <w:t>年修订），公司所处行业为“信息传输、软件和信息技术服务</w:t>
      </w:r>
    </w:p>
    <w:p>
      <w:pPr>
        <w:pStyle w:val="BodyText"/>
        <w:spacing w:line="300" w:lineRule="auto"/>
        <w:ind w:left="513" w:right="183" w:hanging="361"/>
        <w:jc w:val="left"/>
      </w:pPr>
      <w:r>
        <w:rPr/>
        <w:t>业”之“软件和信息技术服务业”（以下简称为软件行业或</w:t>
      </w:r>
      <w:r>
        <w:rPr>
          <w:rFonts w:ascii="Times New Roman" w:hAnsi="Times New Roman" w:cs="Times New Roman" w:eastAsia="Times New Roman" w:hint="default"/>
        </w:rPr>
        <w:t>IT</w:t>
      </w:r>
      <w:r>
        <w:rPr/>
        <w:t>行业），所属行业代码为</w:t>
      </w:r>
      <w:r>
        <w:rPr>
          <w:rFonts w:ascii="Times New Roman" w:hAnsi="Times New Roman" w:cs="Times New Roman" w:eastAsia="Times New Roman" w:hint="default"/>
        </w:rPr>
        <w:t>I65</w:t>
      </w:r>
      <w:r>
        <w:rPr/>
        <w:t>。 根据</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月国家发改委颁布的《产业结构调整指导目录（</w:t>
      </w:r>
      <w:r>
        <w:rPr>
          <w:rFonts w:ascii="Times New Roman" w:hAnsi="Times New Roman" w:cs="Times New Roman" w:eastAsia="Times New Roman" w:hint="default"/>
        </w:rPr>
        <w:t>2013</w:t>
      </w:r>
      <w:r>
        <w:rPr/>
        <w:t>年修订本）》，公司主营业务和产品属于鼓励类项目</w:t>
      </w:r>
    </w:p>
    <w:p>
      <w:pPr>
        <w:pStyle w:val="BodyText"/>
        <w:spacing w:line="300" w:lineRule="auto" w:before="13"/>
        <w:ind w:right="184"/>
        <w:jc w:val="left"/>
      </w:pPr>
      <w:r>
        <w:rPr/>
        <w:t>“三十一、科技服务业”中的“</w:t>
      </w:r>
      <w:r>
        <w:rPr>
          <w:rFonts w:ascii="Times New Roman" w:hAnsi="Times New Roman" w:cs="Times New Roman" w:eastAsia="Times New Roman" w:hint="default"/>
        </w:rPr>
        <w:t>3</w:t>
      </w:r>
      <w:r>
        <w:rPr/>
        <w:t>、行业（企业）管理和信息化解决方案开发、基于网络的软件服务平台、软件开发和测试 服务、信息系统集成、咨询、运营维护和数据挖掘等服务业务”。</w:t>
      </w:r>
    </w:p>
    <w:p>
      <w:pPr>
        <w:pStyle w:val="BodyText"/>
        <w:spacing w:line="307" w:lineRule="auto" w:before="31"/>
        <w:ind w:right="94" w:firstLine="360"/>
        <w:jc w:val="left"/>
      </w:pPr>
      <w:r>
        <w:rPr/>
        <w:t>我国金融行业信息化已经进入了一个稳定高速发展的阶段，一方面，传统业务全面转向以客户服务为中心；另一方面， </w:t>
      </w:r>
      <w:r>
        <w:rPr>
          <w:spacing w:val="-2"/>
        </w:rPr>
        <w:t>来自互联网金融业务的创新推动，共同促进了金融行业</w:t>
      </w:r>
      <w:r>
        <w:rPr>
          <w:rFonts w:ascii="Times New Roman" w:hAnsi="Times New Roman" w:cs="Times New Roman" w:eastAsia="Times New Roman" w:hint="default"/>
          <w:spacing w:val="-2"/>
        </w:rPr>
        <w:t>IT</w:t>
      </w:r>
      <w:r>
        <w:rPr>
          <w:spacing w:val="-2"/>
        </w:rPr>
        <w:t>服务需求保持着较高的增速。而金融行业由于自身</w:t>
      </w:r>
      <w:r>
        <w:rPr>
          <w:rFonts w:ascii="Times New Roman" w:hAnsi="Times New Roman" w:cs="Times New Roman" w:eastAsia="Times New Roman" w:hint="default"/>
          <w:spacing w:val="-2"/>
        </w:rPr>
        <w:t>IT</w:t>
      </w:r>
      <w:r>
        <w:rPr>
          <w:spacing w:val="-2"/>
        </w:rPr>
        <w:t>建设能力、成</w:t>
      </w:r>
      <w:r>
        <w:rPr>
          <w:spacing w:val="-42"/>
        </w:rPr>
        <w:t> </w:t>
      </w:r>
      <w:r>
        <w:rPr>
          <w:spacing w:val="-42"/>
        </w:rPr>
      </w:r>
      <w:r>
        <w:rPr>
          <w:spacing w:val="-2"/>
        </w:rPr>
        <w:t>本控制以及体制等多方面原因无法适应这种快速发展的</w:t>
      </w:r>
      <w:r>
        <w:rPr>
          <w:rFonts w:ascii="Times New Roman" w:hAnsi="Times New Roman" w:cs="Times New Roman" w:eastAsia="Times New Roman" w:hint="default"/>
          <w:spacing w:val="-2"/>
        </w:rPr>
        <w:t>IT</w:t>
      </w:r>
      <w:r>
        <w:rPr>
          <w:spacing w:val="-2"/>
        </w:rPr>
        <w:t>需求，这为以公司为代表的金融专业化软件与服务供应商提供了广</w:t>
      </w:r>
      <w:r>
        <w:rPr>
          <w:spacing w:val="-51"/>
        </w:rPr>
        <w:t> </w:t>
      </w:r>
      <w:r>
        <w:rPr>
          <w:spacing w:val="-51"/>
        </w:rPr>
      </w:r>
      <w:r>
        <w:rPr/>
        <w:t>阔的市场机会。</w:t>
      </w:r>
    </w:p>
    <w:p>
      <w:pPr>
        <w:pStyle w:val="BodyText"/>
        <w:spacing w:line="300" w:lineRule="auto" w:before="26"/>
        <w:ind w:left="513" w:right="93"/>
        <w:jc w:val="left"/>
      </w:pPr>
      <w:r>
        <w:rPr>
          <w:rFonts w:ascii="Times New Roman" w:hAnsi="Times New Roman" w:cs="Times New Roman" w:eastAsia="Times New Roman" w:hint="default"/>
        </w:rPr>
        <w:t>1</w:t>
      </w:r>
      <w:r>
        <w:rPr/>
        <w:t>、季节性特点 </w:t>
      </w:r>
      <w:r>
        <w:rPr>
          <w:spacing w:val="-2"/>
        </w:rPr>
        <w:t>公司所属行业具有较为明显的季节性特征，银行、空管部门、政府机构、大中型国有企事业单位等客户通常采取预算管</w:t>
      </w:r>
    </w:p>
    <w:p>
      <w:pPr>
        <w:pStyle w:val="BodyText"/>
        <w:spacing w:line="316" w:lineRule="auto" w:before="31"/>
        <w:ind w:right="93"/>
        <w:jc w:val="left"/>
      </w:pPr>
      <w:r>
        <w:rPr>
          <w:spacing w:val="-2"/>
        </w:rPr>
        <w:t>理制度和集中采购制度，其采购决策和采购实施的季节性特点决定了本行业业务呈现较为明显的季节性分布，公司大部分的</w:t>
      </w:r>
      <w:r>
        <w:rPr>
          <w:spacing w:val="-64"/>
        </w:rPr>
        <w:t> </w:t>
      </w:r>
      <w:r>
        <w:rPr>
          <w:spacing w:val="-64"/>
        </w:rPr>
      </w:r>
      <w:r>
        <w:rPr/>
        <w:t>营业收入来自下半年。</w:t>
      </w:r>
    </w:p>
    <w:p>
      <w:pPr>
        <w:pStyle w:val="BodyText"/>
        <w:spacing w:line="300" w:lineRule="auto" w:before="19"/>
        <w:ind w:left="513" w:right="93"/>
        <w:jc w:val="left"/>
      </w:pPr>
      <w:r>
        <w:rPr>
          <w:rFonts w:ascii="Times New Roman" w:hAnsi="Times New Roman" w:cs="Times New Roman" w:eastAsia="Times New Roman" w:hint="default"/>
        </w:rPr>
        <w:t>2</w:t>
      </w:r>
      <w:r>
        <w:rPr/>
        <w:t>、行业地位 </w:t>
      </w:r>
      <w:r>
        <w:rPr>
          <w:spacing w:val="-2"/>
        </w:rPr>
        <w:t>新晨科技在国内信息化建设领域尤其在金融领域建立了良好的口碑和知名度，树立了良好的品牌形象，为公司开拓新业</w:t>
      </w:r>
    </w:p>
    <w:p>
      <w:pPr>
        <w:pStyle w:val="BodyText"/>
        <w:spacing w:line="316" w:lineRule="auto" w:before="31"/>
        <w:ind w:right="93"/>
        <w:jc w:val="left"/>
      </w:pPr>
      <w:r>
        <w:rPr>
          <w:spacing w:val="-2"/>
        </w:rPr>
        <w:t>务、开辟新领域、开发新市场并持续稳定发展奠定了基础。近年来，新晨科技保持着一贯沉稳、务实的风格，一方面坚持将</w:t>
      </w:r>
      <w:r>
        <w:rPr>
          <w:spacing w:val="-68"/>
        </w:rPr>
        <w:t> </w:t>
      </w:r>
      <w:r>
        <w:rPr>
          <w:spacing w:val="-68"/>
        </w:rPr>
      </w:r>
      <w:r>
        <w:rPr/>
        <w:t>已有行业做深、做透，另一方面加大产品研发力度，为企业未来更快更好地发展提供动力。</w:t>
      </w:r>
    </w:p>
    <w:p>
      <w:pPr>
        <w:pStyle w:val="BodyText"/>
        <w:spacing w:line="309" w:lineRule="auto" w:before="19"/>
        <w:ind w:right="150" w:firstLine="360"/>
        <w:jc w:val="both"/>
      </w:pPr>
      <w:r>
        <w:rPr>
          <w:spacing w:val="-5"/>
        </w:rPr>
        <w:t>公司是国内少数同时为金融行业和空管行业提供专业化信息服务的供应商之一。公司拥有“信息系统集成及服务资质（壹</w:t>
      </w:r>
      <w:r>
        <w:rPr/>
        <w:t> 级）”、“涉及国家秘密的计算机信息系统集成甲级资质”、“二级军工保密资格”、“</w:t>
      </w:r>
      <w:r>
        <w:rPr>
          <w:rFonts w:ascii="Times New Roman" w:hAnsi="Times New Roman" w:cs="Times New Roman" w:eastAsia="Times New Roman" w:hint="default"/>
        </w:rPr>
        <w:t>CMMI</w:t>
      </w:r>
      <w:r>
        <w:rPr/>
        <w:t>开发模式认证（三级）”、 “高新技术企业证书”以及“</w:t>
      </w:r>
      <w:r>
        <w:rPr>
          <w:rFonts w:ascii="Times New Roman" w:hAnsi="Times New Roman" w:cs="Times New Roman" w:eastAsia="Times New Roman" w:hint="default"/>
        </w:rPr>
        <w:t>GB/T19001-2008/ISO9001:2008</w:t>
      </w:r>
      <w:r>
        <w:rPr/>
        <w:t>认证”等资质。</w:t>
      </w:r>
    </w:p>
    <w:p>
      <w:pPr>
        <w:spacing w:after="0" w:line="309" w:lineRule="auto"/>
        <w:jc w:val="both"/>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9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pStyle w:val="BodyText"/>
        <w:spacing w:line="240" w:lineRule="auto" w:before="44"/>
        <w:ind w:left="0" w:right="203"/>
        <w:jc w:val="right"/>
      </w:pPr>
      <w:r>
        <w:rPr/>
        <w:pict>
          <v:shape style="position:absolute;margin-left:56.400002pt;margin-top:-79.208321pt;width:479.3pt;height:322.2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7727"/>
                  </w:tblGrid>
                  <w:tr>
                    <w:trPr>
                      <w:trHeight w:val="187"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7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7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7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本期末净值较年初增加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万元，增幅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64.71%</w:t>
                        </w:r>
                        <w:r>
                          <w:rPr>
                            <w:rFonts w:ascii="宋体" w:hAnsi="宋体" w:cs="宋体" w:eastAsia="宋体" w:hint="default"/>
                            <w:sz w:val="18"/>
                            <w:szCs w:val="18"/>
                          </w:rPr>
                          <w:t>，主要系公司本期购入项目研发所需的软件所致</w:t>
                        </w:r>
                      </w:p>
                    </w:tc>
                  </w:tr>
                  <w:tr>
                    <w:trPr>
                      <w:trHeight w:val="161"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27"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85"/>
                          <w:jc w:val="left"/>
                          <w:rPr>
                            <w:rFonts w:ascii="宋体" w:hAnsi="宋体" w:cs="宋体" w:eastAsia="宋体" w:hint="default"/>
                            <w:sz w:val="18"/>
                            <w:szCs w:val="18"/>
                          </w:rPr>
                        </w:pPr>
                        <w:r>
                          <w:rPr>
                            <w:rFonts w:ascii="宋体" w:hAnsi="宋体" w:cs="宋体" w:eastAsia="宋体" w:hint="default"/>
                            <w:sz w:val="18"/>
                            <w:szCs w:val="18"/>
                          </w:rPr>
                          <w:t>本期末余额较年初减少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240.32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万元，主要系本公司定制厂房本期收房实测面积与签订合同时预估 面积减少，退还定制厂房款项及公共维修金所致。</w:t>
                        </w:r>
                      </w:p>
                    </w:tc>
                  </w:tr>
                  <w:tr>
                    <w:trPr>
                      <w:trHeight w:val="391"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727" w:type="dxa"/>
                        <w:vMerge/>
                        <w:tcBorders>
                          <w:left w:val="single" w:sz="9" w:space="0" w:color="D2D2D2"/>
                          <w:right w:val="single" w:sz="4" w:space="0" w:color="000000"/>
                        </w:tcBorders>
                      </w:tcPr>
                      <w:p>
                        <w:pPr/>
                      </w:p>
                    </w:tc>
                  </w:tr>
                  <w:tr>
                    <w:trPr>
                      <w:trHeight w:val="161"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27" w:type="dxa"/>
                        <w:vMerge/>
                        <w:tcBorders>
                          <w:left w:val="single" w:sz="9" w:space="0" w:color="D2D2D2"/>
                          <w:bottom w:val="single" w:sz="4" w:space="0" w:color="000000"/>
                          <w:right w:val="single" w:sz="4" w:space="0" w:color="000000"/>
                        </w:tcBorders>
                      </w:tcPr>
                      <w:p>
                        <w:pP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本期末余额较年初增加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万元，主要系本期票据尚未承兑收款所致。</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本期末净额较年初增加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8,776.91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37.38%</w:t>
                        </w:r>
                        <w:r>
                          <w:rPr>
                            <w:rFonts w:ascii="宋体" w:hAnsi="宋体" w:cs="宋体" w:eastAsia="宋体" w:hint="default"/>
                            <w:sz w:val="18"/>
                            <w:szCs w:val="18"/>
                          </w:rPr>
                          <w:t>，主要系公司本期收入增长较快，尚未收到款 项所致。</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本期末余额较年初减少</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546.40</w:t>
                        </w:r>
                        <w:r>
                          <w:rPr>
                            <w:rFonts w:ascii="Times New Roman" w:hAnsi="Times New Roman" w:cs="Times New Roman" w:eastAsia="Times New Roman" w:hint="default"/>
                            <w:spacing w:val="-16"/>
                            <w:sz w:val="18"/>
                            <w:szCs w:val="18"/>
                          </w:rPr>
                          <w:t> </w:t>
                        </w:r>
                        <w:r>
                          <w:rPr>
                            <w:rFonts w:ascii="宋体" w:hAnsi="宋体" w:cs="宋体" w:eastAsia="宋体" w:hint="default"/>
                            <w:spacing w:val="-9"/>
                            <w:sz w:val="18"/>
                            <w:szCs w:val="18"/>
                          </w:rPr>
                          <w:t>万元，减幅</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39.81%</w:t>
                        </w:r>
                        <w:r>
                          <w:rPr>
                            <w:rFonts w:ascii="宋体" w:hAnsi="宋体" w:cs="宋体" w:eastAsia="宋体" w:hint="default"/>
                            <w:sz w:val="18"/>
                            <w:szCs w:val="18"/>
                          </w:rPr>
                          <w:t>，主要系公司按合同约定与供应商结算完毕所致</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本期末净额较年初增加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267.97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52.39%</w:t>
                        </w:r>
                        <w:r>
                          <w:rPr>
                            <w:rFonts w:ascii="宋体" w:hAnsi="宋体" w:cs="宋体" w:eastAsia="宋体" w:hint="default"/>
                            <w:sz w:val="18"/>
                            <w:szCs w:val="18"/>
                          </w:rPr>
                          <w:t>，主要系公司本期支付的保证金增加较多所致。</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本期末余额较年初增加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573.01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万元，增幅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1107.05%</w:t>
                        </w:r>
                        <w:r>
                          <w:rPr>
                            <w:rFonts w:ascii="宋体" w:hAnsi="宋体" w:cs="宋体" w:eastAsia="宋体" w:hint="default"/>
                            <w:sz w:val="18"/>
                            <w:szCs w:val="18"/>
                          </w:rPr>
                          <w:t>，主要系公司待认证进项税额增加所致。</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可供出售的金融资产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本期末余额较年初增加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月参与出资设立新晨航空科技（天津） 有限公司投资所致。我司出资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万元，占注册资本的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本期末余额较年初增加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221.33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35.91%</w:t>
                        </w:r>
                        <w:r>
                          <w:rPr>
                            <w:rFonts w:ascii="宋体" w:hAnsi="宋体" w:cs="宋体" w:eastAsia="宋体" w:hint="default"/>
                            <w:sz w:val="18"/>
                            <w:szCs w:val="18"/>
                          </w:rPr>
                          <w:t>，主要系公司资产减值损失及股权激励费用增加 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44"/>
        <w:ind w:left="0" w:right="19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3"/>
        <w:spacing w:line="240" w:lineRule="auto" w:before="36"/>
        <w:ind w:right="9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6" w:lineRule="auto" w:before="25"/>
        <w:ind w:left="513" w:right="103"/>
        <w:jc w:val="left"/>
      </w:pPr>
      <w:r>
        <w:rPr/>
        <w:t>（一）持续的技术创新能力 公司高度重视技术研发和产品创新能力的建设，坚持走产品化的</w:t>
      </w:r>
      <w:r>
        <w:rPr>
          <w:rFonts w:ascii="Times New Roman" w:hAnsi="Times New Roman" w:cs="Times New Roman" w:eastAsia="Times New Roman" w:hint="default"/>
        </w:rPr>
        <w:t>IT</w:t>
      </w:r>
      <w:r>
        <w:rPr/>
        <w:t>产业发展道路，通过技术创新引领产品和服务创新，</w:t>
      </w:r>
    </w:p>
    <w:p>
      <w:pPr>
        <w:pStyle w:val="BodyText"/>
        <w:spacing w:line="300" w:lineRule="auto"/>
        <w:ind w:right="239"/>
        <w:jc w:val="both"/>
      </w:pPr>
      <w:r>
        <w:rPr/>
        <w:t>不断丰富和完善技术、产品和服务模式，持续打造公司核心竞争力。公司是高新技术企业，拥有</w:t>
      </w:r>
      <w:r>
        <w:rPr>
          <w:rFonts w:ascii="Times New Roman" w:hAnsi="Times New Roman" w:cs="Times New Roman" w:eastAsia="Times New Roman" w:hint="default"/>
        </w:rPr>
        <w:t>CMMI3</w:t>
      </w:r>
      <w:r>
        <w:rPr/>
        <w:t>级资质和国家工业 和信息化部颁发的系统集成一级资质。公司从研发理念、组织机构、创新机制和管理制度等方面进行了系统的构建。</w:t>
      </w:r>
    </w:p>
    <w:p>
      <w:pPr>
        <w:pStyle w:val="BodyText"/>
        <w:spacing w:line="316" w:lineRule="auto" w:before="31"/>
        <w:ind w:right="94" w:firstLine="360"/>
        <w:jc w:val="left"/>
      </w:pPr>
      <w:r>
        <w:rPr/>
        <w:t>根据市场变化及发展需求，及时调整技术研发方向及产品与服务规划格局，在现有技术优势的基础上，继续加大资金、 人员投入，通过项目与研发相结合的方式，在云计算、区块链、人工智能等新技术领域取得了一定的进展。</w:t>
      </w:r>
    </w:p>
    <w:p>
      <w:pPr>
        <w:pStyle w:val="BodyText"/>
        <w:spacing w:line="316" w:lineRule="auto" w:before="19"/>
        <w:ind w:left="513" w:right="93"/>
        <w:jc w:val="left"/>
      </w:pPr>
      <w:r>
        <w:rPr/>
        <w:t>（二）客户资源优势 </w:t>
      </w:r>
      <w:r>
        <w:rPr>
          <w:spacing w:val="-2"/>
        </w:rPr>
        <w:t>公司自成立以来，一直致力于为金融行业提供满足各类不同需求的</w:t>
      </w:r>
      <w:r>
        <w:rPr>
          <w:rFonts w:ascii="Times New Roman" w:hAnsi="Times New Roman" w:cs="Times New Roman" w:eastAsia="Times New Roman" w:hint="default"/>
          <w:spacing w:val="-2"/>
        </w:rPr>
        <w:t>IT</w:t>
      </w:r>
      <w:r>
        <w:rPr>
          <w:spacing w:val="-2"/>
        </w:rPr>
        <w:t>解决方案。在多年的发展过程中，公司积累了一批</w:t>
      </w:r>
    </w:p>
    <w:p>
      <w:pPr>
        <w:pStyle w:val="BodyText"/>
        <w:spacing w:line="309" w:lineRule="auto"/>
        <w:ind w:right="190"/>
        <w:jc w:val="both"/>
      </w:pPr>
      <w:r>
        <w:rPr>
          <w:spacing w:val="-2"/>
        </w:rPr>
        <w:t>以银行业为主，涉及保险、债券等行业大中型企业的优质客户，形成了涵盖政策性银行、国有商业银行、股份制银行、城商</w:t>
      </w:r>
      <w:r>
        <w:rPr>
          <w:spacing w:val="-66"/>
        </w:rPr>
        <w:t> </w:t>
      </w:r>
      <w:r>
        <w:rPr>
          <w:spacing w:val="-66"/>
        </w:rPr>
      </w:r>
      <w:r>
        <w:rPr/>
        <w:t>行、农商行</w:t>
      </w:r>
      <w:r>
        <w:rPr>
          <w:rFonts w:ascii="Times New Roman" w:hAnsi="Times New Roman" w:cs="Times New Roman" w:eastAsia="Times New Roman" w:hint="default"/>
        </w:rPr>
        <w:t>/</w:t>
      </w:r>
      <w:r>
        <w:rPr/>
        <w:t>农村合作银行、农信社、外资银行、大中型保险机构、国债公司、金融资产交易所等在内的完整的、有层次的 金融行业客户群，通过全面的软件产品及优质的服务满足不同客户的各阶段、差异化的信息化需求。</w:t>
      </w:r>
    </w:p>
    <w:p>
      <w:pPr>
        <w:spacing w:after="0" w:line="309"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3" w:firstLine="360"/>
        <w:jc w:val="left"/>
      </w:pPr>
      <w:r>
        <w:rPr>
          <w:spacing w:val="-2"/>
        </w:rPr>
        <w:t>公司与许多优质客户建立了长期稳定的合作关系，在长期为金融业信息化提供服务的过程中，公司树立了良好的品牌形</w:t>
      </w:r>
      <w:r>
        <w:rPr/>
        <w:t> 象。目前新晨科技已成为业内拥有较高知名度和美誉度的品牌，服务质量和技术水平得到业界认可。</w:t>
      </w:r>
    </w:p>
    <w:p>
      <w:pPr>
        <w:pStyle w:val="BodyText"/>
        <w:spacing w:line="316" w:lineRule="auto" w:before="17"/>
        <w:ind w:left="513" w:right="93"/>
        <w:jc w:val="left"/>
      </w:pPr>
      <w:r>
        <w:rPr/>
        <w:t>（三）深厚的金融行业实施经验 </w:t>
      </w:r>
      <w:r>
        <w:rPr>
          <w:spacing w:val="-2"/>
        </w:rPr>
        <w:t>金融行业信息化领域对</w:t>
      </w:r>
      <w:r>
        <w:rPr>
          <w:rFonts w:ascii="Times New Roman" w:hAnsi="Times New Roman" w:cs="Times New Roman" w:eastAsia="Times New Roman" w:hint="default"/>
          <w:spacing w:val="-2"/>
        </w:rPr>
        <w:t>IT</w:t>
      </w:r>
      <w:r>
        <w:rPr>
          <w:spacing w:val="-2"/>
        </w:rPr>
        <w:t>供应商的要求较高，不仅需要其在</w:t>
      </w:r>
      <w:r>
        <w:rPr>
          <w:rFonts w:ascii="Times New Roman" w:hAnsi="Times New Roman" w:cs="Times New Roman" w:eastAsia="Times New Roman" w:hint="default"/>
          <w:spacing w:val="-2"/>
        </w:rPr>
        <w:t>IT</w:t>
      </w:r>
      <w:r>
        <w:rPr>
          <w:spacing w:val="-2"/>
        </w:rPr>
        <w:t>系统开发、服务等方面有较高的技术水平，更强调对银行</w:t>
      </w:r>
    </w:p>
    <w:p>
      <w:pPr>
        <w:pStyle w:val="BodyText"/>
        <w:spacing w:line="309" w:lineRule="auto"/>
        <w:ind w:right="191"/>
        <w:jc w:val="both"/>
      </w:pPr>
      <w:r>
        <w:rPr>
          <w:spacing w:val="-2"/>
        </w:rPr>
        <w:t>客户的业务情况、业务流程、业务需求、管理体制等有深入的了解，获取这些知识与经验均源于对金融客户长期的服务与积</w:t>
      </w:r>
      <w:r>
        <w:rPr>
          <w:spacing w:val="-64"/>
        </w:rPr>
        <w:t> </w:t>
      </w:r>
      <w:r>
        <w:rPr>
          <w:spacing w:val="-64"/>
        </w:rPr>
      </w:r>
      <w:r>
        <w:rPr>
          <w:spacing w:val="-2"/>
        </w:rPr>
        <w:t>累。公司创始团队拥有丰富的金融</w:t>
      </w:r>
      <w:r>
        <w:rPr>
          <w:rFonts w:ascii="Times New Roman" w:hAnsi="Times New Roman" w:cs="Times New Roman" w:eastAsia="Times New Roman" w:hint="default"/>
          <w:spacing w:val="-2"/>
        </w:rPr>
        <w:t>IT</w:t>
      </w:r>
      <w:r>
        <w:rPr>
          <w:spacing w:val="-2"/>
        </w:rPr>
        <w:t>部门工作经验，对金融的业务情况及其</w:t>
      </w:r>
      <w:r>
        <w:rPr>
          <w:rFonts w:ascii="Times New Roman" w:hAnsi="Times New Roman" w:cs="Times New Roman" w:eastAsia="Times New Roman" w:hint="default"/>
          <w:spacing w:val="-2"/>
        </w:rPr>
        <w:t>IT</w:t>
      </w:r>
      <w:r>
        <w:rPr>
          <w:spacing w:val="-2"/>
        </w:rPr>
        <w:t>需求有着深刻的理解，其作为技术带头人带领</w:t>
      </w:r>
      <w:r>
        <w:rPr>
          <w:spacing w:val="-43"/>
        </w:rPr>
        <w:t> </w:t>
      </w:r>
      <w:r>
        <w:rPr>
          <w:spacing w:val="-43"/>
        </w:rPr>
      </w:r>
      <w:r>
        <w:rPr>
          <w:spacing w:val="-2"/>
        </w:rPr>
        <w:t>公司自</w:t>
      </w:r>
      <w:r>
        <w:rPr>
          <w:rFonts w:ascii="Times New Roman" w:hAnsi="Times New Roman" w:cs="Times New Roman" w:eastAsia="Times New Roman" w:hint="default"/>
          <w:spacing w:val="-2"/>
        </w:rPr>
        <w:t>1998</w:t>
      </w:r>
      <w:r>
        <w:rPr>
          <w:spacing w:val="-2"/>
        </w:rPr>
        <w:t>年成立以来一直致力于为金融机构提供专业信息化服务，目前已在金融行业信息化领域稳健经营近二十年，积累</w:t>
      </w:r>
      <w:r>
        <w:rPr>
          <w:spacing w:val="-62"/>
        </w:rPr>
        <w:t> </w:t>
      </w:r>
      <w:r>
        <w:rPr>
          <w:spacing w:val="-62"/>
        </w:rPr>
      </w:r>
      <w:r>
        <w:rPr>
          <w:spacing w:val="-2"/>
        </w:rPr>
        <w:t>了丰富的金融行业应用软件开发实施经验，公司开发的软件产品能够深度契合银行的相关需求，在同行业中具有较强竞争优</w:t>
      </w:r>
      <w:r>
        <w:rPr>
          <w:spacing w:val="-63"/>
        </w:rPr>
        <w:t> </w:t>
      </w:r>
      <w:r>
        <w:rPr>
          <w:spacing w:val="-63"/>
        </w:rPr>
      </w:r>
      <w:r>
        <w:rPr/>
        <w:t>势。</w:t>
      </w:r>
    </w:p>
    <w:p>
      <w:pPr>
        <w:pStyle w:val="BodyText"/>
        <w:spacing w:line="316" w:lineRule="auto" w:before="24"/>
        <w:ind w:left="513" w:right="93"/>
        <w:jc w:val="left"/>
      </w:pPr>
      <w:r>
        <w:rPr/>
        <w:t>（四）稳定的核心团队 </w:t>
      </w:r>
      <w:r>
        <w:rPr>
          <w:spacing w:val="-2"/>
        </w:rPr>
        <w:t>金融信息系统自身的复杂性和专业性，要求开发人员具备丰富的行业经验、复合的知识结构以及技术积累。公司长期以</w:t>
      </w:r>
    </w:p>
    <w:p>
      <w:pPr>
        <w:pStyle w:val="BodyText"/>
        <w:spacing w:line="300" w:lineRule="auto" w:before="19"/>
        <w:ind w:right="93"/>
        <w:jc w:val="left"/>
      </w:pPr>
      <w:r>
        <w:rPr>
          <w:spacing w:val="-2"/>
        </w:rPr>
        <w:t>来培养了一支融合了</w:t>
      </w:r>
      <w:r>
        <w:rPr>
          <w:rFonts w:ascii="Times New Roman" w:hAnsi="Times New Roman" w:cs="Times New Roman" w:eastAsia="Times New Roman" w:hint="default"/>
          <w:spacing w:val="-2"/>
        </w:rPr>
        <w:t>IT</w:t>
      </w:r>
      <w:r>
        <w:rPr>
          <w:spacing w:val="-2"/>
        </w:rPr>
        <w:t>技术、金融业务知识及行业管理经验的复合型人才队伍，对于高度复杂的金融信息系统开发具有独到</w:t>
      </w:r>
      <w:r>
        <w:rPr>
          <w:spacing w:val="-52"/>
        </w:rPr>
        <w:t> </w:t>
      </w:r>
      <w:r>
        <w:rPr>
          <w:spacing w:val="-52"/>
        </w:rPr>
      </w:r>
      <w:r>
        <w:rPr/>
        <w:t>的理解能力和丰富的实施经验。</w:t>
      </w:r>
    </w:p>
    <w:p>
      <w:pPr>
        <w:pStyle w:val="BodyText"/>
        <w:spacing w:line="316" w:lineRule="auto" w:before="32"/>
        <w:ind w:right="93" w:firstLine="360"/>
        <w:jc w:val="left"/>
      </w:pPr>
      <w:r>
        <w:rPr>
          <w:spacing w:val="-2"/>
        </w:rPr>
        <w:t>公司形成了一系列符合市场要求及公司实际的考核机制，使得团队成员的利益与公司的发展保持高度一致。公司管理层</w:t>
      </w:r>
      <w:r>
        <w:rPr/>
        <w:t> 深刻认同公司的文化和经营管理理念，对金融信息化领域的发展方向具有敏锐的洞察力和前瞻性。</w:t>
      </w:r>
    </w:p>
    <w:p>
      <w:pPr>
        <w:pStyle w:val="BodyText"/>
        <w:spacing w:line="316" w:lineRule="auto" w:before="19"/>
        <w:ind w:left="513" w:right="93"/>
        <w:jc w:val="left"/>
      </w:pPr>
      <w:r>
        <w:rPr/>
        <w:t>（五）全国性的战略布局 </w:t>
      </w:r>
      <w:r>
        <w:rPr>
          <w:spacing w:val="-2"/>
        </w:rPr>
        <w:t>公司建立了全国性的营销和服务网络。公司总部位于北京，本年度在天津设立新晨科技股份有限公司天津分公司，现拥</w:t>
      </w:r>
    </w:p>
    <w:p>
      <w:pPr>
        <w:pStyle w:val="BodyText"/>
        <w:spacing w:line="300" w:lineRule="auto" w:before="19"/>
        <w:ind w:left="513" w:right="94" w:hanging="361"/>
        <w:jc w:val="left"/>
      </w:pPr>
      <w:r>
        <w:rPr/>
        <w:t>有</w:t>
      </w:r>
      <w:r>
        <w:rPr>
          <w:rFonts w:ascii="Times New Roman" w:hAnsi="Times New Roman" w:cs="Times New Roman" w:eastAsia="Times New Roman" w:hint="default"/>
        </w:rPr>
        <w:t>7</w:t>
      </w:r>
      <w:r>
        <w:rPr/>
        <w:t>家子公司及</w:t>
      </w:r>
      <w:r>
        <w:rPr>
          <w:rFonts w:ascii="Times New Roman" w:hAnsi="Times New Roman" w:cs="Times New Roman" w:eastAsia="Times New Roman" w:hint="default"/>
        </w:rPr>
        <w:t>1</w:t>
      </w:r>
      <w:r>
        <w:rPr/>
        <w:t>家分公司，形成了覆盖华北、华东、华南和华中地区的全国性营销及服务网络，公司的客户范围遍及全国。 </w:t>
      </w:r>
      <w:r>
        <w:rPr>
          <w:spacing w:val="-2"/>
        </w:rPr>
        <w:t>全国性的战略布局不仅提高了公司的客户响应速度，有效提高了客户服务质量，同时有利于公司对于区域性金融机构的</w:t>
      </w:r>
    </w:p>
    <w:p>
      <w:pPr>
        <w:pStyle w:val="BodyText"/>
        <w:spacing w:line="240" w:lineRule="auto" w:before="31"/>
        <w:ind w:right="93"/>
        <w:jc w:val="left"/>
      </w:pPr>
      <w:r>
        <w:rPr/>
        <w:t>客户拓展，有利于公司把握未来城市商业银行和农村商业银行</w:t>
      </w:r>
      <w:r>
        <w:rPr>
          <w:rFonts w:ascii="Times New Roman" w:hAnsi="Times New Roman" w:cs="Times New Roman" w:eastAsia="Times New Roman" w:hint="default"/>
        </w:rPr>
        <w:t>IT</w:t>
      </w:r>
      <w:r>
        <w:rPr/>
        <w:t>系统建设及更新换代的良好机遇。</w:t>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93"/>
        <w:jc w:val="left"/>
        <w:rPr>
          <w:b w:val="0"/>
          <w:bCs w:val="0"/>
        </w:rPr>
      </w:pPr>
      <w:bookmarkStart w:name="_TOC_250008" w:id="4"/>
      <w:r>
        <w:rPr/>
        <w:t>第四节</w:t>
      </w:r>
      <w:r>
        <w:rPr>
          <w:spacing w:val="-6"/>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3"/>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92" w:firstLine="360"/>
        <w:jc w:val="both"/>
      </w:pPr>
      <w:r>
        <w:rPr>
          <w:rFonts w:ascii="Times New Roman" w:hAnsi="Times New Roman" w:cs="Times New Roman" w:eastAsia="Times New Roman" w:hint="default"/>
          <w:spacing w:val="-2"/>
        </w:rPr>
        <w:t>2017</w:t>
      </w:r>
      <w:r>
        <w:rPr>
          <w:spacing w:val="-2"/>
        </w:rPr>
        <w:t>年，是供给侧结构性改革的深化之年。公司所处行业为软件和信息技术服务业，主要客户来自金融业，面临市场竞</w:t>
      </w:r>
      <w:r>
        <w:rPr/>
        <w:t> </w:t>
      </w:r>
      <w:r>
        <w:rPr>
          <w:spacing w:val="-2"/>
        </w:rPr>
        <w:t>争日趋激烈，给公司经营发展带来巨大压力。</w:t>
      </w:r>
      <w:r>
        <w:rPr>
          <w:rFonts w:ascii="Times New Roman" w:hAnsi="Times New Roman" w:cs="Times New Roman" w:eastAsia="Times New Roman" w:hint="default"/>
          <w:spacing w:val="-2"/>
        </w:rPr>
        <w:t>2017</w:t>
      </w:r>
      <w:r>
        <w:rPr>
          <w:spacing w:val="-2"/>
        </w:rPr>
        <w:t>年，公司在董事会的领导下，在管理层及全体员工的共同努力下，克服经</w:t>
      </w:r>
      <w:r>
        <w:rPr>
          <w:spacing w:val="-64"/>
        </w:rPr>
        <w:t> </w:t>
      </w:r>
      <w:r>
        <w:rPr>
          <w:spacing w:val="-64"/>
        </w:rPr>
      </w:r>
      <w:r>
        <w:rPr/>
        <w:t>济形势复杂多变、实体企业经营困难等诸多不利因素，较好地完成了各项经营任务。</w:t>
      </w:r>
    </w:p>
    <w:p>
      <w:pPr>
        <w:pStyle w:val="BodyText"/>
        <w:spacing w:line="300" w:lineRule="auto" w:before="31"/>
        <w:ind w:right="93" w:firstLine="360"/>
        <w:jc w:val="left"/>
      </w:pPr>
      <w:r>
        <w:rPr/>
        <w:t>报告期内，公司实现营业总收入</w:t>
      </w:r>
      <w:r>
        <w:rPr>
          <w:rFonts w:ascii="Times New Roman" w:hAnsi="Times New Roman" w:cs="Times New Roman" w:eastAsia="Times New Roman" w:hint="default"/>
        </w:rPr>
        <w:t>60,645.18</w:t>
      </w:r>
      <w:r>
        <w:rPr/>
        <w:t>万元，较去年同期增长</w:t>
      </w:r>
      <w:r>
        <w:rPr>
          <w:rFonts w:ascii="Times New Roman" w:hAnsi="Times New Roman" w:cs="Times New Roman" w:eastAsia="Times New Roman" w:hint="default"/>
        </w:rPr>
        <w:t>40.57%</w:t>
      </w:r>
      <w:r>
        <w:rPr/>
        <w:t>；实现营业利润</w:t>
      </w:r>
      <w:r>
        <w:rPr>
          <w:rFonts w:ascii="Times New Roman" w:hAnsi="Times New Roman" w:cs="Times New Roman" w:eastAsia="Times New Roman" w:hint="default"/>
        </w:rPr>
        <w:t>3,839.73</w:t>
      </w:r>
      <w:r>
        <w:rPr/>
        <w:t>万元，较去年同期增长 </w:t>
      </w:r>
      <w:r>
        <w:rPr>
          <w:rFonts w:ascii="Times New Roman" w:hAnsi="Times New Roman" w:cs="Times New Roman" w:eastAsia="Times New Roman" w:hint="default"/>
          <w:spacing w:val="-2"/>
        </w:rPr>
        <w:t>8.77%</w:t>
      </w:r>
      <w:r>
        <w:rPr>
          <w:spacing w:val="-2"/>
        </w:rPr>
        <w:t>，实现归属于上市公司股东的净利润为</w:t>
      </w:r>
      <w:r>
        <w:rPr>
          <w:rFonts w:ascii="Times New Roman" w:hAnsi="Times New Roman" w:cs="Times New Roman" w:eastAsia="Times New Roman" w:hint="default"/>
          <w:spacing w:val="-2"/>
        </w:rPr>
        <w:t>3,618.78</w:t>
      </w:r>
      <w:r>
        <w:rPr>
          <w:spacing w:val="-2"/>
        </w:rPr>
        <w:t>万元，较去年同期增长</w:t>
      </w:r>
      <w:r>
        <w:rPr>
          <w:rFonts w:ascii="Times New Roman" w:hAnsi="Times New Roman" w:cs="Times New Roman" w:eastAsia="Times New Roman" w:hint="default"/>
          <w:spacing w:val="-2"/>
        </w:rPr>
        <w:t>5.21%</w:t>
      </w:r>
      <w:r>
        <w:rPr>
          <w:spacing w:val="-2"/>
        </w:rPr>
        <w:t>。报告期末，公司总资产为</w:t>
      </w:r>
      <w:r>
        <w:rPr>
          <w:rFonts w:ascii="Times New Roman" w:hAnsi="Times New Roman" w:cs="Times New Roman" w:eastAsia="Times New Roman" w:hint="default"/>
          <w:spacing w:val="-2"/>
        </w:rPr>
        <w:t>78,948.59</w:t>
      </w:r>
      <w:r>
        <w:rPr>
          <w:spacing w:val="-2"/>
        </w:rPr>
        <w:t>万元，</w:t>
      </w:r>
      <w:r>
        <w:rPr>
          <w:spacing w:val="-73"/>
        </w:rPr>
        <w:t> </w:t>
      </w:r>
      <w:r>
        <w:rPr/>
        <w:t>较年初增长</w:t>
      </w:r>
      <w:r>
        <w:rPr>
          <w:rFonts w:ascii="Times New Roman" w:hAnsi="Times New Roman" w:cs="Times New Roman" w:eastAsia="Times New Roman" w:hint="default"/>
        </w:rPr>
        <w:t>8.67%</w:t>
      </w:r>
      <w:r>
        <w:rPr/>
        <w:t>；归属于上市公司股东的所有者权益为</w:t>
      </w:r>
      <w:r>
        <w:rPr>
          <w:rFonts w:ascii="Times New Roman" w:hAnsi="Times New Roman" w:cs="Times New Roman" w:eastAsia="Times New Roman" w:hint="default"/>
        </w:rPr>
        <w:t>59,514.57</w:t>
      </w:r>
      <w:r>
        <w:rPr/>
        <w:t>万元，较期初增长</w:t>
      </w:r>
      <w:r>
        <w:rPr>
          <w:rFonts w:ascii="Times New Roman" w:hAnsi="Times New Roman" w:cs="Times New Roman" w:eastAsia="Times New Roman" w:hint="default"/>
        </w:rPr>
        <w:t>5.70%</w:t>
      </w:r>
      <w:r>
        <w:rPr/>
        <w:t>。</w:t>
      </w:r>
    </w:p>
    <w:p>
      <w:pPr>
        <w:pStyle w:val="BodyText"/>
        <w:spacing w:line="240" w:lineRule="auto" w:before="13"/>
        <w:ind w:left="513" w:right="93"/>
        <w:jc w:val="left"/>
      </w:pPr>
      <w:r>
        <w:rPr/>
        <w:t>报告期内，公司各项重点工作开展情况如下：</w:t>
      </w:r>
    </w:p>
    <w:p>
      <w:pPr>
        <w:pStyle w:val="BodyText"/>
        <w:spacing w:line="316" w:lineRule="auto" w:before="77"/>
        <w:ind w:left="513" w:right="93"/>
        <w:jc w:val="left"/>
      </w:pPr>
      <w:r>
        <w:rPr/>
        <w:t>（一）进一步完善公司管控体系，不断强化平台支撑能力 </w:t>
      </w:r>
      <w:r>
        <w:rPr>
          <w:spacing w:val="-2"/>
        </w:rPr>
        <w:t>报告期内，公司进一步强化整体管控能力，完善了人力资源系统、合同管理系统，优化了财务系统、项目管理系统，通</w:t>
      </w:r>
    </w:p>
    <w:p>
      <w:pPr>
        <w:pStyle w:val="BodyText"/>
        <w:spacing w:line="240" w:lineRule="auto" w:before="19"/>
        <w:ind w:right="93"/>
        <w:jc w:val="left"/>
      </w:pPr>
      <w:r>
        <w:rPr/>
        <w:t>过信息系统的建设控制经营风险，支撑经营决策。</w:t>
      </w:r>
    </w:p>
    <w:p>
      <w:pPr>
        <w:pStyle w:val="BodyText"/>
        <w:spacing w:line="316" w:lineRule="auto" w:before="76"/>
        <w:ind w:left="513" w:right="93"/>
        <w:jc w:val="left"/>
      </w:pPr>
      <w:r>
        <w:rPr/>
        <w:t>（二）软件业务规模效率双提升 </w:t>
      </w:r>
      <w:r>
        <w:rPr>
          <w:spacing w:val="-2"/>
        </w:rPr>
        <w:t>报告期内，公司软件业务深入贯彻公司战略，不断细化管理、提升经营效率，聚焦客户、聚焦产品。在邮储银行、中信</w:t>
      </w:r>
    </w:p>
    <w:p>
      <w:pPr>
        <w:pStyle w:val="BodyText"/>
        <w:spacing w:line="240" w:lineRule="auto" w:before="19"/>
        <w:ind w:right="93"/>
        <w:jc w:val="left"/>
      </w:pPr>
      <w:r>
        <w:rPr/>
        <w:t>银行、光大银行、中国进出口银行等核心客户积极拓展新业务领域。</w:t>
      </w:r>
    </w:p>
    <w:p>
      <w:pPr>
        <w:pStyle w:val="BodyText"/>
        <w:spacing w:line="312" w:lineRule="auto" w:before="76"/>
        <w:ind w:right="193" w:firstLine="360"/>
        <w:jc w:val="both"/>
      </w:pPr>
      <w:r>
        <w:rPr>
          <w:rFonts w:ascii="Times New Roman" w:hAnsi="Times New Roman" w:cs="Times New Roman" w:eastAsia="Times New Roman" w:hint="default"/>
        </w:rPr>
        <w:t>2017</w:t>
      </w:r>
      <w:r>
        <w:rPr/>
        <w:t>年成功参与实施了某大型股份制商业银行交易银行</w:t>
      </w:r>
      <w:r>
        <w:rPr>
          <w:rFonts w:ascii="Times New Roman" w:hAnsi="Times New Roman" w:cs="Times New Roman" w:eastAsia="Times New Roman" w:hint="default"/>
        </w:rPr>
        <w:t>2.0</w:t>
      </w:r>
      <w:r>
        <w:rPr/>
        <w:t>系统，围绕企业的物流、商流、资金流、信息流，为企业客 </w:t>
      </w:r>
      <w:r>
        <w:rPr>
          <w:spacing w:val="-2"/>
        </w:rPr>
        <w:t>户提供账户管理、支付结算、贸易融资、现金流动性管理、资产托管等一揽子综合性金融服务方案，最终实现银行的交易银</w:t>
      </w:r>
      <w:r>
        <w:rPr>
          <w:spacing w:val="-67"/>
        </w:rPr>
        <w:t> </w:t>
      </w:r>
      <w:r>
        <w:rPr>
          <w:spacing w:val="-67"/>
        </w:rPr>
      </w:r>
      <w:r>
        <w:rPr>
          <w:spacing w:val="-2"/>
        </w:rPr>
        <w:t>行业务由面向银行经营视角到面向企业经营视角转变，由面向功能型服务到面向产品营销型服务转变，由面向渠道入口的开</w:t>
      </w:r>
      <w:r>
        <w:rPr>
          <w:spacing w:val="-64"/>
        </w:rPr>
        <w:t> </w:t>
      </w:r>
      <w:r>
        <w:rPr>
          <w:spacing w:val="-64"/>
        </w:rPr>
      </w:r>
      <w:r>
        <w:rPr/>
        <w:t>发管理模式到面向渠道枢纽的开发管理模式转变，极大提升了银行对公业务的服务能力和水平。</w:t>
      </w:r>
    </w:p>
    <w:p>
      <w:pPr>
        <w:pStyle w:val="BodyText"/>
        <w:spacing w:line="319" w:lineRule="auto" w:before="22"/>
        <w:ind w:left="513" w:right="87"/>
        <w:jc w:val="left"/>
      </w:pPr>
      <w:r>
        <w:rPr/>
        <w:t>（三）系统集成业务规模创新高 </w:t>
      </w:r>
      <w:r>
        <w:rPr>
          <w:spacing w:val="-3"/>
        </w:rPr>
        <w:t>报告期内，公司持续加大系统集成业务的市场推广力度，并取得了显著成效，系统集成业务实现主营收入</w:t>
      </w:r>
      <w:r>
        <w:rPr>
          <w:rFonts w:ascii="Times New Roman" w:hAnsi="Times New Roman" w:cs="Times New Roman" w:eastAsia="Times New Roman" w:hint="default"/>
          <w:spacing w:val="-3"/>
        </w:rPr>
        <w:t>30,736.68</w:t>
      </w:r>
      <w:r>
        <w:rPr>
          <w:spacing w:val="-3"/>
        </w:rPr>
        <w:t>万元，</w:t>
      </w:r>
    </w:p>
    <w:p>
      <w:pPr>
        <w:pStyle w:val="BodyText"/>
        <w:spacing w:line="312" w:lineRule="auto"/>
        <w:ind w:right="191"/>
        <w:jc w:val="both"/>
      </w:pPr>
      <w:r>
        <w:rPr/>
        <w:t>同比上升</w:t>
      </w:r>
      <w:r>
        <w:rPr>
          <w:spacing w:val="-20"/>
        </w:rPr>
        <w:t> </w:t>
      </w:r>
      <w:r>
        <w:rPr>
          <w:rFonts w:ascii="Times New Roman" w:hAnsi="Times New Roman" w:cs="Times New Roman" w:eastAsia="Times New Roman" w:hint="default"/>
        </w:rPr>
        <w:t>75.92%</w:t>
      </w:r>
      <w:r>
        <w:rPr/>
        <w:t>。公司在系统集成技术支撑层面，坚持创新研发，加强新技术应用，在数据中心自动化、云平台建设等方 </w:t>
      </w:r>
      <w:r>
        <w:rPr>
          <w:spacing w:val="-2"/>
        </w:rPr>
        <w:t>面持续投入。公司成功实施了一批业内领先的、具有行业影响力的重点项目，范围覆盖数据中心核心网络项目、两地三中心</w:t>
      </w:r>
      <w:r>
        <w:rPr>
          <w:spacing w:val="-66"/>
        </w:rPr>
        <w:t> </w:t>
      </w:r>
      <w:r>
        <w:rPr>
          <w:spacing w:val="-66"/>
        </w:rPr>
      </w:r>
      <w:r>
        <w:rPr>
          <w:spacing w:val="-2"/>
        </w:rPr>
        <w:t>的灾备项目、机房搬迁项目、数据迁移项目、大数据平台集成服务项目等。这些重点项目的成功实施，使客户对我们的技术</w:t>
      </w:r>
      <w:r>
        <w:rPr>
          <w:spacing w:val="-67"/>
        </w:rPr>
        <w:t> </w:t>
      </w:r>
      <w:r>
        <w:rPr>
          <w:spacing w:val="-67"/>
        </w:rPr>
      </w:r>
      <w:r>
        <w:rPr/>
        <w:t>能力和服务能力有了更高的认可，提升了客户满意度，也为下一步的业务拓展奠定了良好的基础。</w:t>
      </w:r>
    </w:p>
    <w:p>
      <w:pPr>
        <w:pStyle w:val="BodyText"/>
        <w:spacing w:line="316" w:lineRule="auto" w:before="22"/>
        <w:ind w:left="513" w:right="93"/>
        <w:jc w:val="left"/>
      </w:pPr>
      <w:r>
        <w:rPr/>
        <w:t>（四）研发创新驱动业务能力提升 </w:t>
      </w:r>
      <w:r>
        <w:rPr>
          <w:spacing w:val="-2"/>
        </w:rPr>
        <w:t>在创新方面，公司持续加大投入力度，在云计算、人工智能以及区块链方面均取得了一定进展。基于区块链技术的业务</w:t>
      </w:r>
    </w:p>
    <w:p>
      <w:pPr>
        <w:pStyle w:val="BodyText"/>
        <w:spacing w:line="316" w:lineRule="auto" w:before="19"/>
        <w:ind w:right="93"/>
        <w:jc w:val="left"/>
      </w:pPr>
      <w:r>
        <w:rPr>
          <w:spacing w:val="-2"/>
        </w:rPr>
        <w:t>应用在某银行成功上线，目前已成功接入多家金融机构，取得了良好的运营效果，为我公司在区块链领域的拓展奠定了坚实</w:t>
      </w:r>
      <w:r>
        <w:rPr>
          <w:spacing w:val="-63"/>
        </w:rPr>
        <w:t> </w:t>
      </w:r>
      <w:r>
        <w:rPr>
          <w:spacing w:val="-63"/>
        </w:rPr>
      </w:r>
      <w:r>
        <w:rPr/>
        <w:t>的基础。</w:t>
      </w:r>
    </w:p>
    <w:p>
      <w:pPr>
        <w:pStyle w:val="BodyText"/>
        <w:spacing w:line="316" w:lineRule="auto" w:before="19"/>
        <w:ind w:left="513" w:right="273"/>
        <w:jc w:val="left"/>
        <w:rPr>
          <w:rFonts w:ascii="Times New Roman" w:hAnsi="Times New Roman" w:cs="Times New Roman" w:eastAsia="Times New Roman" w:hint="default"/>
        </w:rPr>
      </w:pPr>
      <w:r>
        <w:rPr/>
        <w:t>（五）加强人才队伍建设，提高员工凝聚力 在人才队伍建设方面，为进一步吸引和保留核心骨干人才，推出了限制性股票激励计划。</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日公司召开</w:t>
      </w:r>
      <w:r>
        <w:rPr>
          <w:rFonts w:ascii="Times New Roman" w:hAnsi="Times New Roman" w:cs="Times New Roman" w:eastAsia="Times New Roman" w:hint="default"/>
        </w:rPr>
        <w:t>2017</w:t>
      </w:r>
    </w:p>
    <w:p>
      <w:pPr>
        <w:pStyle w:val="BodyText"/>
        <w:spacing w:line="300" w:lineRule="auto"/>
        <w:ind w:right="94"/>
        <w:jc w:val="left"/>
      </w:pPr>
      <w:r>
        <w:rPr/>
        <w:t>年第二次临时股东大会，通过了《新晨科技股份有限公司</w:t>
      </w:r>
      <w:r>
        <w:rPr>
          <w:rFonts w:ascii="Times New Roman" w:hAnsi="Times New Roman" w:cs="Times New Roman" w:eastAsia="Times New Roman" w:hint="default"/>
        </w:rPr>
        <w:t>2017</w:t>
      </w:r>
      <w:r>
        <w:rPr/>
        <w:t>年限制性股票激励计划（草案）》，共授予的激励对象</w:t>
      </w:r>
      <w:r>
        <w:rPr>
          <w:rFonts w:ascii="Times New Roman" w:hAnsi="Times New Roman" w:cs="Times New Roman" w:eastAsia="Times New Roman" w:hint="default"/>
        </w:rPr>
        <w:t>61</w:t>
      </w:r>
      <w:r>
        <w:rPr/>
        <w:t>人，</w:t>
      </w:r>
      <w:r>
        <w:rPr>
          <w:spacing w:val="-85"/>
        </w:rPr>
        <w:t> </w:t>
      </w:r>
      <w:r>
        <w:rPr/>
        <w:t>合计授予限制性股票</w:t>
      </w:r>
      <w:r>
        <w:rPr>
          <w:rFonts w:ascii="Times New Roman" w:hAnsi="Times New Roman" w:cs="Times New Roman" w:eastAsia="Times New Roman" w:hint="default"/>
        </w:rPr>
        <w:t>104.15</w:t>
      </w:r>
      <w:r>
        <w:rPr/>
        <w:t>万股，授予的限制性股票上市日期为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日。彰显了公司在激励优秀人才方面的决心， 有利于公司持续稳定发展。</w:t>
      </w:r>
    </w:p>
    <w:p>
      <w:pPr>
        <w:spacing w:line="240" w:lineRule="auto" w:before="11"/>
        <w:rPr>
          <w:rFonts w:ascii="宋体" w:hAnsi="宋体" w:cs="宋体" w:eastAsia="宋体" w:hint="default"/>
          <w:sz w:val="21"/>
          <w:szCs w:val="21"/>
        </w:rPr>
      </w:pPr>
    </w:p>
    <w:p>
      <w:pPr>
        <w:pStyle w:val="Heading2"/>
        <w:spacing w:line="240" w:lineRule="auto"/>
        <w:ind w:right="93"/>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994"/>
        <w:jc w:val="left"/>
      </w:pPr>
      <w:r>
        <w:rPr/>
        <w:t>公司是否需要遵守光伏产业链相关业的披露要求 否</w:t>
      </w:r>
    </w:p>
    <w:p>
      <w:pPr>
        <w:pStyle w:val="BodyText"/>
        <w:spacing w:line="340" w:lineRule="auto" w:before="25"/>
        <w:ind w:right="41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5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40"/>
        <w:ind w:right="68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1"/>
        <w:ind w:right="153"/>
        <w:jc w:val="left"/>
      </w:pPr>
      <w:r>
        <w:rPr/>
        <w:t>营业收入整体情况</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9"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606,451,812.65</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431,422,441.35</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40.57%</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软件和信息产业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605,507,617.99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99.84%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430,523,043.41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99.79%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40.64%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944,194.66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899,397.94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307,366,828.93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50.68%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174,717,996.59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75.92%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218,142,269.09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35.97%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173,762,211.81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25.54%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79,998,519.97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82,042,835.01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944,194.66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899,397.94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392,742,616.21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276,190,589.30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64.02%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42.20%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195,842,626.65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32.29%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112,898,236.89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73.47%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17,866,569.79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42,333,615.16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-57.80%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软件和信息产业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605,507,617.99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462,830,807.90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307,366,828.93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263,133,551.40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218,142,269.09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144,712,756.37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79,998,519.97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54,984,500.13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0.73%</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392,742,616.21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304,856,618.85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195,842,626.65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145,677,587.09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73.47%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60.23%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6.15%</w:t>
            </w:r>
          </w:p>
        </w:tc>
      </w:tr>
    </w:tbl>
    <w:p>
      <w:pPr>
        <w:pStyle w:val="BodyText"/>
        <w:spacing w:line="240" w:lineRule="auto" w:before="49"/>
        <w:ind w:right="15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t>行业和产品分类</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软件信息业务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材料及服务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324,015,180.75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69.98%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186,428,177.34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10.31%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软件信息业务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111,886,436.01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91,644,258.06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软件信息业务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26,929,191.14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34,172,941.21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182,464.22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182,463.96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bl>
    <w:p>
      <w:pPr>
        <w:pStyle w:val="BodyText"/>
        <w:spacing w:line="240" w:lineRule="auto" w:before="49"/>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38,706,549.57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24,842,759.39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87,903,721.55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69,381,413.77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18,102,485.25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25,622,420.06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27,207,746.46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32,483,858.08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20,820,369.98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18,006,482.22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6,956,383.69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6,495,526.63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材料及服务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258,100,884.72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129,101,559.87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14.42%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3,162,344.48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4,256,362.07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1,870,322.20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2,054,994.52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182,464.22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182,463.96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288,613,915.58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47.59%</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80,074,684.53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13.20%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61,069,184.81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56,668,904.02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9.34%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50,733,396.93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40,067,745.29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6.61%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288,613,915.58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47.59%</w:t>
            </w:r>
          </w:p>
        </w:tc>
      </w:tr>
    </w:tbl>
    <w:p>
      <w:pPr>
        <w:pStyle w:val="BodyText"/>
        <w:spacing w:line="240" w:lineRule="auto" w:before="49"/>
        <w:ind w:right="153"/>
        <w:jc w:val="left"/>
      </w:pPr>
      <w:r>
        <w:rPr/>
        <w:t>主要客户其他情况说明</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116,287,859.55</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35.89%</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41,474,871.51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27,965,641.03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18,502,461.54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14,655,659.83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13,689,225.64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116,287,859.55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35.89%</w:t>
            </w:r>
          </w:p>
        </w:tc>
      </w:tr>
    </w:tbl>
    <w:p>
      <w:pPr>
        <w:pStyle w:val="BodyText"/>
        <w:spacing w:line="240" w:lineRule="auto" w:before="49"/>
        <w:ind w:right="153"/>
        <w:jc w:val="left"/>
      </w:pPr>
      <w:r>
        <w:rPr/>
        <w:t>主要供应商其他情况说明</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23,956,657.52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21,540,507.28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68,205,527.65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44,434,837.76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53.50%</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管理费用本期较上期增加较多，主要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系募投项目研发投入增加所致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3" w:right="0"/>
              <w:jc w:val="left"/>
              <w:rPr>
                <w:rFonts w:ascii="Times New Roman" w:hAnsi="Times New Roman" w:cs="Times New Roman" w:eastAsia="Times New Roman" w:hint="default"/>
                <w:sz w:val="18"/>
                <w:szCs w:val="18"/>
              </w:rPr>
            </w:pPr>
            <w:r>
              <w:rPr>
                <w:rFonts w:ascii="Times New Roman"/>
                <w:sz w:val="18"/>
              </w:rPr>
              <w:t>-2,040,523.80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9" w:right="0"/>
              <w:jc w:val="left"/>
              <w:rPr>
                <w:rFonts w:ascii="Times New Roman" w:hAnsi="Times New Roman" w:cs="Times New Roman" w:eastAsia="Times New Roman" w:hint="default"/>
                <w:sz w:val="18"/>
                <w:szCs w:val="18"/>
              </w:rPr>
            </w:pPr>
            <w:r>
              <w:rPr>
                <w:rFonts w:ascii="Times New Roman"/>
                <w:sz w:val="18"/>
              </w:rPr>
              <w:t>1,535,519.94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2" w:right="0"/>
              <w:jc w:val="left"/>
              <w:rPr>
                <w:rFonts w:ascii="Times New Roman" w:hAnsi="Times New Roman" w:cs="Times New Roman" w:eastAsia="Times New Roman" w:hint="default"/>
                <w:sz w:val="18"/>
                <w:szCs w:val="18"/>
              </w:rPr>
            </w:pPr>
            <w:r>
              <w:rPr>
                <w:rFonts w:ascii="Times New Roman"/>
                <w:sz w:val="18"/>
              </w:rPr>
              <w:t>-232.89%</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财务费用本期较上期减少较多，主要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系借款本期已全部偿还</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716"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4,642,431.24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1,773,186.35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主要系公司营业收入增长较大，相应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计提的税金及附加增大所致</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415" w:lineRule="auto" w:before="103"/>
        <w:ind w:left="633" w:right="0" w:hanging="120"/>
        <w:jc w:val="left"/>
      </w:pPr>
      <w:r>
        <w:rPr/>
        <w:t>（</w:t>
      </w:r>
      <w:r>
        <w:rPr>
          <w:rFonts w:ascii="Times New Roman" w:hAnsi="Times New Roman" w:cs="Times New Roman" w:eastAsia="Times New Roman" w:hint="default"/>
        </w:rPr>
        <w:t>1</w:t>
      </w:r>
      <w:r>
        <w:rPr/>
        <w:t>）募投项目 </w:t>
      </w:r>
      <w:r>
        <w:rPr>
          <w:spacing w:val="-1"/>
        </w:rPr>
        <w:t>公司本着统筹安排的原则，结合项目轻重缓急、募集资金到位时间以及项目进展情况投资建设。募集资金到位前，公</w:t>
      </w:r>
    </w:p>
    <w:p>
      <w:pPr>
        <w:pStyle w:val="BodyText"/>
        <w:spacing w:line="194" w:lineRule="exact"/>
        <w:ind w:right="0"/>
        <w:jc w:val="left"/>
      </w:pPr>
      <w:r>
        <w:rPr/>
        <w:t>司根据项目进展需要以自筹资金先行投入。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日，公司首次公开发行股票并在深交所创业板上市，募集资金到位</w:t>
      </w:r>
    </w:p>
    <w:p>
      <w:pPr>
        <w:pStyle w:val="BodyText"/>
        <w:spacing w:line="300" w:lineRule="auto" w:before="63"/>
        <w:ind w:right="153"/>
        <w:jc w:val="left"/>
      </w:pPr>
      <w:r>
        <w:rPr/>
        <w:t>后，公司持续进行</w:t>
      </w:r>
      <w:r>
        <w:rPr>
          <w:rFonts w:ascii="Times New Roman" w:hAnsi="Times New Roman" w:cs="Times New Roman" w:eastAsia="Times New Roman" w:hint="default"/>
        </w:rPr>
        <w:t>4</w:t>
      </w:r>
      <w:r>
        <w:rPr/>
        <w:t>个募投项目的实施。截至报告期末，募投项目的投入情况见本节</w:t>
      </w:r>
      <w:r>
        <w:rPr>
          <w:rFonts w:ascii="Times New Roman" w:hAnsi="Times New Roman" w:cs="Times New Roman" w:eastAsia="Times New Roman" w:hint="default"/>
        </w:rPr>
        <w:t>“</w:t>
      </w:r>
      <w:r>
        <w:rPr/>
        <w:t>五、投资状况分析</w:t>
      </w:r>
      <w:r>
        <w:rPr>
          <w:rFonts w:ascii="Times New Roman" w:hAnsi="Times New Roman" w:cs="Times New Roman" w:eastAsia="Times New Roman" w:hint="default"/>
        </w:rPr>
        <w:t>”</w:t>
      </w:r>
      <w:r>
        <w:rPr/>
        <w:t>之</w:t>
      </w:r>
      <w:r>
        <w:rPr>
          <w:rFonts w:ascii="Times New Roman" w:hAnsi="Times New Roman" w:cs="Times New Roman" w:eastAsia="Times New Roman" w:hint="default"/>
        </w:rPr>
        <w:t>“5</w:t>
      </w:r>
      <w:r>
        <w:rPr/>
        <w:t>、募集资金使</w:t>
      </w:r>
      <w:r>
        <w:rPr>
          <w:spacing w:val="-58"/>
        </w:rPr>
        <w:t> </w:t>
      </w:r>
      <w:r>
        <w:rPr>
          <w:spacing w:val="-58"/>
        </w:rPr>
      </w:r>
      <w:r>
        <w:rPr/>
        <w:t>用情况</w:t>
      </w:r>
      <w:r>
        <w:rPr>
          <w:rFonts w:ascii="Times New Roman" w:hAnsi="Times New Roman" w:cs="Times New Roman" w:eastAsia="Times New Roman" w:hint="default"/>
        </w:rPr>
        <w:t>”</w:t>
      </w:r>
      <w:r>
        <w:rPr/>
        <w:t>。</w:t>
      </w:r>
    </w:p>
    <w:p>
      <w:pPr>
        <w:pStyle w:val="BodyText"/>
        <w:spacing w:line="319" w:lineRule="auto" w:before="133"/>
        <w:ind w:right="153" w:firstLine="480"/>
        <w:jc w:val="left"/>
      </w:pPr>
      <w:r>
        <w:rPr>
          <w:spacing w:val="-1"/>
        </w:rPr>
        <w:t>募投项目的顺利实施，并达成项目目标，对公司保持并提升市场地位，扩大业务规模，具有战略意义。未来公司将持</w:t>
      </w:r>
      <w:r>
        <w:rPr/>
        <w:t> 续推进募投项目的实施，并力争达成相应的项目目标。</w:t>
      </w:r>
    </w:p>
    <w:p>
      <w:pPr>
        <w:pStyle w:val="BodyText"/>
        <w:spacing w:line="432" w:lineRule="exact" w:before="1"/>
        <w:ind w:left="633" w:right="0" w:hanging="120"/>
        <w:jc w:val="left"/>
      </w:pPr>
      <w:r>
        <w:rPr/>
        <w:t>（</w:t>
      </w:r>
      <w:r>
        <w:rPr>
          <w:rFonts w:ascii="Times New Roman" w:hAnsi="Times New Roman" w:cs="Times New Roman" w:eastAsia="Times New Roman" w:hint="default"/>
        </w:rPr>
        <w:t>2</w:t>
      </w:r>
      <w:r>
        <w:rPr/>
        <w:t>）基于特定客户需求的研发项目 </w:t>
      </w:r>
      <w:r>
        <w:rPr>
          <w:spacing w:val="-1"/>
        </w:rPr>
        <w:t>报告期内，公司投入的另一类研发项目，是根据特定客户需求而立项投入研发的项目。此类项目具有在其他客户的推</w:t>
      </w:r>
    </w:p>
    <w:p>
      <w:pPr>
        <w:pStyle w:val="BodyText"/>
        <w:spacing w:line="316" w:lineRule="auto" w:before="15"/>
        <w:ind w:right="0"/>
        <w:jc w:val="left"/>
      </w:pPr>
      <w:r>
        <w:rPr>
          <w:spacing w:val="-2"/>
        </w:rPr>
        <w:t>广价值，或为维护公司大客户的长期合作关系而设立，一般采取为客户定制研发的形式。截至报告期末，公司此类研发项目</w:t>
      </w:r>
      <w:r>
        <w:rPr>
          <w:spacing w:val="-65"/>
        </w:rPr>
        <w:t> </w:t>
      </w:r>
      <w:r>
        <w:rPr>
          <w:spacing w:val="-65"/>
        </w:rPr>
      </w:r>
      <w:r>
        <w:rPr/>
        <w:t>进展顺利，部分项目已顺利通过客户验收并获得了预期的经济效益。</w:t>
      </w:r>
    </w:p>
    <w:p>
      <w:pPr>
        <w:spacing w:after="0" w:line="316"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82.23%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127,388,493.53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117,898,099.71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117,282,988.00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28.36%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3"/>
        <w:jc w:val="left"/>
      </w:pPr>
      <w:r>
        <w:rPr/>
        <w:t>研发投入总额占营业收入的比重较上年发生显著变化的原因</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572,363,042.63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441,733,999.38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29.57%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572,854,659.17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451,736,158.76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26.81%</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-491,616.54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-10,002,159.38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95.08%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1,310.00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63.75%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5,170,910.21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6,159,378.01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-16.05%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-5,169,600.21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-6,158,578.01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16.06%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24,256,535.00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251,396,044.36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-90.35%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42,101,267.51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108,960,363.99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-61.36%</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-17,844,732.51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142,435,680.37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-112.53%</w:t>
            </w:r>
            <w:r>
              <w:rPr>
                <w:rFonts w:ascii="Times New Roman"/>
                <w:spacing w:val="-1"/>
                <w:sz w:val="18"/>
              </w:rPr>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-23,526,138.77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126,301,487.31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-118.63%</w:t>
            </w:r>
            <w:r>
              <w:rPr>
                <w:rFonts w:ascii="Times New Roman"/>
                <w:spacing w:val="-1"/>
                <w:sz w:val="18"/>
              </w:rPr>
            </w:r>
          </w:p>
        </w:tc>
      </w:tr>
    </w:tbl>
    <w:p>
      <w:pPr>
        <w:pStyle w:val="BodyText"/>
        <w:spacing w:line="240" w:lineRule="auto" w:before="49"/>
        <w:ind w:right="153"/>
        <w:jc w:val="left"/>
      </w:pPr>
      <w:r>
        <w:rPr/>
        <w:t>相关数据同比发生重大变动的主要影响因素说明</w:t>
      </w:r>
    </w:p>
    <w:p>
      <w:pPr>
        <w:pStyle w:val="BodyText"/>
        <w:spacing w:line="338" w:lineRule="auto" w:before="117"/>
        <w:ind w:right="25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经营活动产生的现金流量净额较上期增加</w:t>
      </w:r>
      <w:r>
        <w:rPr>
          <w:rFonts w:ascii="Times New Roman" w:hAnsi="Times New Roman" w:cs="Times New Roman" w:eastAsia="Times New Roman" w:hint="default"/>
        </w:rPr>
        <w:t>95.08%</w:t>
      </w:r>
      <w:r>
        <w:rPr/>
        <w:t>，主要系本报告期公司加强收款力度所致；</w:t>
      </w:r>
    </w:p>
    <w:p>
      <w:pPr>
        <w:pStyle w:val="BodyText"/>
        <w:spacing w:line="230" w:lineRule="exact"/>
        <w:ind w:right="153"/>
        <w:jc w:val="left"/>
      </w:pPr>
      <w:r>
        <w:rPr/>
        <w:t>投资活动产生的现金流量净额较上期增加</w:t>
      </w:r>
      <w:r>
        <w:rPr>
          <w:rFonts w:ascii="Times New Roman" w:hAnsi="Times New Roman" w:cs="Times New Roman" w:eastAsia="Times New Roman" w:hint="default"/>
        </w:rPr>
        <w:t>16.06%</w:t>
      </w:r>
      <w:r>
        <w:rPr/>
        <w:t>，主要系本期购建固定资产、无形资产和其他长期资产支付的现金较上期</w:t>
      </w:r>
    </w:p>
    <w:p>
      <w:pPr>
        <w:pStyle w:val="BodyText"/>
        <w:spacing w:line="240" w:lineRule="auto" w:before="63"/>
        <w:ind w:right="153"/>
        <w:jc w:val="left"/>
      </w:pPr>
      <w:r>
        <w:rPr/>
        <w:t>减少所致；</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53"/>
        <w:jc w:val="left"/>
      </w:pPr>
      <w:r>
        <w:rPr>
          <w:spacing w:val="-1"/>
        </w:rPr>
        <w:t>筹资活动产生的现金流量净额较上期减少</w:t>
      </w:r>
      <w:r>
        <w:rPr>
          <w:rFonts w:ascii="Times New Roman" w:hAnsi="Times New Roman" w:cs="Times New Roman" w:eastAsia="Times New Roman" w:hint="default"/>
          <w:spacing w:val="-1"/>
        </w:rPr>
        <w:t>112.53%</w:t>
      </w:r>
      <w:r>
        <w:rPr>
          <w:spacing w:val="-1"/>
        </w:rPr>
        <w:t>，主要系吸收投资收到的现金、取得借款收到的现金、本期偿还债务支付</w:t>
      </w:r>
      <w:r>
        <w:rPr>
          <w:spacing w:val="-43"/>
        </w:rPr>
        <w:t> </w:t>
      </w:r>
      <w:r>
        <w:rPr>
          <w:spacing w:val="-43"/>
        </w:rPr>
      </w:r>
      <w:r>
        <w:rPr/>
        <w:t>的现金较上期减少、分配股利、利润或偿付利息支付的现金较上期增加所致。</w:t>
      </w:r>
    </w:p>
    <w:p>
      <w:pPr>
        <w:pStyle w:val="BodyText"/>
        <w:spacing w:line="240" w:lineRule="auto" w:before="72"/>
        <w:ind w:right="153"/>
        <w:jc w:val="left"/>
      </w:pPr>
      <w:r>
        <w:rPr/>
        <w:t>报告期内公司经营活动产生的现金净流量与本年度净利润存在重大差异的原因说明</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pict>
          <v:group style="position:absolute;margin-left:455.140015pt;margin-top:42.90173pt;width:78.6pt;height:19.6pt;mso-position-horizontal-relative:page;mso-position-vertical-relative:paragraph;z-index:-833752" coordorigin="9103,858" coordsize="1572,392">
            <v:shape style="position:absolute;left:9103;top:858;width:1572;height:392" coordorigin="9103,858" coordsize="1572,392" path="m9103,1249l10675,1249,10675,858,9103,858,9103,1249xe" filled="true" fillcolor="#ffffff" stroked="false">
              <v:path arrowok="t"/>
              <v:fill type="solid"/>
            </v:shape>
            <w10:wrap type="none"/>
          </v:group>
        </w:pict>
      </w: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71"/>
        <w:gridCol w:w="1427"/>
        <w:gridCol w:w="1419"/>
        <w:gridCol w:w="4112"/>
        <w:gridCol w:w="1630"/>
      </w:tblGrid>
      <w:tr>
        <w:trPr>
          <w:trHeight w:val="403"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z w:val="18"/>
                <w:szCs w:val="18"/>
              </w:rPr>
              <w:t>占利润总额比例</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1"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12,583,984.84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32.64%</w:t>
            </w:r>
          </w:p>
        </w:tc>
        <w:tc>
          <w:tcPr>
            <w:tcW w:w="411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4" w:right="-41"/>
              <w:jc w:val="left"/>
              <w:rPr>
                <w:rFonts w:ascii="宋体" w:hAnsi="宋体" w:cs="宋体" w:eastAsia="宋体" w:hint="default"/>
                <w:sz w:val="18"/>
                <w:szCs w:val="18"/>
              </w:rPr>
            </w:pPr>
            <w:r>
              <w:rPr>
                <w:rFonts w:ascii="宋体" w:hAnsi="宋体" w:cs="宋体" w:eastAsia="宋体" w:hint="default"/>
                <w:spacing w:val="-2"/>
                <w:sz w:val="18"/>
                <w:szCs w:val="18"/>
              </w:rPr>
              <w:t>系报告期对应收账款、其他应收款计提的坏账准备。</w:t>
            </w:r>
            <w:r>
              <w:rPr>
                <w:rFonts w:ascii="宋体" w:hAnsi="宋体" w:cs="宋体" w:eastAsia="宋体" w:hint="default"/>
                <w:sz w:val="18"/>
                <w:szCs w:val="18"/>
              </w:rPr>
            </w:r>
          </w:p>
        </w:tc>
        <w:tc>
          <w:tcPr>
            <w:tcW w:w="163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营业外收入</w:t>
            </w:r>
          </w:p>
        </w:tc>
        <w:tc>
          <w:tcPr>
            <w:tcW w:w="14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153,821.39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系报告期取得的个人所得税手续费返还。</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2,336,973.17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系报告期取得的政府补助及贴息款。</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1277"/>
        <w:gridCol w:w="708"/>
        <w:gridCol w:w="1274"/>
        <w:gridCol w:w="711"/>
        <w:gridCol w:w="708"/>
        <w:gridCol w:w="3473"/>
      </w:tblGrid>
      <w:tr>
        <w:trPr>
          <w:trHeight w:val="206"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3473" w:type="dxa"/>
            <w:vMerge w:val="restart"/>
            <w:tcBorders>
              <w:top w:val="single" w:sz="4" w:space="0" w:color="000000"/>
              <w:left w:val="single" w:sz="4" w:space="0" w:color="000000"/>
              <w:right w:val="single" w:sz="4" w:space="0" w:color="000000"/>
            </w:tcBorders>
            <w:shd w:val="clear" w:color="auto" w:fill="D2D2D2"/>
          </w:tcPr>
          <w:p>
            <w:pPr/>
          </w:p>
        </w:tc>
      </w:tr>
      <w:tr>
        <w:trPr>
          <w:trHeight w:val="176"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3473"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9"/>
              <w:ind w:left="79" w:right="77"/>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9"/>
              <w:ind w:left="79" w:right="81"/>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08" w:type="dxa"/>
            <w:vMerge/>
            <w:tcBorders>
              <w:left w:val="single" w:sz="4" w:space="0" w:color="000000"/>
              <w:right w:val="single" w:sz="4" w:space="0" w:color="000000"/>
            </w:tcBorders>
            <w:shd w:val="clear" w:color="auto" w:fill="D2D2D2"/>
          </w:tcPr>
          <w:p>
            <w:pPr/>
          </w:p>
        </w:tc>
        <w:tc>
          <w:tcPr>
            <w:tcW w:w="34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3473"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3473"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347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291,786,700.71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36.96%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315,485,088.48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43.42%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161"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322,544,206.44</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40.85%</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234,775,114.14</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32.31%</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8.54%</w:t>
            </w:r>
          </w:p>
        </w:tc>
        <w:tc>
          <w:tcPr>
            <w:tcW w:w="3473"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主要系公司本期收入增长较快，尚未收到款 项所致。</w:t>
            </w:r>
          </w:p>
        </w:tc>
      </w:tr>
      <w:tr>
        <w:trPr>
          <w:trHeight w:val="391"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7"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473" w:type="dxa"/>
            <w:vMerge/>
            <w:tcBorders>
              <w:left w:val="single" w:sz="4" w:space="0" w:color="000000"/>
              <w:right w:val="single" w:sz="4" w:space="0" w:color="000000"/>
            </w:tcBorders>
          </w:tcPr>
          <w:p>
            <w:pP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473" w:type="dxa"/>
            <w:vMerge/>
            <w:tcBorders>
              <w:left w:val="single" w:sz="4" w:space="0" w:color="000000"/>
              <w:bottom w:val="single" w:sz="4" w:space="0" w:color="000000"/>
              <w:right w:val="single" w:sz="4" w:space="0" w:color="000000"/>
            </w:tcBorders>
          </w:tcPr>
          <w:p>
            <w:pPr/>
          </w:p>
        </w:tc>
      </w:tr>
      <w:tr>
        <w:trPr>
          <w:trHeight w:val="161"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33,186,538.52</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4.20%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41,968,558.76</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5.78%</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-1.58%</w:t>
            </w:r>
          </w:p>
        </w:tc>
        <w:tc>
          <w:tcPr>
            <w:tcW w:w="3473"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主要系公司本期系统集成项目验收确认收 入结转成本所致。</w:t>
            </w:r>
          </w:p>
        </w:tc>
      </w:tr>
      <w:tr>
        <w:trPr>
          <w:trHeight w:val="394"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7"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473" w:type="dxa"/>
            <w:vMerge/>
            <w:tcBorders>
              <w:left w:val="single" w:sz="4" w:space="0" w:color="000000"/>
              <w:right w:val="single" w:sz="4" w:space="0" w:color="000000"/>
            </w:tcBorders>
          </w:tcPr>
          <w:p>
            <w:pP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473" w:type="dxa"/>
            <w:vMerge/>
            <w:tcBorders>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1,322,731.05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0.17%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1,505,195.27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0.21%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12,868,828.23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1.63%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13,054,391.99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1.80%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17"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89,622,829.57</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11.35%</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92,026,015.52</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12.67%</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-1.32%</w:t>
            </w:r>
          </w:p>
        </w:tc>
        <w:tc>
          <w:tcPr>
            <w:tcW w:w="3473"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主要系本公司定制厂房本期收房实测面积 与签订合同时预估面积减少，退还定制厂房 款项及公共维修金所致。</w:t>
            </w:r>
          </w:p>
        </w:tc>
      </w:tr>
      <w:tr>
        <w:trPr>
          <w:trHeight w:val="391"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7"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473" w:type="dxa"/>
            <w:vMerge/>
            <w:tcBorders>
              <w:left w:val="single" w:sz="4" w:space="0" w:color="000000"/>
              <w:right w:val="single" w:sz="4" w:space="0" w:color="000000"/>
            </w:tcBorders>
          </w:tcPr>
          <w:p>
            <w:pPr/>
          </w:p>
        </w:tc>
      </w:tr>
      <w:tr>
        <w:trPr>
          <w:trHeight w:val="317"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473" w:type="dxa"/>
            <w:vMerge/>
            <w:tcBorders>
              <w:left w:val="single" w:sz="4" w:space="0" w:color="000000"/>
              <w:bottom w:val="single" w:sz="4" w:space="0" w:color="000000"/>
              <w:right w:val="single" w:sz="4" w:space="0" w:color="000000"/>
            </w:tcBorders>
          </w:tcPr>
          <w:p>
            <w:pP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7" w:type="dxa"/>
            <w:tcBorders>
              <w:top w:val="single" w:sz="4" w:space="0" w:color="000000"/>
              <w:left w:val="single" w:sz="12"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35,628,836.63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4.90%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主要系本期末偿还全部借款所致。</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3,375,000.00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0.43%</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主要系本期票据尚未承兑收款所致。</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8,259,938.18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13,723,971.68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1.89%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-0.84%</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主要系公司按合同约定与供应商结算完毕 所致。</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7,794,789.86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5,115,066.02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0.70%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0.29%</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主要系公司本期支付的保证金增加较多所 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6,247,725.48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0.79%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517,616.32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0.07%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主要系公司待认证进项税额增加所致。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9"/>
        <w:gridCol w:w="1277"/>
        <w:gridCol w:w="708"/>
        <w:gridCol w:w="1274"/>
        <w:gridCol w:w="711"/>
        <w:gridCol w:w="708"/>
        <w:gridCol w:w="3473"/>
      </w:tblGrid>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0.13%</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月参与出资设立新 晨航空科技（天津）有限公司投资所致。我 司出资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8,376,588.25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6,163,411.92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0.21%</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主要系公司资产减值损失及股权激励费用 增加所致。</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103,655,423.70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13.13%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54,575,090.98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5.62%</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主要系本年设备销售和系统集成类合同增 幅较大，相应应付设备款增加所致。</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7,367,252.73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34,044,344.95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主要系期初的部分合同达到收入确认条件， 在本期结转收入所致。</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31,442,724.51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3.98%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11,411,652.64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主要系收入增加相应税金增加所致。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 w:right="0"/>
              <w:jc w:val="center"/>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103,328.83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-0.01%</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主要系公司期末银行借款全部结清所致。</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25,485,551.81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3.23%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1,670,651.52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主要系公司实施股权激励，就回购限制性股 票所产生的负债增加所致。</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671,202.46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988,104.34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主要系面向灾备资源共享的容灾云关键技 术与系统项目逐年摊销所致。</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89"/>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日，本公司受限制的货币资金总额为</w:t>
      </w:r>
      <w:r>
        <w:rPr>
          <w:rFonts w:ascii="Times New Roman" w:hAnsi="Times New Roman" w:cs="Times New Roman" w:eastAsia="Times New Roman" w:hint="default"/>
        </w:rPr>
        <w:t>9,058,873.00</w:t>
      </w:r>
      <w:r>
        <w:rPr/>
        <w:t>元，为银行承兑汇票保证金及保函保证金。其中银行承 兑汇票保证金为</w:t>
      </w:r>
      <w:r>
        <w:rPr>
          <w:rFonts w:ascii="Times New Roman" w:hAnsi="Times New Roman" w:cs="Times New Roman" w:eastAsia="Times New Roman" w:hint="default"/>
        </w:rPr>
        <w:t>2,410,760.00  </w:t>
      </w:r>
      <w:r>
        <w:rPr/>
        <w:t>元，保函保证金为</w:t>
      </w:r>
      <w:r>
        <w:rPr>
          <w:spacing w:val="-42"/>
        </w:rPr>
        <w:t> </w:t>
      </w:r>
      <w:r>
        <w:rPr>
          <w:rFonts w:ascii="Times New Roman" w:hAnsi="Times New Roman" w:cs="Times New Roman" w:eastAsia="Times New Roman" w:hint="default"/>
        </w:rPr>
        <w:t>6,648,113.00</w:t>
      </w:r>
      <w:r>
        <w:rPr/>
        <w:t>元。</w:t>
      </w:r>
    </w:p>
    <w:p>
      <w:pPr>
        <w:spacing w:line="240" w:lineRule="auto" w:before="5"/>
        <w:rPr>
          <w:rFonts w:ascii="宋体" w:hAnsi="宋体" w:cs="宋体" w:eastAsia="宋体" w:hint="default"/>
          <w:sz w:val="20"/>
          <w:szCs w:val="20"/>
        </w:rPr>
      </w:pPr>
    </w:p>
    <w:p>
      <w:pPr>
        <w:pStyle w:val="Heading2"/>
        <w:spacing w:line="240" w:lineRule="auto"/>
        <w:ind w:right="15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r>
        <w:rPr/>
        <w:pict>
          <v:group style="position:absolute;margin-left:491.73999pt;margin-top:336.169983pt;width:43pt;height:90.4pt;mso-position-horizontal-relative:page;mso-position-vertical-relative:page;z-index:-833728" coordorigin="9835,6723" coordsize="860,1808">
            <v:group style="position:absolute;left:9847;top:6735;width:2;height:392" coordorigin="9847,6735" coordsize="2,392">
              <v:shape style="position:absolute;left:9847;top:6735;width:2;height:392" coordorigin="9847,6735" coordsize="0,392" path="m9847,6735l9847,7127e" filled="false" stroked="true" strokeweight="1.2pt" strokecolor="#ffffff">
                <v:path arrowok="t"/>
              </v:shape>
            </v:group>
            <v:group style="position:absolute;left:9835;top:7127;width:860;height:1404" coordorigin="9835,7127" coordsize="860,1404">
              <v:shape style="position:absolute;left:9835;top:7127;width:860;height:1404" coordorigin="9835,7127" coordsize="860,1404" path="m9835,8531l10694,8531,10694,7127,9835,7127,9835,8531xe" filled="true" fillcolor="#ffffff" stroked="false">
                <v:path arrowok="t"/>
                <v:fill type="solid"/>
              </v:shape>
            </v:group>
            <v:group style="position:absolute;left:9859;top:6735;width:812;height:392" coordorigin="9859,6735" coordsize="812,392">
              <v:shape style="position:absolute;left:9859;top:6735;width:812;height:392" coordorigin="9859,6735" coordsize="812,392" path="m9859,7127l10670,7127,10670,6735,9859,6735,9859,7127xe" filled="true" fillcolor="#ffffff" stroked="false">
                <v:path arrowok="t"/>
                <v:fill type="solid"/>
              </v:shape>
            </v:group>
            <w10:wrap type="none"/>
          </v:group>
        </w:pict>
      </w: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67"/>
        <w:gridCol w:w="569"/>
        <w:gridCol w:w="850"/>
        <w:gridCol w:w="850"/>
        <w:gridCol w:w="852"/>
        <w:gridCol w:w="991"/>
        <w:gridCol w:w="852"/>
        <w:gridCol w:w="850"/>
        <w:gridCol w:w="708"/>
        <w:gridCol w:w="1609"/>
        <w:gridCol w:w="869"/>
      </w:tblGrid>
      <w:tr>
        <w:trPr>
          <w:trHeight w:val="1338"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8" w:right="96"/>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8" w:right="98"/>
              <w:jc w:val="left"/>
              <w:rPr>
                <w:rFonts w:ascii="宋体" w:hAnsi="宋体" w:cs="宋体" w:eastAsia="宋体" w:hint="default"/>
                <w:sz w:val="18"/>
                <w:szCs w:val="18"/>
              </w:rPr>
            </w:pPr>
            <w:r>
              <w:rPr>
                <w:rFonts w:ascii="宋体" w:hAnsi="宋体" w:cs="宋体" w:eastAsia="宋体" w:hint="default"/>
                <w:sz w:val="18"/>
                <w:szCs w:val="18"/>
              </w:rPr>
              <w:t>募集 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9" w:right="59"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0" w:right="5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0" w:right="60"/>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0" w:right="38"/>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 w:right="60"/>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 w:right="59"/>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9" w:right="77"/>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47" w:right="77" w:hanging="269"/>
              <w:jc w:val="left"/>
              <w:rPr>
                <w:rFonts w:ascii="宋体" w:hAnsi="宋体" w:cs="宋体" w:eastAsia="宋体" w:hint="default"/>
                <w:sz w:val="18"/>
                <w:szCs w:val="18"/>
              </w:rPr>
            </w:pPr>
            <w:r>
              <w:rPr>
                <w:rFonts w:ascii="宋体" w:hAnsi="宋体" w:cs="宋体" w:eastAsia="宋体" w:hint="default"/>
                <w:sz w:val="18"/>
                <w:szCs w:val="18"/>
              </w:rPr>
              <w:t>尚未使用募集资金 用途及去向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20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公开 发行 股票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15,587.05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7,584.47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8,177.99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7,409.06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尚未使用的募集资 金存放于公司开立 </w:t>
            </w:r>
            <w:r>
              <w:rPr>
                <w:rFonts w:ascii="宋体" w:hAnsi="宋体" w:cs="宋体" w:eastAsia="宋体" w:hint="default"/>
                <w:spacing w:val="-8"/>
                <w:sz w:val="18"/>
                <w:szCs w:val="18"/>
              </w:rPr>
              <w:t>的募集资金专户，将</w:t>
            </w:r>
            <w:r>
              <w:rPr>
                <w:rFonts w:ascii="宋体" w:hAnsi="宋体" w:cs="宋体" w:eastAsia="宋体" w:hint="default"/>
                <w:sz w:val="18"/>
                <w:szCs w:val="18"/>
              </w:rPr>
              <w:t> 用于幕投项目后续 资金支付。截止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pStyle w:val="TableParagraph"/>
              <w:spacing w:line="307" w:lineRule="auto"/>
              <w:ind w:left="23" w:right="19"/>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 用于补充流动资金 </w:t>
            </w:r>
            <w:r>
              <w:rPr>
                <w:rFonts w:ascii="宋体" w:hAnsi="宋体" w:cs="宋体" w:eastAsia="宋体" w:hint="default"/>
                <w:spacing w:val="-10"/>
                <w:sz w:val="18"/>
                <w:szCs w:val="18"/>
              </w:rPr>
              <w:t>使用。</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日已归还。</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160" w:lineRule="exact"/>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18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15,587.05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7,584.47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8,177.99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36" w:right="0"/>
              <w:jc w:val="center"/>
              <w:rPr>
                <w:rFonts w:ascii="Times New Roman" w:hAnsi="Times New Roman" w:cs="Times New Roman" w:eastAsia="Times New Roman" w:hint="default"/>
                <w:sz w:val="18"/>
                <w:szCs w:val="18"/>
              </w:rPr>
            </w:pPr>
            <w:r>
              <w:rPr>
                <w:rFonts w:ascii="Times New Roman"/>
                <w:sz w:val="18"/>
              </w:rPr>
              <w:t>7,409.06</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564"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日证监许可</w:t>
            </w:r>
            <w:r>
              <w:rPr>
                <w:rFonts w:ascii="Times New Roman" w:hAnsi="Times New Roman" w:cs="Times New Roman" w:eastAsia="Times New Roman" w:hint="default"/>
                <w:sz w:val="18"/>
                <w:szCs w:val="18"/>
              </w:rPr>
              <w:t>[2016]1890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号文《关于核准新晨科技股份有限公司首次公开发</w:t>
            </w:r>
          </w:p>
          <w:p>
            <w:pPr>
              <w:pStyle w:val="TableParagraph"/>
              <w:spacing w:line="240" w:lineRule="auto" w:before="60"/>
              <w:ind w:left="24" w:right="0"/>
              <w:jc w:val="both"/>
              <w:rPr>
                <w:rFonts w:ascii="宋体" w:hAnsi="宋体" w:cs="宋体" w:eastAsia="宋体" w:hint="default"/>
                <w:sz w:val="18"/>
                <w:szCs w:val="18"/>
              </w:rPr>
            </w:pPr>
            <w:r>
              <w:rPr>
                <w:rFonts w:ascii="宋体" w:hAnsi="宋体" w:cs="宋体" w:eastAsia="宋体" w:hint="default"/>
                <w:sz w:val="18"/>
                <w:szCs w:val="18"/>
              </w:rPr>
              <w:t>行股票的批复》的核准，并经深圳证券交易所同意，</w:t>
            </w:r>
            <w:r>
              <w:rPr>
                <w:rFonts w:ascii="宋体" w:hAnsi="宋体" w:cs="宋体" w:eastAsia="宋体" w:hint="default"/>
                <w:spacing w:val="-16"/>
                <w:sz w:val="18"/>
                <w:szCs w:val="18"/>
              </w:rPr>
              <w:t> </w:t>
            </w:r>
            <w:r>
              <w:rPr>
                <w:rFonts w:ascii="宋体" w:hAnsi="宋体" w:cs="宋体" w:eastAsia="宋体" w:hint="default"/>
                <w:sz w:val="18"/>
                <w:szCs w:val="18"/>
              </w:rPr>
              <w:t>公司由主承销商安信证券股份有限公司于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日向社会公</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股）股票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万股，每股面值</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元，每股发行价人民币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日止，公司</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共募集资金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89"/>
                <w:sz w:val="18"/>
                <w:szCs w:val="18"/>
              </w:rPr>
              <w:t>元</w:t>
            </w:r>
            <w:r>
              <w:rPr>
                <w:rFonts w:ascii="宋体" w:hAnsi="宋体" w:cs="宋体" w:eastAsia="宋体" w:hint="default"/>
                <w:sz w:val="18"/>
                <w:szCs w:val="18"/>
              </w:rPr>
              <w:t>（大写</w:t>
            </w:r>
            <w:r>
              <w:rPr>
                <w:rFonts w:ascii="宋体" w:hAnsi="宋体" w:cs="宋体" w:eastAsia="宋体" w:hint="default"/>
                <w:spacing w:val="-89"/>
                <w:sz w:val="18"/>
                <w:szCs w:val="18"/>
              </w:rPr>
              <w:t>：</w:t>
            </w:r>
            <w:r>
              <w:rPr>
                <w:rFonts w:ascii="宋体" w:hAnsi="宋体" w:cs="宋体" w:eastAsia="宋体" w:hint="default"/>
                <w:sz w:val="18"/>
                <w:szCs w:val="18"/>
              </w:rPr>
              <w:t>壹亿捌仟伍佰壹拾叁万</w:t>
            </w:r>
            <w:r>
              <w:rPr>
                <w:rFonts w:ascii="宋体" w:hAnsi="宋体" w:cs="宋体" w:eastAsia="宋体" w:hint="default"/>
                <w:spacing w:val="2"/>
                <w:sz w:val="18"/>
                <w:szCs w:val="18"/>
              </w:rPr>
              <w:t>伍</w:t>
            </w:r>
            <w:r>
              <w:rPr>
                <w:rFonts w:ascii="宋体" w:hAnsi="宋体" w:cs="宋体" w:eastAsia="宋体" w:hint="default"/>
                <w:sz w:val="18"/>
                <w:szCs w:val="18"/>
              </w:rPr>
              <w:t>仟伍佰元整</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扣除发行费</w:t>
            </w:r>
            <w:r>
              <w:rPr>
                <w:rFonts w:ascii="宋体" w:hAnsi="宋体" w:cs="宋体" w:eastAsia="宋体" w:hint="default"/>
                <w:spacing w:val="-87"/>
                <w:sz w:val="18"/>
                <w:szCs w:val="18"/>
              </w:rPr>
              <w:t>用</w:t>
            </w:r>
            <w:r>
              <w:rPr>
                <w:rFonts w:ascii="宋体" w:hAnsi="宋体" w:cs="宋体" w:eastAsia="宋体" w:hint="default"/>
                <w:sz w:val="18"/>
                <w:szCs w:val="18"/>
              </w:rPr>
              <w:t>（</w:t>
            </w:r>
            <w:r>
              <w:rPr>
                <w:rFonts w:ascii="宋体" w:hAnsi="宋体" w:cs="宋体" w:eastAsia="宋体" w:hint="default"/>
                <w:spacing w:val="2"/>
                <w:sz w:val="18"/>
                <w:szCs w:val="18"/>
              </w:rPr>
              <w:t>含</w:t>
            </w:r>
            <w:r>
              <w:rPr>
                <w:rFonts w:ascii="宋体" w:hAnsi="宋体" w:cs="宋体" w:eastAsia="宋体" w:hint="default"/>
                <w:sz w:val="18"/>
                <w:szCs w:val="18"/>
              </w:rPr>
              <w:t>增值税</w:t>
            </w:r>
            <w:r>
              <w:rPr>
                <w:rFonts w:ascii="宋体" w:hAnsi="宋体" w:cs="宋体" w:eastAsia="宋体" w:hint="default"/>
                <w:spacing w:val="-89"/>
                <w:sz w:val="18"/>
                <w:szCs w:val="18"/>
              </w:rPr>
              <w:t>）</w:t>
            </w:r>
            <w:r>
              <w:rPr>
                <w:rFonts w:ascii="宋体" w:hAnsi="宋体" w:cs="宋体" w:eastAsia="宋体" w:hint="default"/>
                <w:sz w:val="18"/>
                <w:szCs w:val="18"/>
              </w:rPr>
              <w:t>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300" w:lineRule="auto" w:before="63"/>
              <w:ind w:left="24" w:right="19"/>
              <w:jc w:val="both"/>
              <w:rPr>
                <w:rFonts w:ascii="宋体" w:hAnsi="宋体" w:cs="宋体" w:eastAsia="宋体" w:hint="default"/>
                <w:sz w:val="18"/>
                <w:szCs w:val="18"/>
              </w:rPr>
            </w:pPr>
            <w:r>
              <w:rPr>
                <w:rFonts w:ascii="宋体" w:hAnsi="宋体" w:cs="宋体" w:eastAsia="宋体" w:hint="default"/>
                <w:spacing w:val="-5"/>
                <w:sz w:val="18"/>
                <w:szCs w:val="18"/>
              </w:rPr>
              <w:t>元（大写：贰仟玖佰贰拾陆万伍仟元整），募集资金净额为人民币</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155,870,500.00</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元（大写：壹亿伍仟伍佰捌拾柒万零伍佰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元整）。上述发行募集的资金已全部到位，业经大华会计师事务所（特殊普通合伙）出具的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大华验字</w:t>
            </w:r>
            <w:r>
              <w:rPr>
                <w:rFonts w:ascii="Times New Roman" w:hAnsi="Times New Roman" w:cs="Times New Roman" w:eastAsia="Times New Roman" w:hint="default"/>
                <w:spacing w:val="-4"/>
                <w:sz w:val="18"/>
                <w:szCs w:val="18"/>
              </w:rPr>
              <w:t>[2016]000900</w:t>
            </w:r>
            <w:r>
              <w:rPr>
                <w:rFonts w:ascii="Times New Roman" w:hAnsi="Times New Roman" w:cs="Times New Roman" w:eastAsia="Times New Roman" w:hint="default"/>
                <w:spacing w:val="34"/>
                <w:sz w:val="18"/>
                <w:szCs w:val="18"/>
              </w:rPr>
              <w:t> </w:t>
            </w:r>
            <w:r>
              <w:rPr>
                <w:rFonts w:ascii="宋体" w:hAnsi="宋体" w:cs="宋体" w:eastAsia="宋体" w:hint="default"/>
                <w:spacing w:val="-1"/>
                <w:w w:val="100"/>
                <w:sz w:val="18"/>
                <w:szCs w:val="18"/>
              </w:rPr>
              <w:t>号</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验资</w:t>
            </w:r>
            <w:r>
              <w:rPr>
                <w:rFonts w:ascii="宋体" w:hAnsi="宋体" w:cs="宋体" w:eastAsia="宋体" w:hint="default"/>
                <w:spacing w:val="-76"/>
                <w:w w:val="100"/>
                <w:sz w:val="18"/>
                <w:szCs w:val="18"/>
              </w:rPr>
              <w:t> </w:t>
            </w:r>
            <w:r>
              <w:rPr>
                <w:rFonts w:ascii="宋体" w:hAnsi="宋体" w:cs="宋体" w:eastAsia="宋体" w:hint="default"/>
                <w:sz w:val="18"/>
                <w:szCs w:val="18"/>
              </w:rPr>
              <w:t>报告验证确认。</w:t>
            </w:r>
          </w:p>
          <w:p>
            <w:pPr>
              <w:pStyle w:val="TableParagraph"/>
              <w:spacing w:line="240" w:lineRule="auto" w:before="72"/>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年底公司实际使用募集资金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5,935,124.14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年度公司实际使用募集资金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75,844,735.77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年底公司累计实际使用募集资金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81,779,859.91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元。募集资金专用账户累计收到利息收入（扣除银行手续费）</w:t>
            </w:r>
            <w:r>
              <w:rPr>
                <w:rFonts w:ascii="Times New Roman" w:hAnsi="Times New Roman" w:cs="Times New Roman" w:eastAsia="Times New Roman" w:hint="default"/>
                <w:sz w:val="18"/>
                <w:szCs w:val="18"/>
              </w:rPr>
              <w:t>1,821,533.24</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pacing w:val="-14"/>
                <w:sz w:val="18"/>
                <w:szCs w:val="18"/>
              </w:rPr>
              <w:t>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7"/>
                <w:sz w:val="18"/>
                <w:szCs w:val="18"/>
              </w:rPr>
              <w:t>日，募集资金余额为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75,912,173.33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元（其中利用闲置募集资金暂时性补充流动资金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45,000,000.00</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，募集资金专户剩余金额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元（包含累计收</w:t>
            </w:r>
            <w:r>
              <w:rPr>
                <w:rFonts w:ascii="宋体" w:hAnsi="宋体" w:cs="宋体" w:eastAsia="宋体" w:hint="default"/>
                <w:spacing w:val="-3"/>
                <w:sz w:val="18"/>
                <w:szCs w:val="18"/>
              </w:rPr>
              <w:t>到</w:t>
            </w:r>
            <w:r>
              <w:rPr>
                <w:rFonts w:ascii="宋体" w:hAnsi="宋体" w:cs="宋体" w:eastAsia="宋体" w:hint="default"/>
                <w:sz w:val="18"/>
                <w:szCs w:val="18"/>
              </w:rPr>
              <w:t>的银行存款存息扣除银行手续费等的净额</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1"/>
        <w:gridCol w:w="781"/>
        <w:gridCol w:w="779"/>
        <w:gridCol w:w="780"/>
        <w:gridCol w:w="780"/>
        <w:gridCol w:w="780"/>
        <w:gridCol w:w="781"/>
        <w:gridCol w:w="780"/>
        <w:gridCol w:w="768"/>
      </w:tblGrid>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0"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15" w:right="23" w:hanging="92"/>
              <w:jc w:val="left"/>
              <w:rPr>
                <w:rFonts w:ascii="宋体" w:hAnsi="宋体" w:cs="宋体" w:eastAsia="宋体" w:hint="default"/>
                <w:sz w:val="18"/>
                <w:szCs w:val="18"/>
              </w:rPr>
            </w:pPr>
            <w:r>
              <w:rPr>
                <w:rFonts w:ascii="宋体" w:hAnsi="宋体" w:cs="宋体" w:eastAsia="宋体" w:hint="default"/>
                <w:sz w:val="18"/>
                <w:szCs w:val="18"/>
              </w:rPr>
              <w:t>是否已变 更项目</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6" w:right="22"/>
              <w:jc w:val="left"/>
              <w:rPr>
                <w:rFonts w:ascii="宋体" w:hAnsi="宋体" w:cs="宋体" w:eastAsia="宋体" w:hint="default"/>
                <w:sz w:val="18"/>
                <w:szCs w:val="18"/>
              </w:rPr>
            </w:pPr>
            <w:r>
              <w:rPr>
                <w:rFonts w:ascii="宋体" w:hAnsi="宋体" w:cs="宋体" w:eastAsia="宋体" w:hint="default"/>
                <w:sz w:val="18"/>
                <w:szCs w:val="18"/>
              </w:rPr>
              <w:t>募集资金 承诺投资</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15" w:right="23" w:hanging="89"/>
              <w:jc w:val="left"/>
              <w:rPr>
                <w:rFonts w:ascii="宋体" w:hAnsi="宋体" w:cs="宋体" w:eastAsia="宋体" w:hint="default"/>
                <w:sz w:val="18"/>
                <w:szCs w:val="18"/>
              </w:rPr>
            </w:pPr>
            <w:r>
              <w:rPr>
                <w:rFonts w:ascii="宋体" w:hAnsi="宋体" w:cs="宋体" w:eastAsia="宋体" w:hint="default"/>
                <w:sz w:val="18"/>
                <w:szCs w:val="18"/>
              </w:rPr>
              <w:t>调整后投 资总额</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6" w:right="22"/>
              <w:jc w:val="left"/>
              <w:rPr>
                <w:rFonts w:ascii="宋体" w:hAnsi="宋体" w:cs="宋体" w:eastAsia="宋体" w:hint="default"/>
                <w:sz w:val="18"/>
                <w:szCs w:val="18"/>
              </w:rPr>
            </w:pPr>
            <w:r>
              <w:rPr>
                <w:rFonts w:ascii="宋体" w:hAnsi="宋体" w:cs="宋体" w:eastAsia="宋体" w:hint="default"/>
                <w:sz w:val="18"/>
                <w:szCs w:val="18"/>
              </w:rPr>
              <w:t>截至期末 累计投入</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6" w:right="22"/>
              <w:jc w:val="left"/>
              <w:rPr>
                <w:rFonts w:ascii="宋体" w:hAnsi="宋体" w:cs="宋体" w:eastAsia="宋体" w:hint="default"/>
                <w:sz w:val="18"/>
                <w:szCs w:val="18"/>
              </w:rPr>
            </w:pPr>
            <w:r>
              <w:rPr>
                <w:rFonts w:ascii="宋体" w:hAnsi="宋体" w:cs="宋体" w:eastAsia="宋体" w:hint="default"/>
                <w:sz w:val="18"/>
                <w:szCs w:val="18"/>
              </w:rPr>
              <w:t>截至期末 投资进度</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6" w:right="22"/>
              <w:jc w:val="left"/>
              <w:rPr>
                <w:rFonts w:ascii="宋体" w:hAnsi="宋体" w:cs="宋体" w:eastAsia="宋体" w:hint="default"/>
                <w:sz w:val="18"/>
                <w:szCs w:val="18"/>
              </w:rPr>
            </w:pPr>
            <w:r>
              <w:rPr>
                <w:rFonts w:ascii="宋体" w:hAnsi="宋体" w:cs="宋体" w:eastAsia="宋体" w:hint="default"/>
                <w:sz w:val="18"/>
                <w:szCs w:val="18"/>
              </w:rPr>
              <w:t>项目达到 预定可使</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6" w:right="22"/>
              <w:jc w:val="left"/>
              <w:rPr>
                <w:rFonts w:ascii="宋体" w:hAnsi="宋体" w:cs="宋体" w:eastAsia="宋体" w:hint="default"/>
                <w:sz w:val="18"/>
                <w:szCs w:val="18"/>
              </w:rPr>
            </w:pPr>
            <w:r>
              <w:rPr>
                <w:rFonts w:ascii="宋体" w:hAnsi="宋体" w:cs="宋体" w:eastAsia="宋体" w:hint="default"/>
                <w:sz w:val="18"/>
                <w:szCs w:val="18"/>
              </w:rPr>
              <w:t>本报告期 实现的效</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6" w:right="11"/>
              <w:jc w:val="left"/>
              <w:rPr>
                <w:rFonts w:ascii="宋体" w:hAnsi="宋体" w:cs="宋体" w:eastAsia="宋体" w:hint="default"/>
                <w:sz w:val="18"/>
                <w:szCs w:val="18"/>
              </w:rPr>
            </w:pPr>
            <w:r>
              <w:rPr>
                <w:rFonts w:ascii="宋体" w:hAnsi="宋体" w:cs="宋体" w:eastAsia="宋体" w:hint="default"/>
                <w:sz w:val="18"/>
                <w:szCs w:val="18"/>
              </w:rPr>
              <w:t>项目可行 性是否发</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97.4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4"/>
                    <w:gridCol w:w="784"/>
                    <w:gridCol w:w="780"/>
                    <w:gridCol w:w="780"/>
                    <w:gridCol w:w="780"/>
                    <w:gridCol w:w="784"/>
                    <w:gridCol w:w="772"/>
                    <w:gridCol w:w="789"/>
                    <w:gridCol w:w="776"/>
                    <w:gridCol w:w="780"/>
                  </w:tblGrid>
                  <w:tr>
                    <w:trPr>
                      <w:trHeight w:val="67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75" w:right="78" w:hanging="9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r>
                          <w:rPr>
                            <w:rFonts w:ascii="宋体" w:hAnsi="宋体" w:cs="宋体" w:eastAsia="宋体" w:hint="default"/>
                            <w:w w:val="99"/>
                            <w:sz w:val="18"/>
                            <w:szCs w:val="18"/>
                          </w:rPr>
                          <w:t> </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0"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0" w:lineRule="auto" w:before="8"/>
                          <w:ind w:left="151" w:right="148" w:firstLine="4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(2)/(1)</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91" w:right="19" w:hanging="269"/>
                          <w:jc w:val="left"/>
                          <w:rPr>
                            <w:rFonts w:ascii="宋体" w:hAnsi="宋体" w:cs="宋体" w:eastAsia="宋体" w:hint="default"/>
                            <w:sz w:val="18"/>
                            <w:szCs w:val="18"/>
                          </w:rPr>
                        </w:pPr>
                        <w:r>
                          <w:rPr>
                            <w:rFonts w:ascii="宋体" w:hAnsi="宋体" w:cs="宋体" w:eastAsia="宋体" w:hint="default"/>
                            <w:sz w:val="18"/>
                            <w:szCs w:val="18"/>
                          </w:rPr>
                          <w:t>用状态日 期</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99" w:right="0"/>
                          <w:jc w:val="left"/>
                          <w:rPr>
                            <w:rFonts w:ascii="宋体" w:hAnsi="宋体" w:cs="宋体" w:eastAsia="宋体" w:hint="default"/>
                            <w:sz w:val="18"/>
                            <w:szCs w:val="18"/>
                          </w:rPr>
                        </w:pPr>
                        <w:r>
                          <w:rPr>
                            <w:rFonts w:ascii="宋体" w:hAnsi="宋体" w:cs="宋体" w:eastAsia="宋体" w:hint="default"/>
                            <w:sz w:val="18"/>
                            <w:szCs w:val="18"/>
                          </w:rPr>
                          <w:t>益</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95" w:right="23" w:hanging="269"/>
                          <w:jc w:val="left"/>
                          <w:rPr>
                            <w:rFonts w:ascii="宋体" w:hAnsi="宋体" w:cs="宋体" w:eastAsia="宋体" w:hint="default"/>
                            <w:sz w:val="18"/>
                            <w:szCs w:val="18"/>
                          </w:rPr>
                        </w:pPr>
                        <w:r>
                          <w:rPr>
                            <w:rFonts w:ascii="宋体" w:hAnsi="宋体" w:cs="宋体" w:eastAsia="宋体" w:hint="default"/>
                            <w:sz w:val="18"/>
                            <w:szCs w:val="18"/>
                          </w:rPr>
                          <w:t>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国家空管数据信息服 务体系研发项目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4,461.05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4,461.05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1,960.86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2,038.74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渠道整合平台研发项 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1,696.68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1,969.15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56.39%</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235.01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新一代贸易融资结算 系统研发项目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2,330.79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2,393.36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54.42%</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122.27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新一代交换平台研发 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1,596.14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1,776.74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54.91%</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367.01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8"/>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15,587.05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15,587.05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7,584.47</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8,177.99</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724.29</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0.00%</w:t>
                        </w:r>
                      </w:p>
                    </w:tc>
                    <w:tc>
                      <w:tcPr>
                        <w:tcW w:w="772"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49"/>
                          <w:ind w:left="-128" w:right="3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4"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13" w:space="0" w:color="D2D2D2"/>
                        </w:tcBorders>
                      </w:tcPr>
                      <w:p>
                        <w:pP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8"/>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9" w:type="dxa"/>
                        <w:tcBorders>
                          <w:top w:val="single" w:sz="4" w:space="0" w:color="000000"/>
                          <w:left w:val="single" w:sz="13" w:space="0" w:color="D2D2D2"/>
                          <w:bottom w:val="single" w:sz="4" w:space="0" w:color="000000"/>
                          <w:right w:val="single" w:sz="10" w:space="0" w:color="D2D2D2"/>
                        </w:tcBorders>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8"/>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15,587.05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15,587.05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7,584.47</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8,177.99</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724.29</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16" w:right="382"/>
                          <w:jc w:val="left"/>
                          <w:rPr>
                            <w:rFonts w:ascii="宋体" w:hAnsi="宋体" w:cs="宋体" w:eastAsia="宋体" w:hint="default"/>
                            <w:sz w:val="18"/>
                            <w:szCs w:val="18"/>
                          </w:rPr>
                        </w:pPr>
                        <w:r>
                          <w:rPr>
                            <w:rFonts w:ascii="宋体" w:hAnsi="宋体" w:cs="宋体" w:eastAsia="宋体" w:hint="default"/>
                            <w:sz w:val="18"/>
                            <w:szCs w:val="18"/>
                          </w:rPr>
                          <w:t>国家空管数据信息服务体系研发项目由于军队体制改革等原因，项目投资实施进度未达预期。 新一代贸易融资结算系统研发项目由于当期研发集中投入较多导致该项目效益不及预期。</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252"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250"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43"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公司募集资金项目中“国家空管数据信息服务体系研发项目”已由公司利用自筹资金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1,465.90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z w:val="18"/>
                            <w:szCs w:val="18"/>
                          </w:rPr>
                          <w:t>先行投入</w:t>
                        </w:r>
                        <w:r>
                          <w:rPr>
                            <w:rFonts w:ascii="宋体" w:hAnsi="宋体" w:cs="宋体" w:eastAsia="宋体" w:hint="default"/>
                            <w:spacing w:val="-92"/>
                            <w:sz w:val="18"/>
                            <w:szCs w:val="18"/>
                          </w:rPr>
                          <w:t>；</w:t>
                        </w:r>
                        <w:r>
                          <w:rPr>
                            <w:rFonts w:ascii="宋体" w:hAnsi="宋体" w:cs="宋体" w:eastAsia="宋体" w:hint="default"/>
                            <w:sz w:val="18"/>
                            <w:szCs w:val="18"/>
                          </w:rPr>
                          <w:t>“渠道整合平台研</w:t>
                        </w:r>
                        <w:r>
                          <w:rPr>
                            <w:rFonts w:ascii="宋体" w:hAnsi="宋体" w:cs="宋体" w:eastAsia="宋体" w:hint="default"/>
                            <w:spacing w:val="2"/>
                            <w:sz w:val="18"/>
                            <w:szCs w:val="18"/>
                          </w:rPr>
                          <w:t>发</w:t>
                        </w:r>
                        <w:r>
                          <w:rPr>
                            <w:rFonts w:ascii="宋体" w:hAnsi="宋体" w:cs="宋体" w:eastAsia="宋体" w:hint="default"/>
                            <w:sz w:val="18"/>
                            <w:szCs w:val="18"/>
                          </w:rPr>
                          <w:t>项目”已由公司利用自筹</w:t>
                        </w:r>
                        <w:r>
                          <w:rPr>
                            <w:rFonts w:ascii="宋体" w:hAnsi="宋体" w:cs="宋体" w:eastAsia="宋体" w:hint="default"/>
                            <w:spacing w:val="1"/>
                            <w:sz w:val="18"/>
                            <w:szCs w:val="18"/>
                          </w:rPr>
                          <w:t>资</w:t>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万元先行投入</w:t>
                        </w:r>
                        <w:r>
                          <w:rPr>
                            <w:rFonts w:ascii="宋体" w:hAnsi="宋体" w:cs="宋体" w:eastAsia="宋体" w:hint="default"/>
                            <w:spacing w:val="-92"/>
                            <w:sz w:val="18"/>
                            <w:szCs w:val="18"/>
                          </w:rPr>
                          <w:t>；</w:t>
                        </w:r>
                        <w:r>
                          <w:rPr>
                            <w:rFonts w:ascii="宋体" w:hAnsi="宋体" w:cs="宋体" w:eastAsia="宋体" w:hint="default"/>
                            <w:sz w:val="18"/>
                            <w:szCs w:val="18"/>
                          </w:rPr>
                          <w:t>“新一代贸易</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融资结算系统研发项目</w:t>
                        </w:r>
                        <w:r>
                          <w:rPr>
                            <w:rFonts w:ascii="宋体" w:hAnsi="宋体" w:cs="宋体" w:eastAsia="宋体" w:hint="default"/>
                            <w:spacing w:val="-89"/>
                            <w:sz w:val="18"/>
                            <w:szCs w:val="18"/>
                          </w:rPr>
                          <w:t>”</w:t>
                        </w:r>
                        <w:r>
                          <w:rPr>
                            <w:rFonts w:ascii="宋体" w:hAnsi="宋体" w:cs="宋体" w:eastAsia="宋体" w:hint="default"/>
                            <w:sz w:val="18"/>
                            <w:szCs w:val="18"/>
                          </w:rPr>
                          <w:t>已由公司利用自筹资金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先行投入</w:t>
                        </w:r>
                        <w:r>
                          <w:rPr>
                            <w:rFonts w:ascii="宋体" w:hAnsi="宋体" w:cs="宋体" w:eastAsia="宋体" w:hint="default"/>
                            <w:spacing w:val="-180"/>
                            <w:sz w:val="18"/>
                            <w:szCs w:val="18"/>
                          </w:rPr>
                          <w:t>；</w:t>
                        </w:r>
                        <w:r>
                          <w:rPr>
                            <w:rFonts w:ascii="宋体" w:hAnsi="宋体" w:cs="宋体" w:eastAsia="宋体" w:hint="default"/>
                            <w:sz w:val="18"/>
                            <w:szCs w:val="18"/>
                          </w:rPr>
                          <w:t>“新一代交换平台研发项目</w:t>
                        </w:r>
                      </w:p>
                    </w:tc>
                  </w:tr>
                  <w:tr>
                    <w:trPr>
                      <w:trHeight w:val="343"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44"/>
        <w:ind w:left="0" w:right="158"/>
        <w:jc w:val="right"/>
      </w:pPr>
      <w:r>
        <w:rPr/>
        <w:t>”</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98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已由公司利用自筹资金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1,333.00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万元先行投入。经第八届董事会第二十三次会议、第八届监事会第</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十一次会议审议通过，公司已于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日将预先投入募投项目的自筹资金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5,480.85 </w:t>
            </w:r>
            <w:r>
              <w:rPr>
                <w:rFonts w:ascii="宋体" w:hAnsi="宋体" w:cs="宋体" w:eastAsia="宋体" w:hint="default"/>
                <w:sz w:val="18"/>
                <w:szCs w:val="18"/>
              </w:rPr>
              <w:t>万元从 募集资金专户中转出。</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7"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根据第八届董事会第二十三次会议、第八届监事会第十一次会议审议通过的《关于使用部分闲置募 </w:t>
            </w:r>
            <w:r>
              <w:rPr>
                <w:rFonts w:ascii="宋体" w:hAnsi="宋体" w:cs="宋体" w:eastAsia="宋体" w:hint="default"/>
                <w:spacing w:val="-6"/>
                <w:sz w:val="18"/>
                <w:szCs w:val="18"/>
              </w:rPr>
              <w:t>集资金暂时补充流动资金的议案》，截止</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日，用闲置募投资金暂时补充流动资金</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日，尚未使用的募集资金中有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万元用于暂时补充流动资金，其他尚未使 用的募集资金存放于公司开立的募集资金专户，将用于募投项目后续资金支付。</w:t>
            </w: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566"/>
        <w:gridCol w:w="1417"/>
        <w:gridCol w:w="1277"/>
        <w:gridCol w:w="1133"/>
        <w:gridCol w:w="1135"/>
        <w:gridCol w:w="1097"/>
        <w:gridCol w:w="1045"/>
        <w:gridCol w:w="1046"/>
      </w:tblGrid>
      <w:tr>
        <w:trPr>
          <w:trHeight w:val="71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北京新晨 科技发展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22"/>
              <w:jc w:val="both"/>
              <w:rPr>
                <w:rFonts w:ascii="宋体" w:hAnsi="宋体" w:cs="宋体" w:eastAsia="宋体" w:hint="default"/>
                <w:sz w:val="18"/>
                <w:szCs w:val="18"/>
              </w:rPr>
            </w:pPr>
            <w:r>
              <w:rPr>
                <w:rFonts w:ascii="宋体" w:hAnsi="宋体" w:cs="宋体" w:eastAsia="宋体" w:hint="default"/>
                <w:sz w:val="18"/>
                <w:szCs w:val="18"/>
              </w:rPr>
              <w:t>基于新晨交换平 台面向重点行业 提供信息化解决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30,000,000.00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24,605,566.23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23,565,098.89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32,140,888.53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153,101.62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45,383.27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2"/>
        <w:gridCol w:w="566"/>
        <w:gridCol w:w="1417"/>
        <w:gridCol w:w="1277"/>
        <w:gridCol w:w="1133"/>
        <w:gridCol w:w="1135"/>
        <w:gridCol w:w="1097"/>
        <w:gridCol w:w="1045"/>
        <w:gridCol w:w="1046"/>
      </w:tblGrid>
      <w:tr>
        <w:trPr>
          <w:trHeight w:val="362"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方案和服务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江苏新晨 信息科技 发展有限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both"/>
              <w:rPr>
                <w:rFonts w:ascii="宋体" w:hAnsi="宋体" w:cs="宋体" w:eastAsia="宋体" w:hint="default"/>
                <w:sz w:val="18"/>
                <w:szCs w:val="18"/>
              </w:rPr>
            </w:pPr>
            <w:r>
              <w:rPr>
                <w:rFonts w:ascii="宋体" w:hAnsi="宋体" w:cs="宋体" w:eastAsia="宋体" w:hint="default"/>
                <w:sz w:val="18"/>
                <w:szCs w:val="18"/>
              </w:rPr>
              <w:t>基于新晨交换平 台面向重点行业 提供信息化解决 方案和服务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49,359,374.53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43,762,340.76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46,774,445.01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3,214,072.47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2,219,252.64</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上海新晨 信息集成 系统有限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both"/>
              <w:rPr>
                <w:rFonts w:ascii="宋体" w:hAnsi="宋体" w:cs="宋体" w:eastAsia="宋体" w:hint="default"/>
                <w:sz w:val="18"/>
                <w:szCs w:val="18"/>
              </w:rPr>
            </w:pPr>
            <w:r>
              <w:rPr>
                <w:rFonts w:ascii="宋体" w:hAnsi="宋体" w:cs="宋体" w:eastAsia="宋体" w:hint="default"/>
                <w:sz w:val="18"/>
                <w:szCs w:val="18"/>
              </w:rPr>
              <w:t>基于新晨交换平 台面向重点行业 提供信息化解决 方案和服务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28,085,942.86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23,729,323.79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52,260,969.08</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2,358,899.27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2,238,269.46</w:t>
            </w: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武汉新晨 信息产业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2"/>
              <w:jc w:val="both"/>
              <w:rPr>
                <w:rFonts w:ascii="宋体" w:hAnsi="宋体" w:cs="宋体" w:eastAsia="宋体" w:hint="default"/>
                <w:sz w:val="18"/>
                <w:szCs w:val="18"/>
              </w:rPr>
            </w:pPr>
            <w:r>
              <w:rPr>
                <w:rFonts w:ascii="宋体" w:hAnsi="宋体" w:cs="宋体" w:eastAsia="宋体" w:hint="default"/>
                <w:sz w:val="18"/>
                <w:szCs w:val="18"/>
              </w:rPr>
              <w:t>基于新晨交换平 台面向重点行业 提供信息化解决 方案和服务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8,149,899.29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5,118,597.38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20,002,035.88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729,105.29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669,581.18</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广州新晨 信息系统 工程有限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both"/>
              <w:rPr>
                <w:rFonts w:ascii="宋体" w:hAnsi="宋体" w:cs="宋体" w:eastAsia="宋体" w:hint="default"/>
                <w:sz w:val="18"/>
                <w:szCs w:val="18"/>
              </w:rPr>
            </w:pPr>
            <w:r>
              <w:rPr>
                <w:rFonts w:ascii="宋体" w:hAnsi="宋体" w:cs="宋体" w:eastAsia="宋体" w:hint="default"/>
                <w:sz w:val="18"/>
                <w:szCs w:val="18"/>
              </w:rPr>
              <w:t>基于新晨交换平 台面向重点行业 提供信息化解决 方案和服务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5,034,162.31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-143,361.85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9,526,762.32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177,610.94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177,610.94</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上海点逸 网络科技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移动互联网应用 软件开发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9,186,849.64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8,595,908.07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2,445,053.66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138,864.39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138,864.39</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江苏点逸 网络科技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移动互联网应用 软件开发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600,386.71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-1,180,292.19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865,517.44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-124,783.08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-124,783.08</w:t>
            </w:r>
          </w:p>
        </w:tc>
      </w:tr>
    </w:tbl>
    <w:p>
      <w:pPr>
        <w:pStyle w:val="BodyText"/>
        <w:spacing w:line="240" w:lineRule="auto" w:before="49"/>
        <w:ind w:right="0"/>
        <w:jc w:val="both"/>
      </w:pPr>
      <w:r>
        <w:rPr/>
        <w:t>报告期内取得和处置子公司的情况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53"/>
        <w:jc w:val="left"/>
      </w:pPr>
      <w:r>
        <w:rPr/>
        <w:t>（一）行业发展趋势 </w:t>
      </w:r>
      <w:r>
        <w:rPr>
          <w:spacing w:val="-2"/>
        </w:rPr>
        <w:t>国家工信部《软件和信息技术服务业发展规划（</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2020</w:t>
      </w:r>
      <w:r>
        <w:rPr>
          <w:spacing w:val="-2"/>
        </w:rPr>
        <w:t>年）》提出：将</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期间软件和信息技术服务产业年均</w:t>
      </w:r>
    </w:p>
    <w:p>
      <w:pPr>
        <w:pStyle w:val="BodyText"/>
        <w:spacing w:line="307" w:lineRule="auto"/>
        <w:ind w:right="149"/>
        <w:jc w:val="both"/>
      </w:pPr>
      <w:r>
        <w:rPr>
          <w:spacing w:val="-2"/>
        </w:rPr>
        <w:t>增速定为</w:t>
      </w:r>
      <w:r>
        <w:rPr>
          <w:rFonts w:ascii="Times New Roman" w:hAnsi="Times New Roman" w:cs="Times New Roman" w:eastAsia="Times New Roman" w:hint="default"/>
          <w:spacing w:val="-2"/>
        </w:rPr>
        <w:t>13%</w:t>
      </w:r>
      <w:r>
        <w:rPr>
          <w:spacing w:val="-2"/>
        </w:rPr>
        <w:t>以上。而在</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实际建设期，</w:t>
      </w:r>
      <w:r>
        <w:rPr>
          <w:rFonts w:ascii="Times New Roman" w:hAnsi="Times New Roman" w:cs="Times New Roman" w:eastAsia="Times New Roman" w:hint="default"/>
          <w:spacing w:val="-2"/>
        </w:rPr>
        <w:t>“</w:t>
      </w:r>
      <w:r>
        <w:rPr>
          <w:spacing w:val="-2"/>
        </w:rPr>
        <w:t>中国制造</w:t>
      </w:r>
      <w:r>
        <w:rPr>
          <w:rFonts w:ascii="Times New Roman" w:hAnsi="Times New Roman" w:cs="Times New Roman" w:eastAsia="Times New Roman" w:hint="default"/>
          <w:spacing w:val="-2"/>
        </w:rPr>
        <w:t>2025”</w:t>
      </w:r>
      <w:r>
        <w:rPr>
          <w:spacing w:val="-2"/>
        </w:rPr>
        <w:t>、</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行动计划、大数据、军民融合发展</w:t>
      </w:r>
      <w:r>
        <w:rPr>
          <w:spacing w:val="-47"/>
        </w:rPr>
        <w:t> </w:t>
      </w:r>
      <w:r>
        <w:rPr>
          <w:spacing w:val="-47"/>
        </w:rPr>
      </w:r>
      <w:r>
        <w:rPr>
          <w:spacing w:val="-2"/>
        </w:rPr>
        <w:t>等国家战略的推进实施以及国家网络安全保障的战略需求，赋予了软件和信息技术服务业新的使命和任务；随着《</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 </w:t>
      </w:r>
      <w:r>
        <w:rPr>
          <w:spacing w:val="-2"/>
        </w:rPr>
        <w:t>国家信息化规划》的发布，新一代信息技术正加速与实体经济融合，从供给侧和需求侧两方面推动国内经济转型升级，优化</w:t>
      </w:r>
      <w:r>
        <w:rPr>
          <w:spacing w:val="-63"/>
        </w:rPr>
        <w:t> </w:t>
      </w:r>
      <w:r>
        <w:rPr>
          <w:spacing w:val="-63"/>
        </w:rPr>
      </w:r>
      <w:r>
        <w:rPr/>
        <w:t>服务品质，提高运作效率。云计算、大数据、物联网、人工智能等新技术全面渗透，驱动经济发展的变革与创新；在</w:t>
      </w:r>
      <w:r>
        <w:rPr>
          <w:rFonts w:ascii="Times New Roman" w:hAnsi="Times New Roman" w:cs="Times New Roman" w:eastAsia="Times New Roman" w:hint="default"/>
        </w:rPr>
        <w:t>“</w:t>
      </w:r>
      <w:r>
        <w:rPr/>
        <w:t>互联 </w:t>
      </w:r>
      <w:r>
        <w:rPr>
          <w:spacing w:val="-2"/>
        </w:rPr>
        <w:t>网</w:t>
      </w:r>
      <w:r>
        <w:rPr>
          <w:rFonts w:ascii="Times New Roman" w:hAnsi="Times New Roman" w:cs="Times New Roman" w:eastAsia="Times New Roman" w:hint="default"/>
          <w:spacing w:val="-2"/>
        </w:rPr>
        <w:t>+”</w:t>
      </w:r>
      <w:r>
        <w:rPr>
          <w:spacing w:val="-2"/>
        </w:rPr>
        <w:t>的推动下，信息技术开始渗透到实体经济的方方面面，不仅驱动产业升级，同时构建起新的产业生态体系，使各个产业</w:t>
      </w:r>
      <w:r>
        <w:rPr>
          <w:spacing w:val="-68"/>
        </w:rPr>
        <w:t> </w:t>
      </w:r>
      <w:r>
        <w:rPr>
          <w:spacing w:val="-68"/>
        </w:rPr>
      </w:r>
      <w:r>
        <w:rPr>
          <w:spacing w:val="-2"/>
        </w:rPr>
        <w:t>价值链之间的联系加深。我国信息技术产业的竞争和发展模式也由此出现新的变化，多行业协同、跨产业链的一体化生产和</w:t>
      </w:r>
      <w:r>
        <w:rPr>
          <w:spacing w:val="-63"/>
        </w:rPr>
        <w:t> </w:t>
      </w:r>
      <w:r>
        <w:rPr>
          <w:spacing w:val="-63"/>
        </w:rPr>
      </w:r>
      <w:r>
        <w:rPr/>
        <w:t>技术融合成为未来</w:t>
      </w:r>
      <w:r>
        <w:rPr>
          <w:rFonts w:ascii="Times New Roman" w:hAnsi="Times New Roman" w:cs="Times New Roman" w:eastAsia="Times New Roman" w:hint="default"/>
        </w:rPr>
        <w:t>IT</w:t>
      </w:r>
      <w:r>
        <w:rPr/>
        <w:t>产业发展的新趋势。</w:t>
      </w:r>
    </w:p>
    <w:p>
      <w:pPr>
        <w:pStyle w:val="BodyText"/>
        <w:spacing w:line="240" w:lineRule="auto" w:before="7"/>
        <w:ind w:left="513" w:right="153"/>
        <w:jc w:val="left"/>
      </w:pPr>
      <w:r>
        <w:rPr>
          <w:rFonts w:ascii="宋体" w:hAnsi="宋体" w:cs="宋体" w:eastAsia="宋体" w:hint="default"/>
        </w:rPr>
        <w:t>1</w:t>
      </w:r>
      <w:r>
        <w:rPr/>
        <w:t>、电子信息产业</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4" w:lineRule="auto" w:before="44"/>
        <w:ind w:right="93" w:firstLine="360"/>
        <w:jc w:val="left"/>
      </w:pPr>
      <w:r>
        <w:rPr/>
        <w:t>伴随着电子信息产业不断发展，以及我国</w:t>
      </w: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2025”</w:t>
      </w:r>
      <w:r>
        <w:rPr/>
        <w:t>纲要的深入推进和</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国际合作影响力越来越大，电子 </w:t>
      </w:r>
      <w:r>
        <w:rPr>
          <w:spacing w:val="-4"/>
        </w:rPr>
        <w:t>信息产业迎来高速发展时期。云计算、大数据、物联网、移动互联网、人工智能等新一代信息技术的快速演进，硬件、软件、</w:t>
      </w:r>
      <w:r>
        <w:rPr>
          <w:spacing w:val="-41"/>
        </w:rPr>
        <w:t> </w:t>
      </w:r>
      <w:r>
        <w:rPr>
          <w:spacing w:val="-41"/>
        </w:rPr>
      </w:r>
      <w:r>
        <w:rPr>
          <w:spacing w:val="-2"/>
        </w:rPr>
        <w:t>服务等核心技术体系的加速重构，正在引发电子信息产业新一轮变革。单点技术和单一产品的创新正加速向多技术融合互动</w:t>
      </w:r>
      <w:r>
        <w:rPr>
          <w:spacing w:val="-64"/>
        </w:rPr>
        <w:t> </w:t>
      </w:r>
      <w:r>
        <w:rPr>
          <w:spacing w:val="-64"/>
        </w:rPr>
      </w:r>
      <w:r>
        <w:rPr>
          <w:spacing w:val="-2"/>
        </w:rPr>
        <w:t>的系统化、集成化创新转变，创新周期大幅缩短。信息技术与制造、材料、能源、生物等技术的交叉渗透日益深化，智能控</w:t>
      </w:r>
      <w:r>
        <w:rPr>
          <w:spacing w:val="-73"/>
        </w:rPr>
        <w:t> </w:t>
      </w:r>
      <w:r>
        <w:rPr>
          <w:spacing w:val="-73"/>
        </w:rPr>
      </w:r>
      <w:r>
        <w:rPr>
          <w:spacing w:val="-2"/>
        </w:rPr>
        <w:t>制、智能材料、生物芯片等交叉融合创新方兴未艾，工业互联网、能源互联网等新业态加速突破，大规模个性化定制、网络</w:t>
      </w:r>
      <w:r>
        <w:rPr>
          <w:spacing w:val="-68"/>
        </w:rPr>
        <w:t> </w:t>
      </w:r>
      <w:r>
        <w:rPr>
          <w:spacing w:val="-68"/>
        </w:rPr>
      </w:r>
      <w:r>
        <w:rPr>
          <w:spacing w:val="-2"/>
        </w:rPr>
        <w:t>化协同制造、共享经济等信息经济新模式快速涌现。互联网不断激发技术与商业模式创新的活力，开启以迭代创新、大众创</w:t>
      </w:r>
      <w:r>
        <w:rPr>
          <w:spacing w:val="-63"/>
        </w:rPr>
        <w:t> </w:t>
      </w:r>
      <w:r>
        <w:rPr>
          <w:spacing w:val="-63"/>
        </w:rPr>
      </w:r>
      <w:r>
        <w:rPr/>
        <w:t>新、微创新为突出特征的创新时代。</w:t>
      </w:r>
    </w:p>
    <w:p>
      <w:pPr>
        <w:pStyle w:val="BodyText"/>
        <w:spacing w:line="316" w:lineRule="auto" w:before="20"/>
        <w:ind w:right="93" w:firstLine="360"/>
        <w:jc w:val="left"/>
      </w:pPr>
      <w:r>
        <w:rPr>
          <w:spacing w:val="-4"/>
        </w:rPr>
        <w:t>大数据、人工智能成为支持互联网、物联网的基础信息，居于信息行业的前沿，在大数据、人工智能支持下的智慧城市、</w:t>
      </w:r>
      <w:r>
        <w:rPr/>
        <w:t> </w:t>
      </w:r>
      <w:r>
        <w:rPr>
          <w:spacing w:val="-2"/>
        </w:rPr>
        <w:t>智能制造、智能服务、智能家居等为现代生产、生活提供了巨大便利，人工成本的升高进一步促进了人工智能的发展。自主</w:t>
      </w:r>
      <w:r>
        <w:rPr>
          <w:spacing w:val="-67"/>
        </w:rPr>
        <w:t> </w:t>
      </w:r>
      <w:r>
        <w:rPr>
          <w:spacing w:val="-67"/>
        </w:rPr>
      </w:r>
      <w:r>
        <w:rPr/>
        <w:t>学习、人机混合智能与其他技术的融合，使电子信息产业的发展更具空间。</w:t>
      </w:r>
    </w:p>
    <w:p>
      <w:pPr>
        <w:pStyle w:val="BodyText"/>
        <w:spacing w:line="316" w:lineRule="auto" w:before="19"/>
        <w:ind w:right="194" w:firstLine="360"/>
        <w:jc w:val="both"/>
      </w:pPr>
      <w:r>
        <w:rPr>
          <w:spacing w:val="-2"/>
        </w:rPr>
        <w:t>总之信息技术在未来一段时间内仍将是朝阳产业，新晨科技将在信息产品、系统集成、云计算、大数据、区块链和人工</w:t>
      </w:r>
      <w:r>
        <w:rPr/>
        <w:t> 智能方向开展业务，赋能数字化变革，保持原有的领先地位，谋求新的发展领域，开展创新业务，拓展发展空间。</w:t>
      </w:r>
    </w:p>
    <w:p>
      <w:pPr>
        <w:pStyle w:val="BodyText"/>
        <w:spacing w:line="300" w:lineRule="auto" w:before="19"/>
        <w:ind w:left="513" w:right="93"/>
        <w:jc w:val="left"/>
      </w:pPr>
      <w:r>
        <w:rPr>
          <w:rFonts w:ascii="宋体" w:hAnsi="宋体" w:cs="宋体" w:eastAsia="宋体" w:hint="default"/>
        </w:rPr>
        <w:t>2</w:t>
      </w:r>
      <w:r>
        <w:rPr/>
        <w:t>、金融业</w:t>
      </w:r>
      <w:r>
        <w:rPr>
          <w:rFonts w:ascii="Times New Roman" w:hAnsi="Times New Roman" w:cs="Times New Roman" w:eastAsia="Times New Roman" w:hint="default"/>
        </w:rPr>
        <w:t>IT</w:t>
      </w:r>
      <w:r>
        <w:rPr/>
        <w:t>市场 </w:t>
      </w:r>
      <w:r>
        <w:rPr>
          <w:spacing w:val="-2"/>
        </w:rPr>
        <w:t>金融</w:t>
      </w:r>
      <w:r>
        <w:rPr>
          <w:rFonts w:ascii="Times New Roman" w:hAnsi="Times New Roman" w:cs="Times New Roman" w:eastAsia="Times New Roman" w:hint="default"/>
          <w:spacing w:val="-2"/>
        </w:rPr>
        <w:t>IT</w:t>
      </w:r>
      <w:r>
        <w:rPr>
          <w:spacing w:val="-2"/>
        </w:rPr>
        <w:t>市场是整个信息技术的一个分支，更偏向于应用层面。金融业是信息技术应用最为广泛的行业，移动互联网基础</w:t>
      </w:r>
    </w:p>
    <w:p>
      <w:pPr>
        <w:pStyle w:val="BodyText"/>
        <w:spacing w:line="307" w:lineRule="auto" w:before="13"/>
        <w:ind w:right="190"/>
        <w:jc w:val="both"/>
      </w:pPr>
      <w:r>
        <w:rPr>
          <w:spacing w:val="-2"/>
        </w:rPr>
        <w:t>设施的迅速发展，以大数据、云计算、人工智能、区块链等为代表的新一代信息技术的运用，为金融</w:t>
      </w:r>
      <w:r>
        <w:rPr>
          <w:rFonts w:ascii="Times New Roman" w:hAnsi="Times New Roman" w:cs="Times New Roman" w:eastAsia="Times New Roman" w:hint="default"/>
          <w:spacing w:val="-2"/>
        </w:rPr>
        <w:t>IT</w:t>
      </w:r>
      <w:r>
        <w:rPr>
          <w:spacing w:val="-2"/>
        </w:rPr>
        <w:t>市场发展提供了充足</w:t>
      </w:r>
      <w:r>
        <w:rPr>
          <w:spacing w:val="-53"/>
        </w:rPr>
        <w:t> </w:t>
      </w:r>
      <w:r>
        <w:rPr>
          <w:spacing w:val="-53"/>
        </w:rPr>
      </w:r>
      <w:r>
        <w:rPr>
          <w:spacing w:val="-2"/>
        </w:rPr>
        <w:t>的技术支持。一方面，金融业对信息便捷性、安全性等传统</w:t>
      </w:r>
      <w:r>
        <w:rPr>
          <w:rFonts w:ascii="Times New Roman" w:hAnsi="Times New Roman" w:cs="Times New Roman" w:eastAsia="Times New Roman" w:hint="default"/>
          <w:spacing w:val="-2"/>
        </w:rPr>
        <w:t>IT</w:t>
      </w:r>
      <w:r>
        <w:rPr>
          <w:spacing w:val="-2"/>
        </w:rPr>
        <w:t>技术的要求不断增强，适应移动互联网、互联网、智能物联网</w:t>
      </w:r>
      <w:r>
        <w:rPr>
          <w:spacing w:val="-57"/>
        </w:rPr>
        <w:t> </w:t>
      </w:r>
      <w:r>
        <w:rPr>
          <w:spacing w:val="-57"/>
        </w:rPr>
      </w:r>
      <w:r>
        <w:rPr>
          <w:spacing w:val="-2"/>
        </w:rPr>
        <w:t>的应用不断升级、不断拓展，形成了稳定的存量市场；另一方面，人工智能的发展、智能设备不断升级、区块链等新兴技术</w:t>
      </w:r>
      <w:r>
        <w:rPr>
          <w:spacing w:val="-68"/>
        </w:rPr>
        <w:t> </w:t>
      </w:r>
      <w:r>
        <w:rPr>
          <w:spacing w:val="-68"/>
        </w:rPr>
      </w:r>
      <w:r>
        <w:rPr>
          <w:spacing w:val="-2"/>
        </w:rPr>
        <w:t>的应用，产生出新的金融生态、金融服务模式与金融产品，出现了较大的增量市场；再者，电子商务、共享经济等新经济模</w:t>
      </w:r>
      <w:r>
        <w:rPr>
          <w:spacing w:val="-68"/>
        </w:rPr>
        <w:t> </w:t>
      </w:r>
      <w:r>
        <w:rPr>
          <w:spacing w:val="-68"/>
        </w:rPr>
      </w:r>
      <w:r>
        <w:rPr>
          <w:spacing w:val="-2"/>
        </w:rPr>
        <w:t>式和平台的兴起，在账户管理、支付、信用管理、货币种类及价值体系等方面正深刻改变着金融</w:t>
      </w:r>
      <w:r>
        <w:rPr>
          <w:rFonts w:ascii="Times New Roman" w:hAnsi="Times New Roman" w:cs="Times New Roman" w:eastAsia="Times New Roman" w:hint="default"/>
          <w:spacing w:val="-2"/>
        </w:rPr>
        <w:t>IT</w:t>
      </w:r>
      <w:r>
        <w:rPr>
          <w:spacing w:val="-2"/>
        </w:rPr>
        <w:t>行业，金融行业的转型和</w:t>
      </w:r>
      <w:r>
        <w:rPr>
          <w:spacing w:val="-54"/>
        </w:rPr>
        <w:t> </w:t>
      </w:r>
      <w:r>
        <w:rPr>
          <w:spacing w:val="-54"/>
        </w:rPr>
      </w:r>
      <w:r>
        <w:rPr>
          <w:spacing w:val="-2"/>
        </w:rPr>
        <w:t>金融</w:t>
      </w:r>
      <w:r>
        <w:rPr>
          <w:rFonts w:ascii="Times New Roman" w:hAnsi="Times New Roman" w:cs="Times New Roman" w:eastAsia="Times New Roman" w:hint="default"/>
          <w:spacing w:val="-2"/>
        </w:rPr>
        <w:t>IT</w:t>
      </w:r>
      <w:r>
        <w:rPr>
          <w:spacing w:val="-2"/>
        </w:rPr>
        <w:t>技术的对称性需求也会不断涌现，开辟出新生市场。近年来，国内各大银行加快了综合业务应用系统的建设速度，金</w:t>
      </w:r>
      <w:r>
        <w:rPr>
          <w:spacing w:val="-51"/>
        </w:rPr>
        <w:t> </w:t>
      </w:r>
      <w:r>
        <w:rPr>
          <w:spacing w:val="-51"/>
        </w:rPr>
      </w:r>
      <w:r>
        <w:rPr/>
        <w:t>融</w:t>
      </w:r>
      <w:r>
        <w:rPr>
          <w:rFonts w:ascii="Times New Roman" w:hAnsi="Times New Roman" w:cs="Times New Roman" w:eastAsia="Times New Roman" w:hint="default"/>
        </w:rPr>
        <w:t>IT</w:t>
      </w:r>
      <w:r>
        <w:rPr/>
        <w:t>市场仍将会保持稳定增长。</w:t>
      </w:r>
    </w:p>
    <w:p>
      <w:pPr>
        <w:pStyle w:val="BodyText"/>
        <w:spacing w:line="316" w:lineRule="auto" w:before="7"/>
        <w:ind w:right="194" w:firstLine="360"/>
        <w:jc w:val="both"/>
      </w:pPr>
      <w:r>
        <w:rPr>
          <w:spacing w:val="-2"/>
        </w:rPr>
        <w:t>新晨科技依托在金融行业解决方案、系统集成、软件方面的技术优势、案例优势，将在未来发展过程中，把握新的技术</w:t>
      </w:r>
      <w:r>
        <w:rPr/>
        <w:t> 和丰富相关应用，更好地服务客户，获得更大的市场份额。</w:t>
      </w:r>
    </w:p>
    <w:p>
      <w:pPr>
        <w:pStyle w:val="BodyText"/>
        <w:spacing w:line="316" w:lineRule="auto" w:before="19"/>
        <w:ind w:left="513" w:right="93"/>
        <w:jc w:val="left"/>
      </w:pPr>
      <w:r>
        <w:rPr/>
        <w:t>（二）公司发展规划 </w:t>
      </w:r>
      <w:r>
        <w:rPr>
          <w:spacing w:val="-2"/>
        </w:rPr>
        <w:t>新的时期，公司面临新的机遇，也将面对新的挑战。为适应行业发展的客观要求和公司业务拓展的需要，公司将在未来</w:t>
      </w:r>
    </w:p>
    <w:p>
      <w:pPr>
        <w:pStyle w:val="BodyText"/>
        <w:spacing w:line="309" w:lineRule="auto" w:before="19"/>
        <w:ind w:left="513" w:right="183" w:hanging="361"/>
        <w:jc w:val="left"/>
      </w:pPr>
      <w:r>
        <w:rPr>
          <w:rFonts w:ascii="Times New Roman" w:hAnsi="Times New Roman" w:cs="Times New Roman" w:eastAsia="Times New Roman" w:hint="default"/>
        </w:rPr>
        <w:t>1-3</w:t>
      </w:r>
      <w:r>
        <w:rPr/>
        <w:t>年在现有的金融信息服务业务稳定发展的同时，积极寻求变革和突破，激发内部活力，培养新的业务增长点。 具体而言，有以下几个方面： </w:t>
      </w:r>
      <w:r>
        <w:rPr>
          <w:rFonts w:ascii="宋体" w:hAnsi="宋体" w:cs="宋体" w:eastAsia="宋体" w:hint="default"/>
        </w:rPr>
        <w:t>1</w:t>
      </w:r>
      <w:r>
        <w:rPr/>
        <w:t>、坚持自主研发和技术创新。保持较高的研发投入，通过自主研发和技术创新为公司主营业务的持续增长提供源源不</w:t>
      </w:r>
    </w:p>
    <w:p>
      <w:pPr>
        <w:pStyle w:val="BodyText"/>
        <w:spacing w:line="316" w:lineRule="auto" w:before="24"/>
        <w:ind w:right="193"/>
        <w:jc w:val="both"/>
      </w:pPr>
      <w:r>
        <w:rPr>
          <w:spacing w:val="-2"/>
        </w:rPr>
        <w:t>断地动力。积极布局云计算、区块链、人工智能等领域，保持在技术领域的行业领先性。鼓励内部研发成果的转化，探索并</w:t>
      </w:r>
      <w:r>
        <w:rPr>
          <w:spacing w:val="-68"/>
        </w:rPr>
        <w:t> </w:t>
      </w:r>
      <w:r>
        <w:rPr>
          <w:spacing w:val="-68"/>
        </w:rPr>
      </w:r>
      <w:r>
        <w:rPr/>
        <w:t>建立研发的激励机制。</w:t>
      </w:r>
    </w:p>
    <w:p>
      <w:pPr>
        <w:pStyle w:val="BodyText"/>
        <w:spacing w:line="316" w:lineRule="auto" w:before="19"/>
        <w:ind w:right="190" w:firstLine="360"/>
        <w:jc w:val="both"/>
      </w:pPr>
      <w:r>
        <w:rPr>
          <w:rFonts w:ascii="宋体" w:hAnsi="宋体" w:cs="宋体" w:eastAsia="宋体" w:hint="default"/>
        </w:rPr>
        <w:t>2</w:t>
      </w:r>
      <w:r>
        <w:rPr/>
        <w:t>、优化组织结构，以创新的观念，突破现有的业务格局和组织架构，逐部实现公司内技术资源的整合及统一管理，加 </w:t>
      </w:r>
      <w:r>
        <w:rPr>
          <w:spacing w:val="-2"/>
        </w:rPr>
        <w:t>强公司的技术资源共享，最大程度发挥资源集中优势。以更加灵活的考核机制激发技术团队的凝聚力和创造力，实现公司利</w:t>
      </w:r>
      <w:r>
        <w:rPr>
          <w:spacing w:val="-63"/>
        </w:rPr>
        <w:t> </w:t>
      </w:r>
      <w:r>
        <w:rPr>
          <w:spacing w:val="-63"/>
        </w:rPr>
      </w:r>
      <w:r>
        <w:rPr/>
        <w:t>益和个人价值的高度统一。</w:t>
      </w:r>
    </w:p>
    <w:p>
      <w:pPr>
        <w:pStyle w:val="BodyText"/>
        <w:spacing w:line="316" w:lineRule="auto" w:before="19"/>
        <w:ind w:right="191" w:firstLine="360"/>
        <w:jc w:val="both"/>
      </w:pPr>
      <w:r>
        <w:rPr>
          <w:rFonts w:ascii="宋体" w:hAnsi="宋体" w:cs="宋体" w:eastAsia="宋体" w:hint="default"/>
        </w:rPr>
        <w:t>3</w:t>
      </w:r>
      <w:r>
        <w:rPr/>
        <w:t>、聚焦行业新兴细分市场。近年来，在金融行业的一些细分领域，如交易银行、互联网金融平台和供应链金融等发展 </w:t>
      </w:r>
      <w:r>
        <w:rPr>
          <w:spacing w:val="-2"/>
        </w:rPr>
        <w:t>非常迅猛，客户需求持续高速增长。公司将依托在上述领域的先发优势，加强市场及技术投入，力争成为这些新兴细分市场</w:t>
      </w:r>
      <w:r>
        <w:rPr>
          <w:spacing w:val="-65"/>
        </w:rPr>
        <w:t> </w:t>
      </w:r>
      <w:r>
        <w:rPr>
          <w:spacing w:val="-65"/>
        </w:rPr>
      </w:r>
      <w:r>
        <w:rPr/>
        <w:t>的核心供应商。</w:t>
      </w:r>
    </w:p>
    <w:p>
      <w:pPr>
        <w:pStyle w:val="BodyText"/>
        <w:spacing w:line="319" w:lineRule="auto" w:before="19"/>
        <w:ind w:left="513" w:right="6483"/>
        <w:jc w:val="left"/>
      </w:pPr>
      <w:r>
        <w:rPr/>
        <w:t>（三）经营计划 </w:t>
      </w:r>
      <w:r>
        <w:rPr>
          <w:rFonts w:ascii="宋体" w:hAnsi="宋体" w:cs="宋体" w:eastAsia="宋体" w:hint="default"/>
        </w:rPr>
        <w:t>1</w:t>
      </w:r>
      <w:r>
        <w:rPr/>
        <w:t>、市场机会第一，保持规模高速增长</w:t>
      </w:r>
    </w:p>
    <w:p>
      <w:pPr>
        <w:pStyle w:val="BodyText"/>
        <w:spacing w:line="309" w:lineRule="auto" w:before="17"/>
        <w:ind w:right="188" w:firstLine="360"/>
        <w:jc w:val="both"/>
      </w:pPr>
      <w:r>
        <w:rPr>
          <w:spacing w:val="-2"/>
        </w:rPr>
        <w:t>围绕</w:t>
      </w:r>
      <w:r>
        <w:rPr>
          <w:rFonts w:ascii="Times New Roman" w:hAnsi="Times New Roman" w:cs="Times New Roman" w:eastAsia="Times New Roman" w:hint="default"/>
          <w:spacing w:val="-2"/>
        </w:rPr>
        <w:t>“</w:t>
      </w:r>
      <w:r>
        <w:rPr>
          <w:spacing w:val="-2"/>
        </w:rPr>
        <w:t>市场机会第一，强调规模增长</w:t>
      </w:r>
      <w:r>
        <w:rPr>
          <w:rFonts w:ascii="Times New Roman" w:hAnsi="Times New Roman" w:cs="Times New Roman" w:eastAsia="Times New Roman" w:hint="default"/>
          <w:spacing w:val="-2"/>
        </w:rPr>
        <w:t>”</w:t>
      </w:r>
      <w:r>
        <w:rPr>
          <w:spacing w:val="-2"/>
        </w:rPr>
        <w:t>的主题，</w:t>
      </w:r>
      <w:r>
        <w:rPr>
          <w:rFonts w:ascii="Times New Roman" w:hAnsi="Times New Roman" w:cs="Times New Roman" w:eastAsia="Times New Roman" w:hint="default"/>
          <w:spacing w:val="-2"/>
        </w:rPr>
        <w:t>2018</w:t>
      </w:r>
      <w:r>
        <w:rPr>
          <w:spacing w:val="-2"/>
        </w:rPr>
        <w:t>年我们要在去年的基础上，继续保持营业收入规模的高速增长。为此</w:t>
      </w:r>
      <w:r>
        <w:rPr/>
        <w:t> </w:t>
      </w:r>
      <w:r>
        <w:rPr>
          <w:spacing w:val="-2"/>
        </w:rPr>
        <w:t>我们将持续加大对市场拓展的投入，探索多种合作模式，进一步拓展市场空间。对重点的金融细分领域，加大市场和技术投</w:t>
      </w:r>
      <w:r>
        <w:rPr>
          <w:spacing w:val="-64"/>
        </w:rPr>
        <w:t> </w:t>
      </w:r>
      <w:r>
        <w:rPr>
          <w:spacing w:val="-64"/>
        </w:rPr>
      </w:r>
      <w:r>
        <w:rPr/>
        <w:t>入，继续保持公司在这些领域的先发优势。同时优化市场人员的激励政策，鼓励大家</w:t>
      </w:r>
      <w:r>
        <w:rPr>
          <w:rFonts w:ascii="Times New Roman" w:hAnsi="Times New Roman" w:cs="Times New Roman" w:eastAsia="Times New Roman" w:hint="default"/>
        </w:rPr>
        <w:t>“</w:t>
      </w:r>
      <w:r>
        <w:rPr/>
        <w:t>多签单，签大单，签好单</w:t>
      </w:r>
      <w:r>
        <w:rPr>
          <w:rFonts w:ascii="Times New Roman" w:hAnsi="Times New Roman" w:cs="Times New Roman" w:eastAsia="Times New Roman" w:hint="default"/>
        </w:rPr>
        <w:t>”</w:t>
      </w:r>
      <w:r>
        <w:rPr/>
        <w:t>。</w:t>
      </w:r>
    </w:p>
    <w:p>
      <w:pPr>
        <w:pStyle w:val="BodyText"/>
        <w:spacing w:line="316" w:lineRule="auto" w:before="5"/>
        <w:ind w:left="513" w:right="93"/>
        <w:jc w:val="left"/>
      </w:pPr>
      <w:r>
        <w:rPr>
          <w:rFonts w:ascii="宋体" w:hAnsi="宋体" w:cs="宋体" w:eastAsia="宋体" w:hint="default"/>
        </w:rPr>
        <w:t>2</w:t>
      </w:r>
      <w:r>
        <w:rPr/>
        <w:t>、依托分支机构，整合技术资源，提高人员复用率，有效控制人员的总体成本 </w:t>
      </w:r>
      <w:r>
        <w:rPr>
          <w:spacing w:val="-2"/>
        </w:rPr>
        <w:t>重点依托武汉、天津两地的分子公司，批量引入和储备高素质的毕业生，定向招聘各级别实施人员，逐步提高武汉、天</w:t>
      </w:r>
    </w:p>
    <w:p>
      <w:pPr>
        <w:pStyle w:val="BodyText"/>
        <w:spacing w:line="240" w:lineRule="auto" w:before="18"/>
        <w:ind w:right="0"/>
        <w:jc w:val="left"/>
      </w:pPr>
      <w:r>
        <w:rPr/>
        <w:t>津两地实施人员在整个公司实施队伍中的比例。以行业为依托，对现有技术资源进行合并整合，打破技术部门壁垒，提高人</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6663" w:hanging="361"/>
        <w:jc w:val="left"/>
      </w:pPr>
      <w:r>
        <w:rPr/>
        <w:t>员复用率，加强对市场的支持能力。 </w:t>
      </w:r>
      <w:r>
        <w:rPr>
          <w:rFonts w:ascii="宋体" w:hAnsi="宋体" w:cs="宋体" w:eastAsia="宋体" w:hint="default"/>
        </w:rPr>
        <w:t>3</w:t>
      </w:r>
      <w:r>
        <w:rPr/>
        <w:t>、加大研发投入，设立创新实验室</w:t>
      </w:r>
    </w:p>
    <w:p>
      <w:pPr>
        <w:pStyle w:val="BodyText"/>
        <w:spacing w:line="316" w:lineRule="auto" w:before="17"/>
        <w:ind w:right="93" w:firstLine="360"/>
        <w:jc w:val="left"/>
      </w:pPr>
      <w:r>
        <w:rPr>
          <w:spacing w:val="-4"/>
        </w:rPr>
        <w:t>在研发中心设立创新实验室，给予特殊的人才待遇和经费支持，对市场上的热点技术包括云计算、区块链、人工智能等，</w:t>
      </w:r>
      <w:r>
        <w:rPr/>
        <w:t> </w:t>
      </w:r>
      <w:r>
        <w:rPr>
          <w:spacing w:val="-2"/>
        </w:rPr>
        <w:t>结合目前我们在客户已经落地项目的成功经验和自身丰富的业务经验，加大研发投入，使我们继续在新技术应用上保持领先</w:t>
      </w:r>
      <w:r>
        <w:rPr>
          <w:spacing w:val="-63"/>
        </w:rPr>
        <w:t> </w:t>
      </w:r>
      <w:r>
        <w:rPr>
          <w:spacing w:val="-63"/>
        </w:rPr>
      </w:r>
      <w:r>
        <w:rPr/>
        <w:t>优势。</w:t>
      </w:r>
    </w:p>
    <w:p>
      <w:pPr>
        <w:pStyle w:val="BodyText"/>
        <w:spacing w:line="240" w:lineRule="auto" w:before="19"/>
        <w:ind w:left="513" w:right="93"/>
        <w:jc w:val="left"/>
      </w:pPr>
      <w:r>
        <w:rPr>
          <w:rFonts w:ascii="宋体" w:hAnsi="宋体" w:cs="宋体" w:eastAsia="宋体" w:hint="default"/>
        </w:rPr>
        <w:t>4</w:t>
      </w:r>
      <w:r>
        <w:rPr/>
        <w:t>、布局通航领域信息化建设</w:t>
      </w:r>
    </w:p>
    <w:p>
      <w:pPr>
        <w:pStyle w:val="BodyText"/>
        <w:spacing w:line="309" w:lineRule="auto" w:before="76"/>
        <w:ind w:right="193" w:firstLine="360"/>
        <w:jc w:val="both"/>
      </w:pPr>
      <w:r>
        <w:rPr>
          <w:rFonts w:ascii="Times New Roman" w:hAnsi="Times New Roman" w:cs="Times New Roman" w:eastAsia="Times New Roman" w:hint="default"/>
          <w:spacing w:val="-2"/>
        </w:rPr>
        <w:t>2017</w:t>
      </w:r>
      <w:r>
        <w:rPr>
          <w:spacing w:val="-2"/>
        </w:rPr>
        <w:t>年公司参股了新晨航空科技（天津）有限公司，该公司主要业务是建设通用航空的互联网平台，为民用飞行以及民</w:t>
      </w:r>
      <w:r>
        <w:rPr/>
        <w:t> </w:t>
      </w:r>
      <w:r>
        <w:rPr>
          <w:spacing w:val="-2"/>
        </w:rPr>
        <w:t>用空域使用提供信息服务。包括空域使用规划及申请、气象服务、监视服务、导航服务等。公司将依托该平台，积极探索通</w:t>
      </w:r>
      <w:r>
        <w:rPr>
          <w:spacing w:val="-68"/>
        </w:rPr>
        <w:t> </w:t>
      </w:r>
      <w:r>
        <w:rPr>
          <w:spacing w:val="-68"/>
        </w:rPr>
      </w:r>
      <w:r>
        <w:rPr/>
        <w:t>航领域信息化建设。</w:t>
      </w:r>
    </w:p>
    <w:p>
      <w:pPr>
        <w:pStyle w:val="BodyText"/>
        <w:spacing w:line="240" w:lineRule="auto" w:before="24"/>
        <w:ind w:left="513" w:right="93"/>
        <w:jc w:val="left"/>
      </w:pPr>
      <w:r>
        <w:rPr/>
        <w:t>（四）可能面临的风险</w:t>
      </w:r>
    </w:p>
    <w:p>
      <w:pPr>
        <w:pStyle w:val="BodyText"/>
        <w:spacing w:line="300" w:lineRule="auto" w:before="76"/>
        <w:ind w:left="513" w:right="176"/>
        <w:jc w:val="left"/>
      </w:pPr>
      <w:r>
        <w:rPr>
          <w:rFonts w:ascii="Times New Roman" w:hAnsi="Times New Roman" w:cs="Times New Roman" w:eastAsia="Times New Roman" w:hint="default"/>
        </w:rPr>
        <w:t>1</w:t>
      </w:r>
      <w:r>
        <w:rPr/>
        <w:t>、对大客户的依赖风险 </w:t>
      </w:r>
      <w:r>
        <w:rPr>
          <w:spacing w:val="-1"/>
        </w:rPr>
        <w:t>本年度公司销售收入约</w:t>
      </w:r>
      <w:r>
        <w:rPr>
          <w:rFonts w:ascii="Times New Roman" w:hAnsi="Times New Roman" w:cs="Times New Roman" w:eastAsia="Times New Roman" w:hint="default"/>
          <w:spacing w:val="-1"/>
        </w:rPr>
        <w:t>50%</w:t>
      </w:r>
      <w:r>
        <w:rPr>
          <w:spacing w:val="-1"/>
        </w:rPr>
        <w:t>来源于前五大客户，公司在经营上存在对大客户的依赖风险。因此，公司在制定经营战略方</w:t>
      </w:r>
    </w:p>
    <w:p>
      <w:pPr>
        <w:pStyle w:val="BodyText"/>
        <w:spacing w:line="240" w:lineRule="auto" w:before="13"/>
        <w:ind w:right="93"/>
        <w:jc w:val="left"/>
      </w:pPr>
      <w:r>
        <w:rPr/>
        <w:t>面更注重可持续发展能力的提升，包括了技术研发和市场开拓等方面：</w:t>
      </w:r>
    </w:p>
    <w:p>
      <w:pPr>
        <w:pStyle w:val="BodyText"/>
        <w:spacing w:line="300" w:lineRule="auto" w:before="77"/>
        <w:ind w:right="199" w:firstLine="360"/>
        <w:jc w:val="both"/>
      </w:pPr>
      <w:r>
        <w:rPr/>
        <w:t>（</w:t>
      </w:r>
      <w:r>
        <w:rPr>
          <w:rFonts w:ascii="Times New Roman" w:hAnsi="Times New Roman" w:cs="Times New Roman" w:eastAsia="Times New Roman" w:hint="default"/>
        </w:rPr>
        <w:t>1</w:t>
      </w:r>
      <w:r>
        <w:rPr/>
        <w:t>）公司在与已有客户建立长期合作伙伴关系的基础上，持续跟踪新技术，创新开发新业务和新产品，以保持技术和 业务的领先性，并持续提高服务质量，增加客户粘度，不断提升老客户的忠诚度。</w:t>
      </w:r>
    </w:p>
    <w:p>
      <w:pPr>
        <w:pStyle w:val="BodyText"/>
        <w:spacing w:line="300" w:lineRule="auto" w:before="31"/>
        <w:ind w:left="513" w:right="5763"/>
        <w:jc w:val="left"/>
      </w:pPr>
      <w:r>
        <w:rPr/>
        <w:t>（</w:t>
      </w:r>
      <w:r>
        <w:rPr>
          <w:rFonts w:ascii="Times New Roman" w:hAnsi="Times New Roman" w:cs="Times New Roman" w:eastAsia="Times New Roman" w:hint="default"/>
        </w:rPr>
        <w:t>2</w:t>
      </w:r>
      <w:r>
        <w:rPr/>
        <w:t>）利用技术和业务优势，积极开拓新客户。 </w:t>
      </w:r>
      <w:r>
        <w:rPr>
          <w:rFonts w:ascii="宋体" w:hAnsi="宋体" w:cs="宋体" w:eastAsia="宋体" w:hint="default"/>
        </w:rPr>
        <w:t>2</w:t>
      </w:r>
      <w:r>
        <w:rPr/>
        <w:t>、人力成本上升的风险</w:t>
      </w:r>
    </w:p>
    <w:p>
      <w:pPr>
        <w:pStyle w:val="BodyText"/>
        <w:spacing w:line="316" w:lineRule="auto" w:before="31"/>
        <w:ind w:right="104" w:firstLine="360"/>
        <w:jc w:val="both"/>
      </w:pPr>
      <w:r>
        <w:rPr/>
        <w:t>公司为了加大研发力度及市场开拓，不断扩充员工队伍；行业内对高水平技术人才的争夺推动了员工薪酬的不断上涨； </w:t>
      </w:r>
      <w:r>
        <w:rPr>
          <w:spacing w:val="-4"/>
        </w:rPr>
        <w:t>另外，随着公司在新技术应用方面的深入和转型，新技术人才的成本普遍较高，上述三个因素导致公司的人力成本持续增加，</w:t>
      </w:r>
      <w:r>
        <w:rPr>
          <w:spacing w:val="-44"/>
        </w:rPr>
        <w:t> </w:t>
      </w:r>
      <w:r>
        <w:rPr>
          <w:spacing w:val="-44"/>
        </w:rPr>
      </w:r>
      <w:r>
        <w:rPr/>
        <w:t>如果人力成本增幅与营业收入增幅不匹配，公司经营业绩将受到一定的影响。未来采取防范风险的措施：</w:t>
      </w:r>
    </w:p>
    <w:p>
      <w:pPr>
        <w:pStyle w:val="BodyText"/>
        <w:spacing w:line="300" w:lineRule="auto" w:before="19"/>
        <w:ind w:left="513" w:right="93"/>
        <w:jc w:val="left"/>
      </w:pPr>
      <w:r>
        <w:rPr/>
        <w:t>（</w:t>
      </w:r>
      <w:r>
        <w:rPr>
          <w:rFonts w:ascii="Times New Roman" w:hAnsi="Times New Roman" w:cs="Times New Roman" w:eastAsia="Times New Roman" w:hint="default"/>
        </w:rPr>
        <w:t>1</w:t>
      </w:r>
      <w:r>
        <w:rPr/>
        <w:t>）调整人员结构 </w:t>
      </w:r>
      <w:r>
        <w:rPr>
          <w:spacing w:val="-2"/>
        </w:rPr>
        <w:t>公司将根据不同的业务模式以及客户要求调整技术团队的人员结构，在保证交付质量以及风险可控的前提下将技术团队</w:t>
      </w:r>
    </w:p>
    <w:p>
      <w:pPr>
        <w:pStyle w:val="BodyText"/>
        <w:spacing w:line="240" w:lineRule="auto" w:before="31"/>
        <w:ind w:right="93"/>
        <w:jc w:val="left"/>
      </w:pPr>
      <w:r>
        <w:rPr/>
        <w:t>的费用成本控制在合理水平。</w:t>
      </w:r>
    </w:p>
    <w:p>
      <w:pPr>
        <w:pStyle w:val="BodyText"/>
        <w:spacing w:line="309" w:lineRule="auto" w:before="76"/>
        <w:ind w:left="513" w:right="183"/>
        <w:jc w:val="left"/>
      </w:pPr>
      <w:r>
        <w:rPr/>
        <w:t>（</w:t>
      </w:r>
      <w:r>
        <w:rPr>
          <w:rFonts w:ascii="Times New Roman" w:hAnsi="Times New Roman" w:cs="Times New Roman" w:eastAsia="Times New Roman" w:hint="default"/>
        </w:rPr>
        <w:t>2</w:t>
      </w:r>
      <w:r>
        <w:rPr/>
        <w:t>）建立人才基地 目前，公司已经在武汉、天津成立了人才基地，做为整个公司的技术资源池，以缓解公司人力成本不断攀升的压力。 </w:t>
      </w:r>
      <w:r>
        <w:rPr>
          <w:rFonts w:ascii="宋体" w:hAnsi="宋体" w:cs="宋体" w:eastAsia="宋体" w:hint="default"/>
        </w:rPr>
        <w:t>3</w:t>
      </w:r>
      <w:r>
        <w:rPr/>
        <w:t>、随着公司业务规模、市场覆盖的扩大，加上项目本身的执行与验收周期较长，因此应收账款有逐渐增加及账龄结构</w:t>
      </w:r>
    </w:p>
    <w:p>
      <w:pPr>
        <w:pStyle w:val="BodyText"/>
        <w:spacing w:line="316" w:lineRule="auto" w:before="24"/>
        <w:ind w:right="93"/>
        <w:jc w:val="left"/>
      </w:pPr>
      <w:r>
        <w:rPr>
          <w:spacing w:val="-2"/>
        </w:rPr>
        <w:t>发生改变的趋势，公司的客户主要为银行、空管部门、政府机构和大中型国有企事业单位等，如果个别客户信用情况发生较</w:t>
      </w:r>
      <w:r>
        <w:rPr>
          <w:spacing w:val="-64"/>
        </w:rPr>
        <w:t> </w:t>
      </w:r>
      <w:r>
        <w:rPr>
          <w:spacing w:val="-64"/>
        </w:rPr>
      </w:r>
      <w:r>
        <w:rPr/>
        <w:t>大变化，将不利于公司应收账款的收回，对公司的资产质量和经营业绩产生不利影响。防范应收账款风险的措施：</w:t>
      </w:r>
    </w:p>
    <w:p>
      <w:pPr>
        <w:pStyle w:val="BodyText"/>
        <w:spacing w:line="300" w:lineRule="auto" w:before="19"/>
        <w:ind w:right="199" w:firstLine="360"/>
        <w:jc w:val="both"/>
      </w:pPr>
      <w:r>
        <w:rPr/>
        <w:t>（</w:t>
      </w:r>
      <w:r>
        <w:rPr>
          <w:rFonts w:ascii="Times New Roman" w:hAnsi="Times New Roman" w:cs="Times New Roman" w:eastAsia="Times New Roman" w:hint="default"/>
        </w:rPr>
        <w:t>1</w:t>
      </w:r>
      <w:r>
        <w:rPr/>
        <w:t>）将应收账款的管理与个人的利益相统一。将应收账款与部门利润和部门经理的任期考核相结合。同时将应收账款 的管理纳入内部审计的范围，进一步规范管理。</w:t>
      </w:r>
    </w:p>
    <w:p>
      <w:pPr>
        <w:pStyle w:val="BodyText"/>
        <w:spacing w:line="300" w:lineRule="auto" w:before="31"/>
        <w:ind w:right="199" w:firstLine="360"/>
        <w:jc w:val="both"/>
      </w:pPr>
      <w:r>
        <w:rPr/>
        <w:t>（</w:t>
      </w:r>
      <w:r>
        <w:rPr>
          <w:rFonts w:ascii="Times New Roman" w:hAnsi="Times New Roman" w:cs="Times New Roman" w:eastAsia="Times New Roman" w:hint="default"/>
        </w:rPr>
        <w:t>2</w:t>
      </w:r>
      <w:r>
        <w:rPr/>
        <w:t>）加强对应收账款的催收力度。在催收欠款上，对欠款年份、金额进行排队分析，分别采取不同的措施。同时要认 真总结经验教训，尽最大可能避免产生新的逾期应收账款，降低应收账款风险。</w:t>
      </w:r>
    </w:p>
    <w:p>
      <w:pPr>
        <w:spacing w:line="240" w:lineRule="auto" w:before="11"/>
        <w:rPr>
          <w:rFonts w:ascii="宋体" w:hAnsi="宋体" w:cs="宋体" w:eastAsia="宋体" w:hint="default"/>
          <w:sz w:val="21"/>
          <w:szCs w:val="21"/>
        </w:rPr>
      </w:pPr>
    </w:p>
    <w:p>
      <w:pPr>
        <w:pStyle w:val="Heading2"/>
        <w:spacing w:line="240" w:lineRule="auto"/>
        <w:ind w:right="93"/>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4">
              <w:r>
                <w:rPr>
                  <w:rFonts w:ascii="Times New Roman"/>
                  <w:sz w:val="18"/>
                </w:rPr>
                <w:t>http://irm.cninfo.com.cn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531"/>
        <w:jc w:val="center"/>
        <w:rPr>
          <w:b w:val="0"/>
          <w:bCs w:val="0"/>
        </w:rPr>
      </w:pPr>
      <w:bookmarkStart w:name="_TOC_250007"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报告期内普通股利润分配政策，特别是现金分红政策的制定、执行或调整情况</w:t>
      </w:r>
    </w:p>
    <w:p>
      <w:pPr>
        <w:pStyle w:val="BodyText"/>
        <w:spacing w:line="240" w:lineRule="auto" w:before="117"/>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316" w:lineRule="auto"/>
        <w:ind w:right="93" w:firstLine="360"/>
        <w:jc w:val="left"/>
      </w:pPr>
      <w:r>
        <w:rPr>
          <w:spacing w:val="-2"/>
        </w:rPr>
        <w:t>根据《公司章程》的要求，对公司利润分配政策进行了明确规定，确定了公司利润分配的原则和方案，尤其是现金分红</w:t>
      </w:r>
      <w:r>
        <w:rPr/>
        <w:t> 的具体条件、比例，确定了公司利润分配的决策程序和机制以及利润分配政策调整的决策程序。</w:t>
      </w:r>
    </w:p>
    <w:p>
      <w:pPr>
        <w:pStyle w:val="BodyText"/>
        <w:spacing w:line="319" w:lineRule="auto" w:before="139"/>
        <w:ind w:right="189" w:firstLine="360"/>
        <w:jc w:val="both"/>
      </w:pPr>
      <w:r>
        <w:rPr>
          <w:spacing w:val="-2"/>
        </w:rPr>
        <w:t>《公司章程》第一百六十六条规定，公司实行持续、稳定的利润分配政策，公司的利润分配应当重视对投资者的合理投</w:t>
      </w:r>
      <w:r>
        <w:rPr/>
        <w:t> </w:t>
      </w:r>
      <w:r>
        <w:rPr>
          <w:spacing w:val="-2"/>
        </w:rPr>
        <w:t>资回报并兼顾公司的可持续发展。利润分配方式包括现金分红和股票股利分红，具备现金分红条件的，应优先采用现金分红</w:t>
      </w:r>
      <w:r>
        <w:rPr>
          <w:spacing w:val="-62"/>
        </w:rPr>
        <w:t> </w:t>
      </w:r>
      <w:r>
        <w:rPr>
          <w:spacing w:val="-62"/>
        </w:rPr>
      </w:r>
      <w:r>
        <w:rPr/>
        <w:t>进行利润分配；采用股票股利进行利润分配的，应具有公司成长性、每股净资产的摊薄等真实合理因素。</w:t>
      </w:r>
    </w:p>
    <w:p>
      <w:pPr>
        <w:pStyle w:val="BodyText"/>
        <w:spacing w:line="309" w:lineRule="auto" w:before="137"/>
        <w:ind w:right="93" w:firstLine="360"/>
        <w:jc w:val="left"/>
      </w:pPr>
      <w:r>
        <w:rPr>
          <w:spacing w:val="-2"/>
        </w:rPr>
        <w:t>《公司章程》第一百六十七条规定，在公司当年经审计的净利润为正数的情况下，公司每年度采取的利润分配方式中必</w:t>
      </w:r>
      <w:r>
        <w:rPr/>
        <w:t> </w:t>
      </w:r>
      <w:r>
        <w:rPr>
          <w:spacing w:val="-2"/>
        </w:rPr>
        <w:t>须含有现金分配方式。公司每年度现金分红金额应不低于当年实现的可供分配利润的百分之二十。同时：（一）公司发展阶</w:t>
      </w:r>
      <w:r>
        <w:rPr>
          <w:spacing w:val="-65"/>
        </w:rPr>
        <w:t> </w:t>
      </w:r>
      <w:r>
        <w:rPr>
          <w:spacing w:val="-65"/>
        </w:rPr>
      </w:r>
      <w:r>
        <w:rPr/>
        <w:t>段属成熟期且无重大资金支出安排的，进行利润分配时，现金分红在本次利润分配中所占比例最低应达到</w:t>
      </w:r>
      <w:r>
        <w:rPr>
          <w:rFonts w:ascii="Times New Roman" w:hAnsi="Times New Roman" w:cs="Times New Roman" w:eastAsia="Times New Roman" w:hint="default"/>
        </w:rPr>
        <w:t>80%</w:t>
      </w:r>
      <w:r>
        <w:rPr/>
        <w:t>；（二）公司 </w:t>
      </w:r>
      <w:r>
        <w:rPr>
          <w:spacing w:val="-3"/>
        </w:rPr>
        <w:t>发展阶段属成熟期且有重大资金支出安排的，进行利润分配时，现金分红在本次利润分配中所占比例最低应达到</w:t>
      </w:r>
      <w:r>
        <w:rPr>
          <w:rFonts w:ascii="Times New Roman" w:hAnsi="Times New Roman" w:cs="Times New Roman" w:eastAsia="Times New Roman" w:hint="default"/>
          <w:spacing w:val="-3"/>
        </w:rPr>
        <w:t>40%</w:t>
      </w:r>
      <w:r>
        <w:rPr>
          <w:spacing w:val="-3"/>
        </w:rPr>
        <w:t>；（三）</w:t>
      </w:r>
      <w:r>
        <w:rPr>
          <w:spacing w:val="-65"/>
        </w:rPr>
        <w:t> </w:t>
      </w:r>
      <w:r>
        <w:rPr>
          <w:spacing w:val="-65"/>
        </w:rPr>
      </w:r>
      <w:r>
        <w:rPr/>
        <w:t>公司发展阶段属成长期且有重大资金支出安排的，进行利润分配时，现金分红在本次利润分配中所占比例最低应达到</w:t>
      </w:r>
      <w:r>
        <w:rPr>
          <w:rFonts w:ascii="Times New Roman" w:hAnsi="Times New Roman" w:cs="Times New Roman" w:eastAsia="Times New Roman" w:hint="default"/>
        </w:rPr>
        <w:t>20%</w:t>
      </w:r>
      <w:r>
        <w:rPr/>
        <w:t>。 </w:t>
      </w:r>
      <w:r>
        <w:rPr>
          <w:spacing w:val="-2"/>
        </w:rPr>
        <w:t>公司发展阶段不易区分但有重大资金支出安排的，可以按照第（三）项的规定处理。在有条件的情况下，公司可以进行中期</w:t>
      </w:r>
      <w:r>
        <w:rPr>
          <w:spacing w:val="-65"/>
        </w:rPr>
        <w:t> </w:t>
      </w:r>
      <w:r>
        <w:rPr>
          <w:spacing w:val="-65"/>
        </w:rPr>
      </w:r>
      <w:r>
        <w:rPr>
          <w:spacing w:val="-2"/>
        </w:rPr>
        <w:t>现金分红。若公司业务规模增长迅速，并且董事会认为公司业务规模与公司股本规模不匹配时，可以在满足上述现金股利分</w:t>
      </w:r>
      <w:r>
        <w:rPr>
          <w:spacing w:val="-63"/>
        </w:rPr>
        <w:t> </w:t>
      </w:r>
      <w:r>
        <w:rPr>
          <w:spacing w:val="-63"/>
        </w:rPr>
      </w:r>
      <w:r>
        <w:rPr/>
        <w:t>配的同时，制定股票股利分配预案。</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6499"/>
        <w:gridCol w:w="3059"/>
      </w:tblGrid>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93"/>
        <w:jc w:val="left"/>
      </w:pPr>
      <w:r>
        <w:rPr/>
        <w:t>公司报告期利润分配预案及资本公积金转增股本预案与公司章程和分红管理办法等的相关规定一致</w:t>
      </w:r>
    </w:p>
    <w:p>
      <w:pPr>
        <w:pStyle w:val="BodyText"/>
        <w:spacing w:line="348" w:lineRule="auto" w:before="117"/>
        <w:ind w:right="3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91,191,500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7,295,320.00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231,826,725.94</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公司拟定本次利润分配及资本公积金转增股本预案为：以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日的总股本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91,191,500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实施每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，合计派发现金股利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元；同时，</w:t>
            </w:r>
            <w:r>
              <w:rPr>
                <w:rFonts w:ascii="宋体" w:hAnsi="宋体" w:cs="宋体" w:eastAsia="宋体" w:hint="default"/>
                <w:spacing w:val="-3"/>
                <w:sz w:val="18"/>
                <w:szCs w:val="18"/>
              </w:rPr>
              <w:t>以</w:t>
            </w:r>
            <w:r>
              <w:rPr>
                <w:rFonts w:ascii="宋体" w:hAnsi="宋体" w:cs="宋体" w:eastAsia="宋体" w:hint="default"/>
                <w:sz w:val="18"/>
                <w:szCs w:val="18"/>
              </w:rPr>
              <w:t>资本公积金向全体股东每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股，剩余未分配利润结转至下一年度。</w:t>
            </w:r>
          </w:p>
        </w:tc>
      </w:tr>
    </w:tbl>
    <w:p>
      <w:pPr>
        <w:pStyle w:val="BodyText"/>
        <w:spacing w:line="240" w:lineRule="auto" w:before="49"/>
        <w:ind w:right="15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2016</w:t>
      </w:r>
      <w:r>
        <w:rPr/>
        <w:t>年度利润分配方案：根据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日，第八届董事会第二十五次会议，审议通过了</w:t>
      </w:r>
      <w:r>
        <w:rPr>
          <w:rFonts w:ascii="Times New Roman" w:hAnsi="Times New Roman" w:cs="Times New Roman" w:eastAsia="Times New Roman" w:hint="default"/>
        </w:rPr>
        <w:t>2016</w:t>
      </w:r>
      <w:r>
        <w:rPr/>
        <w:t>年度利润分配预案：以</w:t>
      </w:r>
    </w:p>
    <w:p>
      <w:pPr>
        <w:pStyle w:val="BodyText"/>
        <w:spacing w:line="300" w:lineRule="auto" w:before="63"/>
        <w:ind w:right="153"/>
        <w:jc w:val="left"/>
      </w:pPr>
      <w:r>
        <w:rPr>
          <w:rFonts w:ascii="Times New Roman" w:hAnsi="Times New Roman" w:cs="Times New Roman" w:eastAsia="Times New Roman" w:hint="default"/>
        </w:rPr>
        <w:t>2016</w:t>
      </w:r>
      <w:r>
        <w:rPr/>
        <w:t>年末总股本</w:t>
      </w:r>
      <w:r>
        <w:rPr>
          <w:rFonts w:ascii="Times New Roman" w:hAnsi="Times New Roman" w:cs="Times New Roman" w:eastAsia="Times New Roman" w:hint="default"/>
        </w:rPr>
        <w:t>90,150,000.00 </w:t>
      </w:r>
      <w:r>
        <w:rPr/>
        <w:t>股为基数，以现金股利方式向全体股东派发红利</w:t>
      </w:r>
      <w:r>
        <w:rPr>
          <w:rFonts w:ascii="Times New Roman" w:hAnsi="Times New Roman" w:cs="Times New Roman" w:eastAsia="Times New Roman" w:hint="default"/>
        </w:rPr>
        <w:t>6,310,500.00</w:t>
      </w:r>
      <w:r>
        <w:rPr/>
        <w:t>元，计每</w:t>
      </w:r>
      <w:r>
        <w:rPr>
          <w:rFonts w:ascii="Times New Roman" w:hAnsi="Times New Roman" w:cs="Times New Roman" w:eastAsia="Times New Roman" w:hint="default"/>
        </w:rPr>
        <w:t>10</w:t>
      </w:r>
      <w:r>
        <w:rPr/>
        <w:t>股分配现金红利</w:t>
      </w:r>
      <w:r>
        <w:rPr>
          <w:rFonts w:ascii="Times New Roman" w:hAnsi="Times New Roman" w:cs="Times New Roman" w:eastAsia="Times New Roman" w:hint="default"/>
        </w:rPr>
        <w:t>0.70</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元（含税），剩余未分配利润结转至下一年度。</w:t>
      </w:r>
    </w:p>
    <w:p>
      <w:pPr>
        <w:pStyle w:val="BodyText"/>
        <w:spacing w:line="300" w:lineRule="auto" w:before="151"/>
        <w:ind w:right="148" w:firstLine="360"/>
        <w:jc w:val="both"/>
      </w:pPr>
      <w:r>
        <w:rPr>
          <w:rFonts w:ascii="Times New Roman" w:hAnsi="Times New Roman" w:cs="Times New Roman" w:eastAsia="Times New Roman" w:hint="default"/>
        </w:rPr>
        <w:t>2017</w:t>
      </w:r>
      <w:r>
        <w:rPr/>
        <w:t>年度利润分配及资本公积金转增股本预案：根据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日，第九届董事会第六次会议，审议通过了</w:t>
      </w:r>
      <w:r>
        <w:rPr>
          <w:rFonts w:ascii="Times New Roman" w:hAnsi="Times New Roman" w:cs="Times New Roman" w:eastAsia="Times New Roman" w:hint="default"/>
        </w:rPr>
        <w:t>2017</w:t>
      </w:r>
      <w:r>
        <w:rPr/>
        <w:t>年度 利润分配及资本公积金转增股本预案：以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91,191,500</w:t>
      </w:r>
      <w:r>
        <w:rPr/>
        <w:t>股为基数，向全体股东实施每</w:t>
      </w:r>
      <w:r>
        <w:rPr>
          <w:rFonts w:ascii="Times New Roman" w:hAnsi="Times New Roman" w:cs="Times New Roman" w:eastAsia="Times New Roman" w:hint="default"/>
        </w:rPr>
        <w:t>10</w:t>
      </w:r>
      <w:r>
        <w:rPr/>
        <w:t>股派发现金股 利</w:t>
      </w:r>
      <w:r>
        <w:rPr>
          <w:rFonts w:ascii="Times New Roman" w:hAnsi="Times New Roman" w:cs="Times New Roman" w:eastAsia="Times New Roman" w:hint="default"/>
        </w:rPr>
        <w:t>0.80</w:t>
      </w:r>
      <w:r>
        <w:rPr/>
        <w:t>元（含税），合计派发现金股利</w:t>
      </w:r>
      <w:r>
        <w:rPr>
          <w:rFonts w:ascii="Times New Roman" w:hAnsi="Times New Roman" w:cs="Times New Roman" w:eastAsia="Times New Roman" w:hint="default"/>
        </w:rPr>
        <w:t>7,295,320.00</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股，剩余未分配利润结 转至下一年度。</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before="44"/>
        <w:ind w:right="153"/>
        <w:jc w:val="left"/>
      </w:pPr>
      <w:r>
        <w:rPr/>
        <w:t>公司近三年（包括本报告期）普通股现金分红情况表</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1772"/>
        <w:gridCol w:w="1774"/>
        <w:gridCol w:w="1700"/>
        <w:gridCol w:w="1419"/>
        <w:gridCol w:w="1486"/>
      </w:tblGrid>
      <w:tr>
        <w:trPr>
          <w:trHeight w:val="317"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分红年度合并报表中</w:t>
            </w:r>
          </w:p>
          <w:p>
            <w:pPr>
              <w:pStyle w:val="TableParagraph"/>
              <w:spacing w:line="319" w:lineRule="auto" w:before="76"/>
              <w:ind w:left="251" w:right="71" w:hanging="38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1"/>
                <w:sz w:val="18"/>
                <w:szCs w:val="18"/>
              </w:rPr>
              <w:t> </w:t>
            </w:r>
            <w:r>
              <w:rPr>
                <w:rFonts w:ascii="宋体" w:hAnsi="宋体" w:cs="宋体" w:eastAsia="宋体" w:hint="default"/>
                <w:sz w:val="18"/>
                <w:szCs w:val="18"/>
              </w:rPr>
              <w:t>归属于上市公司普通</w:t>
            </w:r>
            <w:r>
              <w:rPr>
                <w:rFonts w:ascii="宋体" w:hAnsi="宋体" w:cs="宋体" w:eastAsia="宋体" w:hint="default"/>
                <w:sz w:val="18"/>
                <w:szCs w:val="18"/>
              </w:rPr>
              <w:t> 股股东的净利润</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5" w:right="33"/>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4" w:right="74"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4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8" w:right="107"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394"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774"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486" w:type="dxa"/>
            <w:vMerge/>
            <w:tcBorders>
              <w:left w:val="single" w:sz="4" w:space="0" w:color="000000"/>
              <w:right w:val="single" w:sz="4" w:space="0" w:color="000000"/>
            </w:tcBorders>
            <w:shd w:val="clear" w:color="auto" w:fill="D2D2D2"/>
          </w:tcPr>
          <w:p>
            <w:pPr/>
          </w:p>
        </w:tc>
      </w:tr>
      <w:tr>
        <w:trPr>
          <w:trHeight w:val="317"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4"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8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7,295,320.00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36,187,810.88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6,310,500.00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34,396,365.86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35,158,093.73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3"/>
        <w:jc w:val="left"/>
      </w:pPr>
      <w:r>
        <w:rPr/>
        <w:t>公司报告期内盈利且母公司可供普通股股东分配利润为正但未提出普通股现金红利分配预案</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15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53"/>
        <w:gridCol w:w="1003"/>
        <w:gridCol w:w="853"/>
        <w:gridCol w:w="3684"/>
        <w:gridCol w:w="853"/>
        <w:gridCol w:w="850"/>
        <w:gridCol w:w="1061"/>
      </w:tblGrid>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9"/>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003" w:type="dxa"/>
            <w:tcBorders>
              <w:top w:val="single" w:sz="4" w:space="0" w:color="000000"/>
              <w:left w:val="single" w:sz="13"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853"/>
        <w:gridCol w:w="850"/>
        <w:gridCol w:w="1061"/>
      </w:tblGrid>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35"/>
              <w:jc w:val="both"/>
              <w:rPr>
                <w:rFonts w:ascii="宋体" w:hAnsi="宋体" w:cs="宋体" w:eastAsia="宋体" w:hint="default"/>
                <w:sz w:val="18"/>
                <w:szCs w:val="18"/>
              </w:rPr>
            </w:pP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 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张燕生</w:t>
            </w:r>
            <w:r>
              <w:rPr>
                <w:rFonts w:ascii="Times New Roman" w:hAnsi="Times New Roman" w:cs="Times New Roman" w:eastAsia="Times New Roman" w:hint="default"/>
                <w:sz w:val="18"/>
                <w:szCs w:val="18"/>
              </w:rPr>
              <w:t>; </w:t>
            </w:r>
            <w:r>
              <w:rPr>
                <w:rFonts w:ascii="宋体" w:hAnsi="宋体" w:cs="宋体" w:eastAsia="宋体" w:hint="default"/>
                <w:sz w:val="18"/>
                <w:szCs w:val="18"/>
              </w:rPr>
              <w:t>徐连平</w:t>
            </w:r>
            <w:r>
              <w:rPr>
                <w:rFonts w:ascii="Times New Roman" w:hAnsi="Times New Roman" w:cs="Times New Roman" w:eastAsia="Times New Roman" w:hint="default"/>
                <w:sz w:val="18"/>
                <w:szCs w:val="18"/>
              </w:rPr>
              <w:t>;</w:t>
            </w:r>
            <w:r>
              <w:rPr>
                <w:rFonts w:ascii="宋体" w:hAnsi="宋体" w:cs="宋体" w:eastAsia="宋体" w:hint="default"/>
                <w:sz w:val="18"/>
                <w:szCs w:val="18"/>
              </w:rPr>
              <w:t>唐 若梅</w:t>
            </w:r>
            <w:r>
              <w:rPr>
                <w:rFonts w:ascii="Times New Roman" w:hAnsi="Times New Roman" w:cs="Times New Roman" w:eastAsia="Times New Roman" w:hint="default"/>
                <w:sz w:val="18"/>
                <w:szCs w:val="18"/>
              </w:rPr>
              <w:t>;</w:t>
            </w:r>
            <w:r>
              <w:rPr>
                <w:rFonts w:ascii="宋体" w:hAnsi="宋体" w:cs="宋体" w:eastAsia="宋体" w:hint="default"/>
                <w:sz w:val="18"/>
                <w:szCs w:val="18"/>
              </w:rPr>
              <w:t>杨汉 杰</w:t>
            </w:r>
            <w:r>
              <w:rPr>
                <w:rFonts w:ascii="Times New Roman" w:hAnsi="Times New Roman" w:cs="Times New Roman" w:eastAsia="Times New Roman" w:hint="default"/>
                <w:sz w:val="18"/>
                <w:szCs w:val="18"/>
              </w:rPr>
              <w:t>;</w:t>
            </w:r>
            <w:r>
              <w:rPr>
                <w:rFonts w:ascii="宋体" w:hAnsi="宋体" w:cs="宋体" w:eastAsia="宋体" w:hint="default"/>
                <w:sz w:val="18"/>
                <w:szCs w:val="18"/>
              </w:rPr>
              <w:t>余克俭</w:t>
            </w:r>
            <w:r>
              <w:rPr>
                <w:rFonts w:ascii="Times New Roman" w:hAnsi="Times New Roman" w:cs="Times New Roman" w:eastAsia="Times New Roman" w:hint="default"/>
                <w:sz w:val="18"/>
                <w:szCs w:val="18"/>
              </w:rPr>
              <w:t>; </w:t>
            </w:r>
            <w:r>
              <w:rPr>
                <w:rFonts w:ascii="宋体" w:hAnsi="宋体" w:cs="宋体" w:eastAsia="宋体" w:hint="default"/>
                <w:sz w:val="18"/>
                <w:szCs w:val="18"/>
              </w:rPr>
              <w:t>张大新</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both"/>
              <w:rPr>
                <w:rFonts w:ascii="宋体" w:hAnsi="宋体" w:cs="宋体" w:eastAsia="宋体" w:hint="default"/>
                <w:sz w:val="18"/>
                <w:szCs w:val="18"/>
              </w:rPr>
            </w:pPr>
            <w:r>
              <w:rPr>
                <w:rFonts w:ascii="宋体" w:hAnsi="宋体" w:cs="宋体" w:eastAsia="宋体" w:hint="default"/>
                <w:sz w:val="18"/>
                <w:szCs w:val="18"/>
              </w:rPr>
              <w:t>公司上市后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个月内如公司股票价格连续</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w:t>
            </w:r>
          </w:p>
          <w:p>
            <w:pPr>
              <w:pStyle w:val="TableParagraph"/>
              <w:spacing w:line="309" w:lineRule="auto" w:before="60"/>
              <w:ind w:left="23" w:right="48"/>
              <w:jc w:val="both"/>
              <w:rPr>
                <w:rFonts w:ascii="宋体" w:hAnsi="宋体" w:cs="宋体" w:eastAsia="宋体" w:hint="default"/>
                <w:sz w:val="18"/>
                <w:szCs w:val="18"/>
              </w:rPr>
            </w:pPr>
            <w:r>
              <w:rPr>
                <w:rFonts w:ascii="宋体" w:hAnsi="宋体" w:cs="宋体" w:eastAsia="宋体" w:hint="default"/>
                <w:sz w:val="18"/>
                <w:szCs w:val="18"/>
              </w:rPr>
              <w:t>交易日的收盘价均低于发行价，或者上市后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个月期末收盘价低于发行价，本人所持有的公 司股份的锁定期限自动延长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六个月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6018"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北京仓源启 航投资管理 中心（有限 </w:t>
            </w:r>
            <w:r>
              <w:rPr>
                <w:rFonts w:ascii="宋体" w:hAnsi="宋体" w:cs="宋体" w:eastAsia="宋体" w:hint="default"/>
                <w:spacing w:val="-3"/>
                <w:sz w:val="18"/>
                <w:szCs w:val="18"/>
              </w:rPr>
              <w:t>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r>
              <w:rPr>
                <w:rFonts w:ascii="宋体" w:hAnsi="宋体" w:cs="宋体" w:eastAsia="宋体" w:hint="default"/>
                <w:spacing w:val="-87"/>
                <w:sz w:val="18"/>
                <w:szCs w:val="18"/>
              </w:rPr>
              <w:t> </w:t>
            </w:r>
            <w:r>
              <w:rPr>
                <w:rFonts w:ascii="宋体" w:hAnsi="宋体" w:cs="宋体" w:eastAsia="宋体" w:hint="default"/>
                <w:sz w:val="18"/>
                <w:szCs w:val="18"/>
              </w:rPr>
              <w:t>方壶天地创 业投资中心</w:t>
            </w:r>
          </w:p>
          <w:p>
            <w:pPr>
              <w:pStyle w:val="TableParagraph"/>
              <w:spacing w:line="302" w:lineRule="auto" w:before="20"/>
              <w:ind w:left="23" w:right="135"/>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9"/>
                <w:sz w:val="18"/>
                <w:szCs w:val="18"/>
              </w:rPr>
              <w:t>伙）；陈基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雄</w:t>
            </w:r>
            <w:r>
              <w:rPr>
                <w:rFonts w:ascii="Times New Roman" w:hAnsi="Times New Roman" w:cs="Times New Roman" w:eastAsia="Times New Roman" w:hint="default"/>
                <w:sz w:val="18"/>
                <w:szCs w:val="18"/>
              </w:rPr>
              <w:t>;</w:t>
            </w:r>
            <w:r>
              <w:rPr>
                <w:rFonts w:ascii="宋体" w:hAnsi="宋体" w:cs="宋体" w:eastAsia="宋体" w:hint="default"/>
                <w:sz w:val="18"/>
                <w:szCs w:val="18"/>
              </w:rPr>
              <w:t>程希庆</w:t>
            </w:r>
            <w:r>
              <w:rPr>
                <w:rFonts w:ascii="Times New Roman" w:hAnsi="Times New Roman" w:cs="Times New Roman" w:eastAsia="Times New Roman" w:hint="default"/>
                <w:sz w:val="18"/>
                <w:szCs w:val="18"/>
              </w:rPr>
              <w:t>; </w:t>
            </w:r>
            <w:r>
              <w:rPr>
                <w:rFonts w:ascii="宋体" w:hAnsi="宋体" w:cs="宋体" w:eastAsia="宋体" w:hint="default"/>
                <w:sz w:val="18"/>
                <w:szCs w:val="18"/>
              </w:rPr>
              <w:t>高云燕</w:t>
            </w:r>
            <w:r>
              <w:rPr>
                <w:rFonts w:ascii="Times New Roman" w:hAnsi="Times New Roman" w:cs="Times New Roman" w:eastAsia="Times New Roman" w:hint="default"/>
                <w:sz w:val="18"/>
                <w:szCs w:val="18"/>
              </w:rPr>
              <w:t>;</w:t>
            </w:r>
            <w:r>
              <w:rPr>
                <w:rFonts w:ascii="宋体" w:hAnsi="宋体" w:cs="宋体" w:eastAsia="宋体" w:hint="default"/>
                <w:sz w:val="18"/>
                <w:szCs w:val="18"/>
              </w:rPr>
              <w:t>耿 亚琴</w:t>
            </w:r>
            <w:r>
              <w:rPr>
                <w:rFonts w:ascii="Times New Roman" w:hAnsi="Times New Roman" w:cs="Times New Roman" w:eastAsia="Times New Roman" w:hint="default"/>
                <w:sz w:val="18"/>
                <w:szCs w:val="18"/>
              </w:rPr>
              <w:t>;</w:t>
            </w:r>
            <w:r>
              <w:rPr>
                <w:rFonts w:ascii="宋体" w:hAnsi="宋体" w:cs="宋体" w:eastAsia="宋体" w:hint="default"/>
                <w:sz w:val="18"/>
                <w:szCs w:val="18"/>
              </w:rPr>
              <w:t>李敏</w:t>
            </w:r>
            <w:r>
              <w:rPr>
                <w:rFonts w:ascii="Times New Roman" w:hAnsi="Times New Roman" w:cs="Times New Roman" w:eastAsia="Times New Roman" w:hint="default"/>
                <w:sz w:val="18"/>
                <w:szCs w:val="18"/>
              </w:rPr>
              <w:t>; </w:t>
            </w:r>
            <w:r>
              <w:rPr>
                <w:rFonts w:ascii="宋体" w:hAnsi="宋体" w:cs="宋体" w:eastAsia="宋体" w:hint="default"/>
                <w:sz w:val="18"/>
                <w:szCs w:val="18"/>
              </w:rPr>
              <w:t>李小华</w:t>
            </w:r>
            <w:r>
              <w:rPr>
                <w:rFonts w:ascii="Times New Roman" w:hAnsi="Times New Roman" w:cs="Times New Roman" w:eastAsia="Times New Roman" w:hint="default"/>
                <w:sz w:val="18"/>
                <w:szCs w:val="18"/>
              </w:rPr>
              <w:t>;</w:t>
            </w:r>
            <w:r>
              <w:rPr>
                <w:rFonts w:ascii="宋体" w:hAnsi="宋体" w:cs="宋体" w:eastAsia="宋体" w:hint="default"/>
                <w:sz w:val="18"/>
                <w:szCs w:val="18"/>
              </w:rPr>
              <w:t>梁 彦英</w:t>
            </w:r>
            <w:r>
              <w:rPr>
                <w:rFonts w:ascii="Times New Roman" w:hAnsi="Times New Roman" w:cs="Times New Roman" w:eastAsia="Times New Roman" w:hint="default"/>
                <w:sz w:val="18"/>
                <w:szCs w:val="18"/>
              </w:rPr>
              <w:t>;</w:t>
            </w:r>
            <w:r>
              <w:rPr>
                <w:rFonts w:ascii="宋体" w:hAnsi="宋体" w:cs="宋体" w:eastAsia="宋体" w:hint="default"/>
                <w:sz w:val="18"/>
                <w:szCs w:val="18"/>
              </w:rPr>
              <w:t>门大 卫</w:t>
            </w:r>
            <w:r>
              <w:rPr>
                <w:rFonts w:ascii="Times New Roman" w:hAnsi="Times New Roman" w:cs="Times New Roman" w:eastAsia="Times New Roman" w:hint="default"/>
                <w:sz w:val="18"/>
                <w:szCs w:val="18"/>
              </w:rPr>
              <w:t>;</w:t>
            </w:r>
            <w:r>
              <w:rPr>
                <w:rFonts w:ascii="宋体" w:hAnsi="宋体" w:cs="宋体" w:eastAsia="宋体" w:hint="default"/>
                <w:sz w:val="18"/>
                <w:szCs w:val="18"/>
              </w:rPr>
              <w:t>王国铭</w:t>
            </w:r>
            <w:r>
              <w:rPr>
                <w:rFonts w:ascii="Times New Roman" w:hAnsi="Times New Roman" w:cs="Times New Roman" w:eastAsia="Times New Roman" w:hint="default"/>
                <w:sz w:val="18"/>
                <w:szCs w:val="18"/>
              </w:rPr>
              <w:t>; </w:t>
            </w:r>
            <w:r>
              <w:rPr>
                <w:rFonts w:ascii="宋体" w:hAnsi="宋体" w:cs="宋体" w:eastAsia="宋体" w:hint="default"/>
                <w:sz w:val="18"/>
                <w:szCs w:val="18"/>
              </w:rPr>
              <w:t>徐志强</w:t>
            </w:r>
            <w:r>
              <w:rPr>
                <w:rFonts w:ascii="Times New Roman" w:hAnsi="Times New Roman" w:cs="Times New Roman" w:eastAsia="Times New Roman" w:hint="default"/>
                <w:sz w:val="18"/>
                <w:szCs w:val="18"/>
              </w:rPr>
              <w:t>;</w:t>
            </w:r>
            <w:r>
              <w:rPr>
                <w:rFonts w:ascii="宋体" w:hAnsi="宋体" w:cs="宋体" w:eastAsia="宋体" w:hint="default"/>
                <w:sz w:val="18"/>
                <w:szCs w:val="18"/>
              </w:rPr>
              <w:t>姚 国宁</w:t>
            </w:r>
            <w:r>
              <w:rPr>
                <w:rFonts w:ascii="Times New Roman" w:hAnsi="Times New Roman" w:cs="Times New Roman" w:eastAsia="Times New Roman" w:hint="default"/>
                <w:sz w:val="18"/>
                <w:szCs w:val="18"/>
              </w:rPr>
              <w:t>;</w:t>
            </w:r>
            <w:r>
              <w:rPr>
                <w:rFonts w:ascii="宋体" w:hAnsi="宋体" w:cs="宋体" w:eastAsia="宋体" w:hint="default"/>
                <w:sz w:val="18"/>
                <w:szCs w:val="18"/>
              </w:rPr>
              <w:t>张劲 松</w:t>
            </w:r>
            <w:r>
              <w:rPr>
                <w:rFonts w:ascii="Times New Roman" w:hAnsi="Times New Roman" w:cs="Times New Roman" w:eastAsia="Times New Roman" w:hint="default"/>
                <w:sz w:val="18"/>
                <w:szCs w:val="18"/>
              </w:rPr>
              <w:t>;</w:t>
            </w:r>
            <w:r>
              <w:rPr>
                <w:rFonts w:ascii="宋体" w:hAnsi="宋体" w:cs="宋体" w:eastAsia="宋体" w:hint="default"/>
                <w:sz w:val="18"/>
                <w:szCs w:val="18"/>
              </w:rPr>
              <w:t>张立纯</w:t>
            </w:r>
            <w:r>
              <w:rPr>
                <w:rFonts w:ascii="Times New Roman" w:hAnsi="Times New Roman" w:cs="Times New Roman" w:eastAsia="Times New Roman" w:hint="default"/>
                <w:sz w:val="18"/>
                <w:szCs w:val="18"/>
              </w:rPr>
              <w:t>; </w:t>
            </w:r>
            <w:r>
              <w:rPr>
                <w:rFonts w:ascii="宋体" w:hAnsi="宋体" w:cs="宋体" w:eastAsia="宋体" w:hint="default"/>
                <w:sz w:val="18"/>
                <w:szCs w:val="18"/>
              </w:rPr>
              <w:t>赵秀成</w:t>
            </w:r>
            <w:r>
              <w:rPr>
                <w:rFonts w:ascii="Times New Roman" w:hAnsi="Times New Roman" w:cs="Times New Roman" w:eastAsia="Times New Roman" w:hint="default"/>
                <w:sz w:val="18"/>
                <w:szCs w:val="18"/>
              </w:rPr>
              <w:t>;</w:t>
            </w:r>
            <w:r>
              <w:rPr>
                <w:rFonts w:ascii="宋体" w:hAnsi="宋体" w:cs="宋体" w:eastAsia="宋体" w:hint="default"/>
                <w:sz w:val="18"/>
                <w:szCs w:val="18"/>
              </w:rPr>
              <w:t>周 湘阳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48"/>
              <w:jc w:val="both"/>
              <w:rPr>
                <w:rFonts w:ascii="宋体" w:hAnsi="宋体" w:cs="宋体" w:eastAsia="宋体" w:hint="default"/>
                <w:sz w:val="18"/>
                <w:szCs w:val="18"/>
              </w:rPr>
            </w:pPr>
            <w:r>
              <w:rPr>
                <w:rFonts w:ascii="宋体" w:hAnsi="宋体" w:cs="宋体" w:eastAsia="宋体" w:hint="default"/>
                <w:sz w:val="18"/>
                <w:szCs w:val="18"/>
              </w:rPr>
              <w:t>自新晨科技首次公开发行股票并上市之日起十 二个月内，不转让或者委托他人管理本企业本 次发行前所持有的新晨科技股份，也不由新晨 科技回购该部分股份。</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十二个月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148"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0" w:lineRule="auto"/>
              <w:ind w:left="23" w:right="185"/>
              <w:jc w:val="both"/>
              <w:rPr>
                <w:rFonts w:ascii="宋体" w:hAnsi="宋体" w:cs="宋体" w:eastAsia="宋体" w:hint="default"/>
                <w:sz w:val="18"/>
                <w:szCs w:val="18"/>
              </w:rPr>
            </w:pPr>
            <w:r>
              <w:rPr>
                <w:rFonts w:ascii="宋体" w:hAnsi="宋体" w:cs="宋体" w:eastAsia="宋体" w:hint="default"/>
                <w:sz w:val="18"/>
                <w:szCs w:val="18"/>
              </w:rPr>
              <w:t>唐若梅</w:t>
            </w:r>
            <w:r>
              <w:rPr>
                <w:rFonts w:ascii="Times New Roman" w:hAnsi="Times New Roman" w:cs="Times New Roman" w:eastAsia="Times New Roman" w:hint="default"/>
                <w:sz w:val="18"/>
                <w:szCs w:val="18"/>
              </w:rPr>
              <w:t>;</w:t>
            </w:r>
            <w:r>
              <w:rPr>
                <w:rFonts w:ascii="宋体" w:hAnsi="宋体" w:cs="宋体" w:eastAsia="宋体" w:hint="default"/>
                <w:sz w:val="18"/>
                <w:szCs w:val="18"/>
              </w:rPr>
              <w:t>杨 汉杰</w:t>
            </w:r>
            <w:r>
              <w:rPr>
                <w:rFonts w:ascii="Times New Roman" w:hAnsi="Times New Roman" w:cs="Times New Roman" w:eastAsia="Times New Roman" w:hint="default"/>
                <w:sz w:val="18"/>
                <w:szCs w:val="18"/>
              </w:rPr>
              <w:t>;</w:t>
            </w:r>
            <w:r>
              <w:rPr>
                <w:rFonts w:ascii="宋体" w:hAnsi="宋体" w:cs="宋体" w:eastAsia="宋体" w:hint="default"/>
                <w:sz w:val="18"/>
                <w:szCs w:val="18"/>
              </w:rPr>
              <w:t>余克 俭</w:t>
            </w:r>
            <w:r>
              <w:rPr>
                <w:rFonts w:ascii="Times New Roman" w:hAnsi="Times New Roman" w:cs="Times New Roman" w:eastAsia="Times New Roman" w:hint="default"/>
                <w:sz w:val="18"/>
                <w:szCs w:val="18"/>
              </w:rPr>
              <w:t>;</w:t>
            </w:r>
            <w:r>
              <w:rPr>
                <w:rFonts w:ascii="宋体" w:hAnsi="宋体" w:cs="宋体" w:eastAsia="宋体" w:hint="default"/>
                <w:sz w:val="18"/>
                <w:szCs w:val="18"/>
              </w:rPr>
              <w:t>张大新</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1"/>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自新晨科技首次公开发行股票并上市之日起 十二个月内，不转让或者委托他人管理本人本 次发行前所持有的新晨科技股份，也不由新晨 科技回购该部分股份；</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本人在新晨科技首次 公开发行股票并上市之日起六个月内申报离职 的，自申报离职之日起十八个月内不转让所持 有的新晨科技股份；</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本人在新晨科技首次公 开发行股票并上市之日起第七个月至第十二个 月之间申报离职的，自申报离职之日起十二个 月内不转让所持有的新晨科技股份；</w:t>
            </w:r>
            <w:r>
              <w:rPr>
                <w:rFonts w:ascii="Times New Roman" w:hAnsi="Times New Roman" w:cs="Times New Roman" w:eastAsia="Times New Roman" w:hint="default"/>
                <w:sz w:val="18"/>
                <w:szCs w:val="18"/>
              </w:rPr>
              <w:t>4.</w:t>
            </w:r>
            <w:r>
              <w:rPr>
                <w:rFonts w:ascii="宋体" w:hAnsi="宋体" w:cs="宋体" w:eastAsia="宋体" w:hint="default"/>
                <w:sz w:val="18"/>
                <w:szCs w:val="18"/>
              </w:rPr>
              <w:t>本人在 新晨科技首次公开发行股票并上市之日起十二 个月以后申报离职的，在申报离职之日起半年 内，不转让所持有的新晨科技股份。</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十二个月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986"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汤金资</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6"/>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关于利润分配政策的承诺：新晨科技股份有限 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日发布的《上市公司监管指引第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因董事会换 </w:t>
            </w:r>
            <w:r>
              <w:rPr>
                <w:rFonts w:ascii="宋体" w:hAnsi="宋体" w:cs="宋体" w:eastAsia="宋体" w:hint="default"/>
                <w:spacing w:val="-13"/>
                <w:sz w:val="18"/>
                <w:szCs w:val="18"/>
              </w:rPr>
              <w:t>届选举，第八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届董事会独</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91.007019pt;margin-top:453.409973pt;width:48.3pt;height:156.050pt;mso-position-horizontal-relative:page;mso-position-vertical-relative:page;z-index:-8336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pict>
          <v:shape style="position:absolute;margin-left:56.459999pt;margin-top:71.999985pt;width:479.1pt;height:696.5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991"/>
                    <w:gridCol w:w="853"/>
                    <w:gridCol w:w="3684"/>
                    <w:gridCol w:w="853"/>
                    <w:gridCol w:w="850"/>
                    <w:gridCol w:w="1061"/>
                  </w:tblGrid>
                  <w:tr>
                    <w:trPr>
                      <w:trHeight w:val="320"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29"/>
                          <w:jc w:val="left"/>
                          <w:rPr>
                            <w:rFonts w:ascii="宋体" w:hAnsi="宋体" w:cs="宋体" w:eastAsia="宋体" w:hint="default"/>
                            <w:sz w:val="18"/>
                            <w:szCs w:val="18"/>
                          </w:rPr>
                        </w:pPr>
                        <w:r>
                          <w:rPr>
                            <w:rFonts w:ascii="宋体" w:hAnsi="宋体" w:cs="宋体" w:eastAsia="宋体" w:hint="default"/>
                            <w:sz w:val="18"/>
                            <w:szCs w:val="18"/>
                          </w:rPr>
                          <w:t>公司现金分红</w:t>
                        </w:r>
                        <w:r>
                          <w:rPr>
                            <w:rFonts w:ascii="宋体" w:hAnsi="宋体" w:cs="宋体" w:eastAsia="宋体" w:hint="default"/>
                            <w:spacing w:val="-92"/>
                            <w:sz w:val="18"/>
                            <w:szCs w:val="18"/>
                          </w:rPr>
                          <w:t>》</w:t>
                        </w:r>
                        <w:r>
                          <w:rPr>
                            <w:rFonts w:ascii="宋体" w:hAnsi="宋体" w:cs="宋体" w:eastAsia="宋体" w:hint="default"/>
                            <w:sz w:val="18"/>
                            <w:szCs w:val="18"/>
                          </w:rPr>
                          <w:t>（中国证监会</w:t>
                        </w:r>
                        <w:r>
                          <w:rPr>
                            <w:rFonts w:ascii="宋体" w:hAnsi="宋体" w:cs="宋体" w:eastAsia="宋体" w:hint="default"/>
                            <w:spacing w:val="2"/>
                            <w:sz w:val="18"/>
                            <w:szCs w:val="18"/>
                          </w:rPr>
                          <w:t>公</w:t>
                        </w:r>
                        <w:r>
                          <w:rPr>
                            <w:rFonts w:ascii="宋体" w:hAnsi="宋体" w:cs="宋体" w:eastAsia="宋体" w:hint="default"/>
                            <w:sz w:val="18"/>
                            <w:szCs w:val="18"/>
                          </w:rPr>
                          <w:t>告</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tc>
                    <w:tc>
                      <w:tcPr>
                        <w:tcW w:w="850"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立董事汤金</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0"/>
                            <w:sz w:val="18"/>
                            <w:szCs w:val="18"/>
                          </w:rPr>
                          <w:t>对</w:t>
                        </w:r>
                        <w:r>
                          <w:rPr>
                            <w:rFonts w:ascii="宋体" w:hAnsi="宋体" w:cs="宋体" w:eastAsia="宋体" w:hint="default"/>
                            <w:sz w:val="18"/>
                            <w:szCs w:val="18"/>
                          </w:rPr>
                          <w:t>《新晨科技股份有限公司章</w:t>
                        </w:r>
                        <w:r>
                          <w:rPr>
                            <w:rFonts w:ascii="宋体" w:hAnsi="宋体" w:cs="宋体" w:eastAsia="宋体" w:hint="default"/>
                            <w:spacing w:val="-20"/>
                            <w:sz w:val="18"/>
                            <w:szCs w:val="18"/>
                          </w:rPr>
                          <w:t>程</w:t>
                        </w: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中的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资女士在第</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利润分配政策（包括现金分红政策）进行了修</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八届董事会</w:t>
                        </w: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5"/>
                            <w:sz w:val="18"/>
                            <w:szCs w:val="18"/>
                          </w:rPr>
                          <w:t>改，并于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年第一次临时股东大会审议通过</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任职届满后</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了《关于修订公司首次公开发行人民币普通股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不再担任公</w:t>
                        </w: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股票并在创业板上市后适用的</w:t>
                        </w:r>
                        <w:r>
                          <w:rPr>
                            <w:rFonts w:ascii="Times New Roman" w:hAnsi="Times New Roman" w:cs="Times New Roman" w:eastAsia="Times New Roman" w:hint="default"/>
                            <w:sz w:val="18"/>
                            <w:szCs w:val="18"/>
                          </w:rPr>
                          <w:t>&lt;</w:t>
                        </w:r>
                        <w:r>
                          <w:rPr>
                            <w:rFonts w:ascii="宋体" w:hAnsi="宋体" w:cs="宋体" w:eastAsia="宋体" w:hint="default"/>
                            <w:sz w:val="18"/>
                            <w:szCs w:val="18"/>
                          </w:rPr>
                          <w:t>新晨科技股份</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司独立董事</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有限公司章程（草案）</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。作为公司的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及董事会专</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董事，本人承诺将从维护中小投资者利益的角</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门委员会职</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8"/>
                            <w:sz w:val="18"/>
                            <w:szCs w:val="18"/>
                          </w:rPr>
                          <w:t>度，根据《新晨科技股份有限公司章程（草案）</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75"/>
                            <w:sz w:val="18"/>
                            <w:szCs w:val="18"/>
                          </w:rPr>
                          <w:t>，</w:t>
                        </w:r>
                        <w:r>
                          <w:rPr>
                            <w:rFonts w:ascii="宋体" w:hAnsi="宋体" w:cs="宋体" w:eastAsia="宋体" w:hint="default"/>
                            <w:sz w:val="18"/>
                            <w:szCs w:val="18"/>
                          </w:rPr>
                          <w:t>也</w:t>
                        </w:r>
                        <w:r>
                          <w:rPr>
                            <w:rFonts w:ascii="宋体" w:hAnsi="宋体" w:cs="宋体" w:eastAsia="宋体" w:hint="default"/>
                            <w:spacing w:val="-1"/>
                            <w:sz w:val="18"/>
                            <w:szCs w:val="18"/>
                          </w:rPr>
                          <w:t>不</w:t>
                        </w:r>
                        <w:r>
                          <w:rPr>
                            <w:rFonts w:ascii="宋体" w:hAnsi="宋体" w:cs="宋体" w:eastAsia="宋体" w:hint="default"/>
                            <w:sz w:val="18"/>
                            <w:szCs w:val="18"/>
                          </w:rPr>
                          <w:t>担任</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中规定的利润分配政策（包括现金分红政策）</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公司任何职</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在相关董事会上进行投票表决。</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75"/>
                            <w:sz w:val="18"/>
                            <w:szCs w:val="18"/>
                          </w:rPr>
                          <w:t>。</w:t>
                        </w:r>
                        <w:r>
                          <w:rPr>
                            <w:rFonts w:ascii="宋体" w:hAnsi="宋体" w:cs="宋体" w:eastAsia="宋体" w:hint="default"/>
                            <w:sz w:val="18"/>
                            <w:szCs w:val="18"/>
                          </w:rPr>
                          <w:t>即此承诺</w:t>
                        </w: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56"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何育松先生</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周嘉嘉女士</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因个人原因</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辞去第八届</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关于利润分配政策的承诺：新晨科技股份有限</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监事会监事</w:t>
                        </w: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pacing w:val="-75"/>
                            <w:sz w:val="18"/>
                            <w:szCs w:val="18"/>
                          </w:rPr>
                          <w:t>，</w:t>
                        </w:r>
                        <w:r>
                          <w:rPr>
                            <w:rFonts w:ascii="宋体" w:hAnsi="宋体" w:cs="宋体" w:eastAsia="宋体" w:hint="default"/>
                            <w:sz w:val="18"/>
                            <w:szCs w:val="18"/>
                          </w:rPr>
                          <w:t>辞职后</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日发布的《上市公司监管指引第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仍在公司任</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29"/>
                          <w:jc w:val="left"/>
                          <w:rPr>
                            <w:rFonts w:ascii="宋体" w:hAnsi="宋体" w:cs="宋体" w:eastAsia="宋体" w:hint="default"/>
                            <w:sz w:val="18"/>
                            <w:szCs w:val="18"/>
                          </w:rPr>
                        </w:pPr>
                        <w:r>
                          <w:rPr>
                            <w:rFonts w:ascii="宋体" w:hAnsi="宋体" w:cs="宋体" w:eastAsia="宋体" w:hint="default"/>
                            <w:sz w:val="18"/>
                            <w:szCs w:val="18"/>
                          </w:rPr>
                          <w:t>公司现金分红</w:t>
                        </w:r>
                        <w:r>
                          <w:rPr>
                            <w:rFonts w:ascii="宋体" w:hAnsi="宋体" w:cs="宋体" w:eastAsia="宋体" w:hint="default"/>
                            <w:spacing w:val="-92"/>
                            <w:sz w:val="18"/>
                            <w:szCs w:val="18"/>
                          </w:rPr>
                          <w:t>》</w:t>
                        </w:r>
                        <w:r>
                          <w:rPr>
                            <w:rFonts w:ascii="宋体" w:hAnsi="宋体" w:cs="宋体" w:eastAsia="宋体" w:hint="default"/>
                            <w:sz w:val="18"/>
                            <w:szCs w:val="18"/>
                          </w:rPr>
                          <w:t>（中国证监会</w:t>
                        </w:r>
                        <w:r>
                          <w:rPr>
                            <w:rFonts w:ascii="宋体" w:hAnsi="宋体" w:cs="宋体" w:eastAsia="宋体" w:hint="default"/>
                            <w:spacing w:val="2"/>
                            <w:sz w:val="18"/>
                            <w:szCs w:val="18"/>
                          </w:rPr>
                          <w:t>公</w:t>
                        </w:r>
                        <w:r>
                          <w:rPr>
                            <w:rFonts w:ascii="宋体" w:hAnsi="宋体" w:cs="宋体" w:eastAsia="宋体" w:hint="default"/>
                            <w:sz w:val="18"/>
                            <w:szCs w:val="18"/>
                          </w:rPr>
                          <w:t>告</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pacing w:val="-75"/>
                            <w:sz w:val="18"/>
                            <w:szCs w:val="18"/>
                          </w:rPr>
                          <w:t>。</w:t>
                        </w:r>
                        <w:r>
                          <w:rPr>
                            <w:rFonts w:ascii="宋体" w:hAnsi="宋体" w:cs="宋体" w:eastAsia="宋体" w:hint="default"/>
                            <w:sz w:val="18"/>
                            <w:szCs w:val="18"/>
                          </w:rPr>
                          <w:t>因监事会</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0"/>
                            <w:sz w:val="18"/>
                            <w:szCs w:val="18"/>
                          </w:rPr>
                          <w:t>对</w:t>
                        </w:r>
                        <w:r>
                          <w:rPr>
                            <w:rFonts w:ascii="宋体" w:hAnsi="宋体" w:cs="宋体" w:eastAsia="宋体" w:hint="default"/>
                            <w:sz w:val="18"/>
                            <w:szCs w:val="18"/>
                          </w:rPr>
                          <w:t>《新晨科技股份有限公司章</w:t>
                        </w:r>
                        <w:r>
                          <w:rPr>
                            <w:rFonts w:ascii="宋体" w:hAnsi="宋体" w:cs="宋体" w:eastAsia="宋体" w:hint="default"/>
                            <w:spacing w:val="-20"/>
                            <w:sz w:val="18"/>
                            <w:szCs w:val="18"/>
                          </w:rPr>
                          <w:t>程</w:t>
                        </w: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中的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换届选举</w:t>
                        </w:r>
                        <w:r>
                          <w:rPr>
                            <w:rFonts w:ascii="宋体" w:hAnsi="宋体" w:cs="宋体" w:eastAsia="宋体" w:hint="default"/>
                            <w:spacing w:val="-75"/>
                            <w:sz w:val="18"/>
                            <w:szCs w:val="18"/>
                          </w:rPr>
                          <w:t>，</w:t>
                        </w:r>
                        <w:r>
                          <w:rPr>
                            <w:rFonts w:ascii="宋体" w:hAnsi="宋体" w:cs="宋体" w:eastAsia="宋体" w:hint="default"/>
                            <w:sz w:val="18"/>
                            <w:szCs w:val="18"/>
                          </w:rPr>
                          <w:t>第</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利润分配政策（包括现金分红政策）进行了修</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八届监事会</w:t>
                        </w:r>
                      </w:p>
                    </w:tc>
                  </w:tr>
                  <w:tr>
                    <w:trPr>
                      <w:trHeight w:val="629"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185"/>
                          <w:jc w:val="left"/>
                          <w:rPr>
                            <w:rFonts w:ascii="宋体" w:hAnsi="宋体" w:cs="宋体" w:eastAsia="宋体" w:hint="default"/>
                            <w:sz w:val="18"/>
                            <w:szCs w:val="18"/>
                          </w:rPr>
                        </w:pPr>
                        <w:r>
                          <w:rPr>
                            <w:rFonts w:ascii="宋体" w:hAnsi="宋体" w:cs="宋体" w:eastAsia="宋体" w:hint="default"/>
                            <w:sz w:val="18"/>
                            <w:szCs w:val="18"/>
                          </w:rPr>
                          <w:t>何育松</w:t>
                        </w:r>
                        <w:r>
                          <w:rPr>
                            <w:rFonts w:ascii="Times New Roman" w:hAnsi="Times New Roman" w:cs="Times New Roman" w:eastAsia="Times New Roman" w:hint="default"/>
                            <w:sz w:val="18"/>
                            <w:szCs w:val="18"/>
                          </w:rPr>
                          <w:t>;</w:t>
                        </w:r>
                        <w:r>
                          <w:rPr>
                            <w:rFonts w:ascii="宋体" w:hAnsi="宋体" w:cs="宋体" w:eastAsia="宋体" w:hint="default"/>
                            <w:sz w:val="18"/>
                            <w:szCs w:val="18"/>
                          </w:rPr>
                          <w:t>周 嘉嘉</w:t>
                        </w:r>
                        <w:r>
                          <w:rPr>
                            <w:rFonts w:ascii="Times New Roman" w:hAnsi="Times New Roman" w:cs="Times New Roman" w:eastAsia="Times New Roman" w:hint="default"/>
                            <w:sz w:val="18"/>
                            <w:szCs w:val="18"/>
                          </w:rPr>
                          <w:t>;</w:t>
                        </w:r>
                        <w:r>
                          <w:rPr>
                            <w:rFonts w:ascii="宋体" w:hAnsi="宋体" w:cs="宋体" w:eastAsia="宋体" w:hint="default"/>
                            <w:sz w:val="18"/>
                            <w:szCs w:val="18"/>
                          </w:rPr>
                          <w:t>李亮</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19"/>
                          <w:jc w:val="left"/>
                          <w:rPr>
                            <w:rFonts w:ascii="宋体" w:hAnsi="宋体" w:cs="宋体" w:eastAsia="宋体" w:hint="default"/>
                            <w:sz w:val="18"/>
                            <w:szCs w:val="18"/>
                          </w:rPr>
                        </w:pPr>
                        <w:r>
                          <w:rPr>
                            <w:rFonts w:ascii="宋体" w:hAnsi="宋体" w:cs="宋体" w:eastAsia="宋体" w:hint="default"/>
                            <w:spacing w:val="-15"/>
                            <w:sz w:val="18"/>
                            <w:szCs w:val="18"/>
                          </w:rPr>
                          <w:t>改，并于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 了《关于修订公司首次公开发行人民币普通股</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5"/>
                          <w:jc w:val="left"/>
                          <w:rPr>
                            <w:rFonts w:ascii="宋体" w:hAnsi="宋体" w:cs="宋体" w:eastAsia="宋体" w:hint="default"/>
                            <w:sz w:val="18"/>
                            <w:szCs w:val="18"/>
                          </w:rPr>
                        </w:pPr>
                        <w:r>
                          <w:rPr>
                            <w:rFonts w:ascii="宋体" w:hAnsi="宋体" w:cs="宋体" w:eastAsia="宋体" w:hint="default"/>
                            <w:sz w:val="18"/>
                            <w:szCs w:val="18"/>
                          </w:rPr>
                          <w:t>非职工代表 监事李亮先</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股票并在创业板上市后适用的</w:t>
                        </w:r>
                        <w:r>
                          <w:rPr>
                            <w:rFonts w:ascii="Times New Roman" w:hAnsi="Times New Roman" w:cs="Times New Roman" w:eastAsia="Times New Roman" w:hint="default"/>
                            <w:sz w:val="18"/>
                            <w:szCs w:val="18"/>
                          </w:rPr>
                          <w:t>&lt;</w:t>
                        </w:r>
                        <w:r>
                          <w:rPr>
                            <w:rFonts w:ascii="宋体" w:hAnsi="宋体" w:cs="宋体" w:eastAsia="宋体" w:hint="default"/>
                            <w:sz w:val="18"/>
                            <w:szCs w:val="18"/>
                          </w:rPr>
                          <w:t>新晨科技股份</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生在第八届</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有限公司章程（草案）</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。作为公司的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监事会任期</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监事，本人承诺将从维护中小投资者利益的角</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届满后不再</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8"/>
                            <w:sz w:val="18"/>
                            <w:szCs w:val="18"/>
                          </w:rPr>
                          <w:t>度，根据《新晨科技股份有限公司章程（草案）</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担任非职工</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中规定的利润分配政策（包括现金分红政策）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代表监事职</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在相关监事会上进行投票表决。</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75"/>
                            <w:sz w:val="18"/>
                            <w:szCs w:val="18"/>
                          </w:rPr>
                          <w:t>，</w:t>
                        </w:r>
                        <w:r>
                          <w:rPr>
                            <w:rFonts w:ascii="宋体" w:hAnsi="宋体" w:cs="宋体" w:eastAsia="宋体" w:hint="default"/>
                            <w:sz w:val="18"/>
                            <w:szCs w:val="18"/>
                          </w:rPr>
                          <w:t>也不担任</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公司任何职</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75"/>
                            <w:sz w:val="18"/>
                            <w:szCs w:val="18"/>
                          </w:rPr>
                          <w:t>。</w:t>
                        </w:r>
                        <w:r>
                          <w:rPr>
                            <w:rFonts w:ascii="宋体" w:hAnsi="宋体" w:cs="宋体" w:eastAsia="宋体" w:hint="default"/>
                            <w:sz w:val="18"/>
                            <w:szCs w:val="18"/>
                          </w:rPr>
                          <w:t>即此承诺</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三人均已履</w:t>
                        </w: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行完毕。</w:t>
                        </w: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自新晨科技首次公开发行股票并上市之日起</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三十六个月内，不转让或者委托他人管理本人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本次发行前所持有的新晨科技股份，也不由新</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晨科技回购该部分股份；</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本人在新晨科技首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3" w:right="185"/>
                          <w:jc w:val="left"/>
                          <w:rPr>
                            <w:rFonts w:ascii="宋体" w:hAnsi="宋体" w:cs="宋体" w:eastAsia="宋体" w:hint="default"/>
                            <w:sz w:val="18"/>
                            <w:szCs w:val="18"/>
                          </w:rPr>
                        </w:pP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 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张燕生</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3" w:right="48"/>
                          <w:jc w:val="left"/>
                          <w:rPr>
                            <w:rFonts w:ascii="宋体" w:hAnsi="宋体" w:cs="宋体" w:eastAsia="宋体" w:hint="default"/>
                            <w:sz w:val="18"/>
                            <w:szCs w:val="18"/>
                          </w:rPr>
                        </w:pPr>
                        <w:r>
                          <w:rPr>
                            <w:rFonts w:ascii="宋体" w:hAnsi="宋体" w:cs="宋体" w:eastAsia="宋体" w:hint="default"/>
                            <w:sz w:val="18"/>
                            <w:szCs w:val="18"/>
                          </w:rPr>
                          <w:t>次公开发行股票并上市之日起六个月内申报离 职的，自申报离职之日起十八个月内不转让所</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三十六个 月</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持有的新晨科技股份；</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本人在新晨科技首次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公开发行股票并上市之日起第七个月至第十二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个月之间申报离职的，自申报离职之日起十二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个月内不转让所持有的新晨科技股份；</w:t>
                        </w:r>
                        <w:r>
                          <w:rPr>
                            <w:rFonts w:ascii="Times New Roman" w:hAnsi="Times New Roman" w:cs="Times New Roman" w:eastAsia="Times New Roman" w:hint="default"/>
                            <w:sz w:val="18"/>
                            <w:szCs w:val="18"/>
                          </w:rPr>
                          <w:t>4.</w:t>
                        </w:r>
                        <w:r>
                          <w:rPr>
                            <w:rFonts w:ascii="宋体" w:hAnsi="宋体" w:cs="宋体" w:eastAsia="宋体" w:hint="default"/>
                            <w:sz w:val="18"/>
                            <w:szCs w:val="18"/>
                          </w:rPr>
                          <w:t>本人</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3"/>
        <w:rPr>
          <w:rFonts w:ascii="Times New Roman" w:hAnsi="Times New Roman" w:cs="Times New Roman" w:eastAsia="Times New Roman" w:hint="default"/>
          <w:sz w:val="13"/>
          <w:szCs w:val="13"/>
        </w:rPr>
      </w:pPr>
    </w:p>
    <w:p>
      <w:pPr>
        <w:spacing w:line="3785" w:lineRule="exact"/>
        <w:ind w:left="696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pict>
          <v:group style="width:42.05pt;height:189.3pt;mso-position-horizontal-relative:char;mso-position-vertical-relative:line" coordorigin="0,0" coordsize="841,3786">
            <v:group style="position:absolute;left:0;top:0;width:841;height:3786" coordorigin="0,0" coordsize="841,3786">
              <v:shape style="position:absolute;left:0;top:0;width:841;height:3786" coordorigin="0,0" coordsize="841,3786" path="m0,3785l840,3785,840,0,0,0,0,3785xe" filled="true" fillcolor="#ffffff" stroked="false">
                <v:path arrowok="t"/>
                <v:fill type="solid"/>
              </v:shape>
            </v:group>
          </v:group>
        </w:pict>
      </w:r>
      <w:r>
        <w:rPr>
          <w:rFonts w:ascii="Times New Roman" w:hAnsi="Times New Roman" w:cs="Times New Roman" w:eastAsia="Times New Roman" w:hint="default"/>
          <w:position w:val="-75"/>
          <w:sz w:val="20"/>
          <w:szCs w:val="20"/>
        </w:rPr>
      </w:r>
    </w:p>
    <w:p>
      <w:pPr>
        <w:pStyle w:val="BodyText"/>
        <w:spacing w:line="240" w:lineRule="auto" w:before="58"/>
        <w:ind w:left="0" w:right="175"/>
        <w:jc w:val="right"/>
      </w:pPr>
      <w:r>
        <w:rPr/>
        <w:pict>
          <v:shape style="position:absolute;margin-left:391.007019pt;margin-top:-189.288284pt;width:48.3pt;height:189.3pt;mso-position-horizontal-relative:page;mso-position-vertical-relative:paragraph;z-index:-8336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9"/>
                    <w:ind w:left="0" w:right="0"/>
                    <w:jc w:val="left"/>
                  </w:pPr>
                  <w:r>
                    <w:rPr/>
                    <w:t>》</w:t>
                  </w: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7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line="3120" w:lineRule="exact"/>
        <w:ind w:left="6965" w:right="0" w:firstLine="0"/>
        <w:rPr>
          <w:rFonts w:ascii="宋体" w:hAnsi="宋体" w:cs="宋体" w:eastAsia="宋体" w:hint="default"/>
          <w:sz w:val="20"/>
          <w:szCs w:val="20"/>
        </w:rPr>
      </w:pPr>
      <w:r>
        <w:rPr>
          <w:rFonts w:ascii="宋体" w:hAnsi="宋体" w:cs="宋体" w:eastAsia="宋体" w:hint="default"/>
          <w:position w:val="-61"/>
          <w:sz w:val="20"/>
          <w:szCs w:val="20"/>
        </w:rPr>
        <w:pict>
          <v:group style="width:42.05pt;height:156.050pt;mso-position-horizontal-relative:char;mso-position-vertical-relative:line" coordorigin="0,0" coordsize="841,3121">
            <v:group style="position:absolute;left:0;top:0;width:841;height:3121" coordorigin="0,0" coordsize="841,3121">
              <v:shape style="position:absolute;left:0;top:0;width:841;height:3121" coordorigin="0,0" coordsize="841,3121" path="m0,3120l840,3120,840,0,0,0,0,3120xe" filled="true" fillcolor="#ffffff" stroked="false">
                <v:path arrowok="t"/>
                <v:fill type="solid"/>
              </v:shape>
            </v:group>
          </v:group>
        </w:pict>
      </w:r>
      <w:r>
        <w:rPr>
          <w:rFonts w:ascii="宋体" w:hAnsi="宋体" w:cs="宋体" w:eastAsia="宋体" w:hint="default"/>
          <w:position w:val="-61"/>
          <w:sz w:val="20"/>
          <w:szCs w:val="20"/>
        </w:rPr>
      </w:r>
    </w:p>
    <w:p>
      <w:pPr>
        <w:spacing w:after="0" w:line="3120" w:lineRule="exact"/>
        <w:rPr>
          <w:rFonts w:ascii="宋体" w:hAnsi="宋体" w:cs="宋体" w:eastAsia="宋体" w:hint="default"/>
          <w:sz w:val="20"/>
          <w:szCs w:val="20"/>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19.132996pt;margin-top:188.669983pt;width:120.2pt;height:124.85pt;mso-position-horizontal-relative:page;mso-position-vertical-relative:page;z-index:-8335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3"/>
                      <w:szCs w:val="23"/>
                    </w:rPr>
                  </w:pPr>
                </w:p>
                <w:p>
                  <w:pPr>
                    <w:pStyle w:val="BodyText"/>
                    <w:spacing w:line="240" w:lineRule="auto"/>
                    <w:ind w:left="0" w:right="0"/>
                    <w:jc w:val="left"/>
                  </w:pPr>
                  <w:r>
                    <w:rPr/>
                    <w:t>发行价格相应调整。</w:t>
                  </w:r>
                </w:p>
              </w:txbxContent>
            </v:textbox>
            <w10:wrap type="none"/>
          </v:shape>
        </w:pict>
      </w:r>
      <w:r>
        <w:rPr/>
        <w:pict>
          <v:group style="position:absolute;margin-left:397.269989pt;margin-top:188.669983pt;width:42.05pt;height:124.85pt;mso-position-horizontal-relative:page;mso-position-vertical-relative:page;z-index:-833536" coordorigin="7945,3773" coordsize="841,2497">
            <v:shape style="position:absolute;left:7945;top:3773;width:841;height:2497" coordorigin="7945,3773" coordsize="841,2497" path="m7945,6270l8786,6270,8786,3773,7945,3773,7945,627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853"/>
        <w:gridCol w:w="850"/>
        <w:gridCol w:w="1061"/>
      </w:tblGrid>
      <w:tr>
        <w:trPr>
          <w:trHeight w:val="315"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在新晨科技首次公开发行股票并上市之日起十</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二个月以后申报离职的，在申报离职之日起半</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年内，不转让所持有的新晨科技股份。</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自新晨科技首次公开发行股票并上市之日起三</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185"/>
              <w:jc w:val="left"/>
              <w:rPr>
                <w:rFonts w:ascii="宋体" w:hAnsi="宋体" w:cs="宋体" w:eastAsia="宋体" w:hint="default"/>
                <w:sz w:val="18"/>
                <w:szCs w:val="18"/>
              </w:rPr>
            </w:pPr>
            <w:r>
              <w:rPr>
                <w:rFonts w:ascii="宋体" w:hAnsi="宋体" w:cs="宋体" w:eastAsia="宋体" w:hint="default"/>
                <w:sz w:val="18"/>
                <w:szCs w:val="18"/>
              </w:rPr>
              <w:t>蒋琳华</w:t>
            </w:r>
            <w:r>
              <w:rPr>
                <w:rFonts w:ascii="Times New Roman" w:hAnsi="Times New Roman" w:cs="Times New Roman" w:eastAsia="Times New Roman" w:hint="default"/>
                <w:sz w:val="18"/>
                <w:szCs w:val="18"/>
              </w:rPr>
              <w:t>;</w:t>
            </w:r>
            <w:r>
              <w:rPr>
                <w:rFonts w:ascii="宋体" w:hAnsi="宋体" w:cs="宋体" w:eastAsia="宋体" w:hint="default"/>
                <w:sz w:val="18"/>
                <w:szCs w:val="18"/>
              </w:rPr>
              <w:t>徐 连平</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48"/>
              <w:jc w:val="left"/>
              <w:rPr>
                <w:rFonts w:ascii="宋体" w:hAnsi="宋体" w:cs="宋体" w:eastAsia="宋体" w:hint="default"/>
                <w:sz w:val="18"/>
                <w:szCs w:val="18"/>
              </w:rPr>
            </w:pPr>
            <w:r>
              <w:rPr>
                <w:rFonts w:ascii="宋体" w:hAnsi="宋体" w:cs="宋体" w:eastAsia="宋体" w:hint="default"/>
                <w:sz w:val="18"/>
                <w:szCs w:val="18"/>
              </w:rPr>
              <w:t>十六个月内，不转让或者委托他人管理本人本 次发行前所持有的新晨科技股份，也不由新晨</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5"/>
              <w:jc w:val="left"/>
              <w:rPr>
                <w:rFonts w:ascii="宋体" w:hAnsi="宋体" w:cs="宋体" w:eastAsia="宋体" w:hint="default"/>
                <w:sz w:val="18"/>
                <w:szCs w:val="18"/>
              </w:rPr>
            </w:pPr>
            <w:r>
              <w:rPr>
                <w:rFonts w:ascii="宋体" w:hAnsi="宋体" w:cs="宋体" w:eastAsia="宋体" w:hint="default"/>
                <w:sz w:val="18"/>
                <w:szCs w:val="18"/>
              </w:rPr>
              <w:t>三十六个 月</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53"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科技回购该部分股份</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自新晨科技首次公开发行股票并上市起三十</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六个月后，在任职期间每年转让的股份不超过</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本人所持有新晨科技股份总数的百分之二十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本人所持有的公司股份在锁定期满后两</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年内依法减持的，减持价格不低于发行价。如</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自首次公开发行股票至上述减持公告之日公司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发生过除权除息等事项的，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在不丧失对公司的控制地位、不违反本人已</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185"/>
              <w:jc w:val="left"/>
              <w:rPr>
                <w:rFonts w:ascii="宋体" w:hAnsi="宋体" w:cs="宋体" w:eastAsia="宋体" w:hint="default"/>
                <w:sz w:val="18"/>
                <w:szCs w:val="18"/>
              </w:rPr>
            </w:pP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 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张燕生</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9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48"/>
              <w:jc w:val="left"/>
              <w:rPr>
                <w:rFonts w:ascii="宋体" w:hAnsi="宋体" w:cs="宋体" w:eastAsia="宋体" w:hint="default"/>
                <w:sz w:val="18"/>
                <w:szCs w:val="18"/>
              </w:rPr>
            </w:pPr>
            <w:r>
              <w:rPr>
                <w:rFonts w:ascii="宋体" w:hAnsi="宋体" w:cs="宋体" w:eastAsia="宋体" w:hint="default"/>
                <w:sz w:val="18"/>
                <w:szCs w:val="18"/>
              </w:rPr>
              <w:t>作出的相关承诺并符合法律法规及相关规定的 前提下，本人所持公司股份锁定期届满后两年</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内，每年减持数量不超过上一年末所持股份数</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量的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，减持价格不低于发行价。如自首次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公开发行股票至上述减持公告之日公司发生过</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除权除息等事项的，发行价格相应调整。减持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行为将通过竞价交易以及大宗交易的方式进</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行。每次减持时，将提前三个交易日通知公司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公告本次减持的数量、减持价格区间、减持时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间区间等。</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本人将在所持股份锁定期满后两年内进行股份</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减持，每年减持数量不超过上一年末所持股份</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数量的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，减持价格不低于发行价。如自首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161"/>
              <w:ind w:left="23" w:right="185"/>
              <w:jc w:val="left"/>
              <w:rPr>
                <w:rFonts w:ascii="宋体" w:hAnsi="宋体" w:cs="宋体" w:eastAsia="宋体" w:hint="default"/>
                <w:sz w:val="18"/>
                <w:szCs w:val="18"/>
              </w:rPr>
            </w:pPr>
            <w:r>
              <w:rPr>
                <w:rFonts w:ascii="宋体" w:hAnsi="宋体" w:cs="宋体" w:eastAsia="宋体" w:hint="default"/>
                <w:sz w:val="18"/>
                <w:szCs w:val="18"/>
              </w:rPr>
              <w:t>蒋琳华</w:t>
            </w:r>
            <w:r>
              <w:rPr>
                <w:rFonts w:ascii="Times New Roman" w:hAnsi="Times New Roman" w:cs="Times New Roman" w:eastAsia="Times New Roman" w:hint="default"/>
                <w:sz w:val="18"/>
                <w:szCs w:val="18"/>
              </w:rPr>
              <w:t>;</w:t>
            </w:r>
            <w:r>
              <w:rPr>
                <w:rFonts w:ascii="宋体" w:hAnsi="宋体" w:cs="宋体" w:eastAsia="宋体" w:hint="default"/>
                <w:sz w:val="18"/>
                <w:szCs w:val="18"/>
              </w:rPr>
              <w:t>徐 连平</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48"/>
              <w:jc w:val="both"/>
              <w:rPr>
                <w:rFonts w:ascii="宋体" w:hAnsi="宋体" w:cs="宋体" w:eastAsia="宋体" w:hint="default"/>
                <w:sz w:val="18"/>
                <w:szCs w:val="18"/>
              </w:rPr>
            </w:pPr>
            <w:r>
              <w:rPr>
                <w:rFonts w:ascii="宋体" w:hAnsi="宋体" w:cs="宋体" w:eastAsia="宋体" w:hint="default"/>
                <w:sz w:val="18"/>
                <w:szCs w:val="18"/>
              </w:rPr>
              <w:t>次公开发行股票至上述减持公告之日公司发生 过除权除息等事项的，发行价格相应调整。减 持行为将通过竞价交易以及大宗交易的方式进</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行。每次减持时，将提前三个交易日通知公司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公告本次减持的数量、减持价格区间、减持时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间区间等。</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自新晨科技首次公开发行股票并上市之日起</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十二个月后，在任职期间每年转让的股份不超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185"/>
              <w:jc w:val="both"/>
              <w:rPr>
                <w:rFonts w:ascii="宋体" w:hAnsi="宋体" w:cs="宋体" w:eastAsia="宋体" w:hint="default"/>
                <w:sz w:val="18"/>
                <w:szCs w:val="18"/>
              </w:rPr>
            </w:pPr>
            <w:r>
              <w:rPr>
                <w:rFonts w:ascii="宋体" w:hAnsi="宋体" w:cs="宋体" w:eastAsia="宋体" w:hint="default"/>
                <w:sz w:val="18"/>
                <w:szCs w:val="18"/>
              </w:rPr>
              <w:t>唐若梅</w:t>
            </w:r>
            <w:r>
              <w:rPr>
                <w:rFonts w:ascii="Times New Roman" w:hAnsi="Times New Roman" w:cs="Times New Roman" w:eastAsia="Times New Roman" w:hint="default"/>
                <w:sz w:val="18"/>
                <w:szCs w:val="18"/>
              </w:rPr>
              <w:t>;</w:t>
            </w:r>
            <w:r>
              <w:rPr>
                <w:rFonts w:ascii="宋体" w:hAnsi="宋体" w:cs="宋体" w:eastAsia="宋体" w:hint="default"/>
                <w:sz w:val="18"/>
                <w:szCs w:val="18"/>
              </w:rPr>
              <w:t>杨 汉杰</w:t>
            </w:r>
            <w:r>
              <w:rPr>
                <w:rFonts w:ascii="Times New Roman" w:hAnsi="Times New Roman" w:cs="Times New Roman" w:eastAsia="Times New Roman" w:hint="default"/>
                <w:sz w:val="18"/>
                <w:szCs w:val="18"/>
              </w:rPr>
              <w:t>;</w:t>
            </w:r>
            <w:r>
              <w:rPr>
                <w:rFonts w:ascii="宋体" w:hAnsi="宋体" w:cs="宋体" w:eastAsia="宋体" w:hint="default"/>
                <w:sz w:val="18"/>
                <w:szCs w:val="18"/>
              </w:rPr>
              <w:t>余克 俭</w:t>
            </w:r>
            <w:r>
              <w:rPr>
                <w:rFonts w:ascii="Times New Roman" w:hAnsi="Times New Roman" w:cs="Times New Roman" w:eastAsia="Times New Roman" w:hint="default"/>
                <w:sz w:val="18"/>
                <w:szCs w:val="18"/>
              </w:rPr>
              <w:t>;</w:t>
            </w:r>
            <w:r>
              <w:rPr>
                <w:rFonts w:ascii="宋体" w:hAnsi="宋体" w:cs="宋体" w:eastAsia="宋体" w:hint="default"/>
                <w:sz w:val="18"/>
                <w:szCs w:val="18"/>
              </w:rPr>
              <w:t>张大新</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48"/>
              <w:jc w:val="both"/>
              <w:rPr>
                <w:rFonts w:ascii="宋体" w:hAnsi="宋体" w:cs="宋体" w:eastAsia="宋体" w:hint="default"/>
                <w:sz w:val="18"/>
                <w:szCs w:val="18"/>
              </w:rPr>
            </w:pPr>
            <w:r>
              <w:rPr>
                <w:rFonts w:ascii="宋体" w:hAnsi="宋体" w:cs="宋体" w:eastAsia="宋体" w:hint="default"/>
                <w:sz w:val="18"/>
                <w:szCs w:val="18"/>
              </w:rPr>
              <w:t>过本人所持有新晨科技股份总数的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 人所持有的公司股份在锁定期满后两年内依法 减持的，减持价格不低于发行价。如自首次公</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开发行股票至上述减持公告之日公司发生过除</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权除息等事项的，发行价格相应调整。</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48"/>
              <w:jc w:val="left"/>
              <w:rPr>
                <w:rFonts w:ascii="宋体" w:hAnsi="宋体" w:cs="宋体" w:eastAsia="宋体" w:hint="default"/>
                <w:sz w:val="18"/>
                <w:szCs w:val="18"/>
              </w:rPr>
            </w:pPr>
            <w:r>
              <w:rPr>
                <w:rFonts w:ascii="宋体" w:hAnsi="宋体" w:cs="宋体" w:eastAsia="宋体" w:hint="default"/>
                <w:sz w:val="18"/>
                <w:szCs w:val="18"/>
              </w:rPr>
              <w:t>本人在新晨科技首次公开发行股票并上市之日 起第七个月至第十二个月之间申报离职的，自</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55.132996pt;margin-top:106.219986pt;width:84.2pt;height:124.8pt;mso-position-horizontal-relative:page;mso-position-vertical-relative:page;z-index:-8334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4"/>
                      <w:szCs w:val="14"/>
                    </w:rPr>
                  </w:pPr>
                </w:p>
                <w:p>
                  <w:pPr>
                    <w:pStyle w:val="BodyText"/>
                    <w:spacing w:line="240" w:lineRule="auto"/>
                    <w:ind w:left="0" w:right="0"/>
                    <w:jc w:val="left"/>
                  </w:pPr>
                  <w:r>
                    <w:rPr/>
                    <w:t>经济实体、</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853"/>
        <w:gridCol w:w="850"/>
        <w:gridCol w:w="1061"/>
      </w:tblGrid>
      <w:tr>
        <w:trPr>
          <w:trHeight w:val="675"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48"/>
              <w:jc w:val="left"/>
              <w:rPr>
                <w:rFonts w:ascii="宋体" w:hAnsi="宋体" w:cs="宋体" w:eastAsia="宋体" w:hint="default"/>
                <w:sz w:val="18"/>
                <w:szCs w:val="18"/>
              </w:rPr>
            </w:pPr>
            <w:r>
              <w:rPr>
                <w:rFonts w:ascii="宋体" w:hAnsi="宋体" w:cs="宋体" w:eastAsia="宋体" w:hint="default"/>
                <w:sz w:val="18"/>
                <w:szCs w:val="18"/>
              </w:rPr>
              <w:t>申报离职之日起十二个月内不转让所持有的新 晨科技股份。</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5705"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0" w:lineRule="auto"/>
              <w:ind w:left="23" w:right="135"/>
              <w:jc w:val="both"/>
              <w:rPr>
                <w:rFonts w:ascii="宋体" w:hAnsi="宋体" w:cs="宋体" w:eastAsia="宋体" w:hint="default"/>
                <w:sz w:val="18"/>
                <w:szCs w:val="18"/>
              </w:rPr>
            </w:pPr>
            <w:r>
              <w:rPr>
                <w:rFonts w:ascii="宋体" w:hAnsi="宋体" w:cs="宋体" w:eastAsia="宋体" w:hint="default"/>
                <w:sz w:val="18"/>
                <w:szCs w:val="18"/>
              </w:rPr>
              <w:t>蒋琳华</w:t>
            </w:r>
            <w:r>
              <w:rPr>
                <w:rFonts w:ascii="Times New Roman" w:hAnsi="Times New Roman" w:cs="Times New Roman" w:eastAsia="Times New Roman" w:hint="default"/>
                <w:sz w:val="18"/>
                <w:szCs w:val="18"/>
              </w:rPr>
              <w:t>;</w:t>
            </w:r>
            <w:r>
              <w:rPr>
                <w:rFonts w:ascii="宋体" w:hAnsi="宋体" w:cs="宋体" w:eastAsia="宋体" w:hint="default"/>
                <w:sz w:val="18"/>
                <w:szCs w:val="18"/>
              </w:rPr>
              <w:t>康 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李福华</w:t>
            </w:r>
            <w:r>
              <w:rPr>
                <w:rFonts w:ascii="Times New Roman" w:hAnsi="Times New Roman" w:cs="Times New Roman" w:eastAsia="Times New Roman" w:hint="default"/>
                <w:sz w:val="18"/>
                <w:szCs w:val="18"/>
              </w:rPr>
              <w:t>; </w:t>
            </w:r>
            <w:r>
              <w:rPr>
                <w:rFonts w:ascii="宋体" w:hAnsi="宋体" w:cs="宋体" w:eastAsia="宋体" w:hint="default"/>
                <w:sz w:val="18"/>
                <w:szCs w:val="18"/>
              </w:rPr>
              <w:t>徐连平</w:t>
            </w:r>
            <w:r>
              <w:rPr>
                <w:rFonts w:ascii="Times New Roman" w:hAnsi="Times New Roman" w:cs="Times New Roman" w:eastAsia="Times New Roman" w:hint="default"/>
                <w:sz w:val="18"/>
                <w:szCs w:val="18"/>
              </w:rPr>
              <w:t>;</w:t>
            </w:r>
            <w:r>
              <w:rPr>
                <w:rFonts w:ascii="宋体" w:hAnsi="宋体" w:cs="宋体" w:eastAsia="宋体" w:hint="default"/>
                <w:sz w:val="18"/>
                <w:szCs w:val="18"/>
              </w:rPr>
              <w:t>张 燕生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3"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4" w:firstLine="91"/>
              <w:jc w:val="left"/>
              <w:rPr>
                <w:rFonts w:ascii="宋体" w:hAnsi="宋体" w:cs="宋体" w:eastAsia="宋体" w:hint="default"/>
                <w:sz w:val="18"/>
                <w:szCs w:val="18"/>
              </w:rPr>
            </w:pPr>
            <w:r>
              <w:rPr>
                <w:rFonts w:ascii="宋体" w:hAnsi="宋体" w:cs="宋体" w:eastAsia="宋体" w:hint="default"/>
                <w:sz w:val="18"/>
                <w:szCs w:val="18"/>
              </w:rPr>
              <w:t>关于避免与新晨科技股份有限公司同业竞争 </w:t>
            </w:r>
            <w:r>
              <w:rPr>
                <w:rFonts w:ascii="宋体" w:hAnsi="宋体" w:cs="宋体" w:eastAsia="宋体" w:hint="default"/>
                <w:spacing w:val="-3"/>
                <w:sz w:val="18"/>
                <w:szCs w:val="18"/>
              </w:rPr>
              <w:t>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、不会以任何形式（直接或间接）在</w:t>
            </w:r>
            <w:r>
              <w:rPr>
                <w:rFonts w:ascii="宋体" w:hAnsi="宋体" w:cs="宋体" w:eastAsia="宋体" w:hint="default"/>
                <w:sz w:val="18"/>
                <w:szCs w:val="18"/>
              </w:rPr>
              <w:t> 中国境内或境外从事或参与任何与新晨科技相 同、相似或在商业上构成任何竞争的业务或活 动，若本人在中国境内或境外任何地方参与或 </w:t>
            </w:r>
            <w:r>
              <w:rPr>
                <w:rFonts w:ascii="宋体" w:hAnsi="宋体" w:cs="宋体" w:eastAsia="宋体" w:hint="default"/>
                <w:spacing w:val="-4"/>
                <w:sz w:val="18"/>
                <w:szCs w:val="18"/>
              </w:rPr>
              <w:t>进行上述业务或活动，本人将立即终止；</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、不</w:t>
            </w:r>
            <w:r>
              <w:rPr>
                <w:rFonts w:ascii="宋体" w:hAnsi="宋体" w:cs="宋体" w:eastAsia="宋体" w:hint="default"/>
                <w:spacing w:val="-84"/>
                <w:sz w:val="18"/>
                <w:szCs w:val="18"/>
              </w:rPr>
              <w:t> </w:t>
            </w:r>
            <w:r>
              <w:rPr>
                <w:rFonts w:ascii="宋体" w:hAnsi="宋体" w:cs="宋体" w:eastAsia="宋体" w:hint="default"/>
                <w:sz w:val="18"/>
                <w:szCs w:val="18"/>
              </w:rPr>
              <w:t>会以任何形式（直接或间接）在中国境内或境</w:t>
            </w:r>
            <w:r>
              <w:rPr>
                <w:rFonts w:ascii="宋体" w:hAnsi="宋体" w:cs="宋体" w:eastAsia="宋体" w:hint="default"/>
                <w:sz w:val="18"/>
                <w:szCs w:val="18"/>
              </w:rPr>
              <w:t> 外支持除新晨科技以外的任何个人、 机构、经济组织从事与新晨科技主营业务构成 </w:t>
            </w:r>
            <w:r>
              <w:rPr>
                <w:rFonts w:ascii="宋体" w:hAnsi="宋体" w:cs="宋体" w:eastAsia="宋体" w:hint="default"/>
                <w:spacing w:val="-3"/>
                <w:sz w:val="18"/>
                <w:szCs w:val="18"/>
              </w:rPr>
              <w:t>竞争或可能构成竞争的业务或活动；</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、不会以</w:t>
            </w:r>
            <w:r>
              <w:rPr>
                <w:rFonts w:ascii="宋体" w:hAnsi="宋体" w:cs="宋体" w:eastAsia="宋体" w:hint="default"/>
                <w:sz w:val="18"/>
                <w:szCs w:val="18"/>
              </w:rPr>
              <w:t> 任何形式（直接或间接）取得或持有与新晨科 技存在竞争关系的任何经济实体、机构、经济 组织的控制权，也不会拥有该等经济实体、机 </w:t>
            </w:r>
            <w:r>
              <w:rPr>
                <w:rFonts w:ascii="宋体" w:hAnsi="宋体" w:cs="宋体" w:eastAsia="宋体" w:hint="default"/>
                <w:spacing w:val="-3"/>
                <w:sz w:val="18"/>
                <w:szCs w:val="18"/>
              </w:rPr>
              <w:t>构、经济组织的任何其他权益；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、不会在与新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晨科技存在竞争关系的任何经济实体、机构、 经济组织中担任高级管理人员或核心技术人 员。在本人及本人控制的公司与新晨科技存在 关联关系期间，本承诺函为持续有效之承诺。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96"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pict>
                <v:group style="width:42.05pt;height:124.8pt;mso-position-horizontal-relative:char;mso-position-vertical-relative:line" coordorigin="0,0" coordsize="841,2496">
                  <v:group style="position:absolute;left:0;top:0;width:841;height:2496" coordorigin="0,0" coordsize="841,2496">
                    <v:shape style="position:absolute;left:0;top:0;width:841;height:2496" coordorigin="0,0" coordsize="841,2496" path="m0,2496l840,2496,840,0,0,0,0,2496xe" filled="true" fillcolor="#ffffff" stroked="false">
                      <v:path arrowok="t"/>
                      <v:fill type="solid"/>
                    </v:shape>
                  </v:group>
                </v:group>
              </w:pict>
            </w:r>
            <w:r>
              <w:rPr>
                <w:rFonts w:ascii="Times New Roman" w:hAnsi="Times New Roman" w:cs="Times New Roman" w:eastAsia="Times New Roman" w:hint="default"/>
                <w:position w:val="-49"/>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539"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07" w:lineRule="auto"/>
              <w:ind w:left="23" w:right="45"/>
              <w:jc w:val="left"/>
              <w:rPr>
                <w:rFonts w:ascii="宋体" w:hAnsi="宋体" w:cs="宋体" w:eastAsia="宋体" w:hint="default"/>
                <w:sz w:val="18"/>
                <w:szCs w:val="18"/>
              </w:rPr>
            </w:pPr>
            <w:r>
              <w:rPr>
                <w:rFonts w:ascii="宋体" w:hAnsi="宋体" w:cs="宋体" w:eastAsia="宋体" w:hint="default"/>
                <w:sz w:val="18"/>
                <w:szCs w:val="18"/>
              </w:rPr>
              <w:t>新晨科技股 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 福华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 生</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杨汉杰</w:t>
            </w:r>
            <w:r>
              <w:rPr>
                <w:rFonts w:ascii="Times New Roman" w:hAnsi="Times New Roman" w:cs="Times New Roman" w:eastAsia="Times New Roman" w:hint="default"/>
                <w:sz w:val="18"/>
                <w:szCs w:val="18"/>
              </w:rPr>
              <w:t>; </w:t>
            </w:r>
            <w:r>
              <w:rPr>
                <w:rFonts w:ascii="宋体" w:hAnsi="宋体" w:cs="宋体" w:eastAsia="宋体" w:hint="default"/>
                <w:sz w:val="18"/>
                <w:szCs w:val="18"/>
              </w:rPr>
              <w:t>余克俭</w:t>
            </w:r>
            <w:r>
              <w:rPr>
                <w:rFonts w:ascii="Times New Roman" w:hAnsi="Times New Roman" w:cs="Times New Roman" w:eastAsia="Times New Roman" w:hint="default"/>
                <w:sz w:val="18"/>
                <w:szCs w:val="18"/>
              </w:rPr>
              <w:t>;</w:t>
            </w:r>
            <w:r>
              <w:rPr>
                <w:rFonts w:ascii="宋体" w:hAnsi="宋体" w:cs="宋体" w:eastAsia="宋体" w:hint="default"/>
                <w:sz w:val="18"/>
                <w:szCs w:val="18"/>
              </w:rPr>
              <w:t>张 大新</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0"/>
              <w:ind w:left="23"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 股价承诺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、稳定公司股价预案。为维护公司上市后股价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的稳定，保护广大投资者尤其是中小投资者的 </w:t>
            </w:r>
            <w:r>
              <w:rPr>
                <w:rFonts w:ascii="宋体" w:hAnsi="宋体" w:cs="宋体" w:eastAsia="宋体" w:hint="default"/>
                <w:spacing w:val="-12"/>
                <w:sz w:val="18"/>
                <w:szCs w:val="18"/>
              </w:rPr>
              <w:t>利益，公司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 过了《关于新晨科技股份有限公司上市后三年 内公司股价低于每股净资产时稳定公司股价的 </w:t>
            </w:r>
            <w:r>
              <w:rPr>
                <w:rFonts w:ascii="宋体" w:hAnsi="宋体" w:cs="宋体" w:eastAsia="宋体" w:hint="default"/>
                <w:spacing w:val="-12"/>
                <w:sz w:val="18"/>
                <w:szCs w:val="18"/>
              </w:rPr>
              <w:t>预案》，主要内容如下：（</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）触发和停止股价稳</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定预案的条件。公司首次公开发行并上市后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36</w:t>
            </w:r>
          </w:p>
          <w:p>
            <w:pPr>
              <w:pStyle w:val="TableParagraph"/>
              <w:spacing w:line="312" w:lineRule="auto" w:before="5"/>
              <w:ind w:left="23" w:right="19"/>
              <w:jc w:val="both"/>
              <w:rPr>
                <w:rFonts w:ascii="宋体" w:hAnsi="宋体" w:cs="宋体" w:eastAsia="宋体" w:hint="default"/>
                <w:sz w:val="18"/>
                <w:szCs w:val="18"/>
              </w:rPr>
            </w:pPr>
            <w:r>
              <w:rPr>
                <w:rFonts w:ascii="宋体" w:hAnsi="宋体" w:cs="宋体" w:eastAsia="宋体" w:hint="default"/>
                <w:spacing w:val="-7"/>
                <w:sz w:val="18"/>
                <w:szCs w:val="18"/>
              </w:rPr>
              <w:t>个月内，如出现连续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个交易日收盘价低于最 近一期经审计每股净资产时，触发股价稳定预 案。自股价稳定预案触发之日起，公司董事会 应于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日内召开董事会会议并告知稳定预案履</w:t>
            </w:r>
          </w:p>
          <w:p>
            <w:pPr>
              <w:pStyle w:val="TableParagraph"/>
              <w:spacing w:line="309" w:lineRule="auto" w:before="3"/>
              <w:ind w:left="23" w:right="19"/>
              <w:jc w:val="left"/>
              <w:rPr>
                <w:rFonts w:ascii="宋体" w:hAnsi="宋体" w:cs="宋体" w:eastAsia="宋体" w:hint="default"/>
                <w:sz w:val="18"/>
                <w:szCs w:val="18"/>
              </w:rPr>
            </w:pPr>
            <w:r>
              <w:rPr>
                <w:rFonts w:ascii="宋体" w:hAnsi="宋体" w:cs="宋体" w:eastAsia="宋体" w:hint="default"/>
                <w:sz w:val="18"/>
                <w:szCs w:val="18"/>
              </w:rPr>
              <w:t>行义务人。董事会公告后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个交易日内，相关 履行义务人将按顺序启动股价稳定预案。如触 发股价稳定预案时点至股价稳定预案尚未正式 实施前或股价稳定预案实施后，某日收盘价高 于最近一期经审计每股净资产时，则停止实施 </w:t>
            </w:r>
            <w:r>
              <w:rPr>
                <w:rFonts w:ascii="宋体" w:hAnsi="宋体" w:cs="宋体" w:eastAsia="宋体" w:hint="default"/>
                <w:spacing w:val="-5"/>
                <w:sz w:val="18"/>
                <w:szCs w:val="18"/>
              </w:rPr>
              <w:t>本阶段股价稳定预案。（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）股价稳定预案的具</w:t>
            </w:r>
            <w:r>
              <w:rPr>
                <w:rFonts w:ascii="宋体" w:hAnsi="宋体" w:cs="宋体" w:eastAsia="宋体" w:hint="default"/>
                <w:spacing w:val="-76"/>
                <w:sz w:val="18"/>
                <w:szCs w:val="18"/>
              </w:rPr>
              <w:t> </w:t>
            </w:r>
            <w:r>
              <w:rPr>
                <w:rFonts w:ascii="宋体" w:hAnsi="宋体" w:cs="宋体" w:eastAsia="宋体" w:hint="default"/>
                <w:sz w:val="18"/>
                <w:szCs w:val="18"/>
              </w:rPr>
              <w:t>体措施。</w:t>
            </w:r>
            <w:r>
              <w:rPr>
                <w:rFonts w:ascii="Times New Roman" w:hAnsi="Times New Roman" w:cs="Times New Roman" w:eastAsia="Times New Roman" w:hint="default"/>
                <w:sz w:val="18"/>
                <w:szCs w:val="18"/>
              </w:rPr>
              <w:t>A</w:t>
            </w:r>
            <w:r>
              <w:rPr>
                <w:rFonts w:ascii="宋体" w:hAnsi="宋体" w:cs="宋体" w:eastAsia="宋体" w:hint="default"/>
                <w:sz w:val="18"/>
                <w:szCs w:val="18"/>
              </w:rPr>
              <w:t>、实际控制人增持公司股票。实际 控制人以自有资金在二级市场增持公司流通股 </w:t>
            </w:r>
            <w:r>
              <w:rPr>
                <w:rFonts w:ascii="宋体" w:hAnsi="宋体" w:cs="宋体" w:eastAsia="宋体" w:hint="default"/>
                <w:spacing w:val="-4"/>
                <w:sz w:val="18"/>
                <w:szCs w:val="18"/>
              </w:rPr>
              <w:t>份。</w:t>
            </w:r>
            <w:r>
              <w:rPr>
                <w:rFonts w:ascii="Times New Roman" w:hAnsi="Times New Roman" w:cs="Times New Roman" w:eastAsia="Times New Roman" w:hint="default"/>
                <w:spacing w:val="-4"/>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个月内增持数量最大限额为本次发行前 持股数量的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，增持价格不超过最近一期经审</w:t>
            </w:r>
            <w:r>
              <w:rPr>
                <w:rFonts w:ascii="宋体" w:hAnsi="宋体" w:cs="宋体" w:eastAsia="宋体" w:hint="default"/>
                <w:sz w:val="18"/>
                <w:szCs w:val="18"/>
              </w:rPr>
              <w:t> 计每股净资产。</w:t>
            </w:r>
            <w:r>
              <w:rPr>
                <w:rFonts w:ascii="Times New Roman" w:hAnsi="Times New Roman" w:cs="Times New Roman" w:eastAsia="Times New Roman" w:hint="default"/>
                <w:sz w:val="18"/>
                <w:szCs w:val="18"/>
              </w:rPr>
              <w:t>B</w:t>
            </w:r>
            <w:r>
              <w:rPr>
                <w:rFonts w:ascii="宋体" w:hAnsi="宋体" w:cs="宋体" w:eastAsia="宋体" w:hint="default"/>
                <w:sz w:val="18"/>
                <w:szCs w:val="18"/>
              </w:rPr>
              <w:t>、发行人回购公司股票。公 司以自有资金在二级市场回购公司流通股份。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个月内回购资金最大限额为本次发行新股募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3" w:right="95"/>
              <w:jc w:val="left"/>
              <w:rPr>
                <w:rFonts w:ascii="宋体" w:hAnsi="宋体" w:cs="宋体" w:eastAsia="宋体" w:hint="default"/>
                <w:sz w:val="18"/>
                <w:szCs w:val="18"/>
              </w:rPr>
            </w:pPr>
            <w:r>
              <w:rPr>
                <w:rFonts w:ascii="宋体" w:hAnsi="宋体" w:cs="宋体" w:eastAsia="宋体" w:hint="default"/>
                <w:sz w:val="18"/>
                <w:szCs w:val="18"/>
              </w:rPr>
              <w:t>三十六个 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91.149994pt;margin-top:72.475983pt;width:48.15pt;height:690.5pt;mso-position-horizontal-relative:page;mso-position-vertical-relative:page;z-index:-8334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5"/>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853"/>
        <w:gridCol w:w="850"/>
        <w:gridCol w:w="1061"/>
      </w:tblGrid>
      <w:tr>
        <w:trPr>
          <w:trHeight w:val="320"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集资金净额的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，回购价格不超过最近一期</w:t>
            </w:r>
          </w:p>
        </w:tc>
        <w:tc>
          <w:tcPr>
            <w:tcW w:w="853" w:type="dxa"/>
            <w:vMerge w:val="restart"/>
            <w:tcBorders>
              <w:top w:val="single" w:sz="4" w:space="0" w:color="000000"/>
              <w:left w:val="single" w:sz="4" w:space="0" w:color="000000"/>
              <w:right w:val="single" w:sz="4" w:space="0" w:color="000000"/>
            </w:tcBorders>
          </w:tcPr>
          <w:p>
            <w:pPr>
              <w:pStyle w:val="TableParagraph"/>
              <w:spacing w:line="13809"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5"/>
                <w:sz w:val="20"/>
                <w:szCs w:val="20"/>
              </w:rPr>
              <w:pict>
                <v:group style="width:42.05pt;height:690.5pt;mso-position-horizontal-relative:char;mso-position-vertical-relative:line" coordorigin="0,0" coordsize="841,13810">
                  <v:group style="position:absolute;left:0;top:0;width:841;height:13810" coordorigin="0,0" coordsize="841,13810">
                    <v:shape style="position:absolute;left:0;top:0;width:841;height:13810" coordorigin="0,0" coordsize="841,13810" path="m0,13809l840,13809,840,0,0,0,0,13809xe" filled="true" fillcolor="#ffffff" stroked="false">
                      <v:path arrowok="t"/>
                      <v:fill type="solid"/>
                    </v:shape>
                  </v:group>
                </v:group>
              </w:pict>
            </w:r>
            <w:r>
              <w:rPr>
                <w:rFonts w:ascii="Times New Roman" w:hAnsi="Times New Roman" w:cs="Times New Roman" w:eastAsia="Times New Roman" w:hint="default"/>
                <w:position w:val="-275"/>
                <w:sz w:val="20"/>
                <w:szCs w:val="20"/>
              </w:rPr>
            </w:r>
          </w:p>
        </w:tc>
        <w:tc>
          <w:tcPr>
            <w:tcW w:w="850"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经审计每股净资产。公司回购股份预案经二分</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之一以上独立董事及监事会审核同意，并经董</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事会审议通过后提请股东大会审议，由参加股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东大会的股东所持有表决权股份总数的三分之</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二通过后实施。</w:t>
            </w:r>
            <w:r>
              <w:rPr>
                <w:rFonts w:ascii="Times New Roman" w:hAnsi="Times New Roman" w:cs="Times New Roman" w:eastAsia="Times New Roman" w:hint="default"/>
                <w:spacing w:val="-1"/>
                <w:sz w:val="18"/>
                <w:szCs w:val="18"/>
              </w:rPr>
              <w:t>C</w:t>
            </w:r>
            <w:r>
              <w:rPr>
                <w:rFonts w:ascii="宋体" w:hAnsi="宋体" w:cs="宋体" w:eastAsia="宋体" w:hint="default"/>
                <w:sz w:val="18"/>
                <w:szCs w:val="18"/>
              </w:rPr>
              <w:t>、董事（独立董事除外</w:t>
            </w:r>
            <w:r>
              <w:rPr>
                <w:rFonts w:ascii="宋体" w:hAnsi="宋体" w:cs="宋体" w:eastAsia="宋体" w:hint="default"/>
                <w:spacing w:val="-92"/>
                <w:sz w:val="18"/>
                <w:szCs w:val="18"/>
              </w:rPr>
              <w:t>）</w:t>
            </w:r>
            <w:r>
              <w:rPr>
                <w:rFonts w:ascii="宋体" w:hAnsi="宋体" w:cs="宋体" w:eastAsia="宋体" w:hint="default"/>
                <w:sz w:val="18"/>
                <w:szCs w:val="18"/>
              </w:rPr>
              <w:t>、高</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级管理人员增持公司股票。公司董事（独立董</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事除外</w:t>
            </w:r>
            <w:r>
              <w:rPr>
                <w:rFonts w:ascii="宋体" w:hAnsi="宋体" w:cs="宋体" w:eastAsia="宋体" w:hint="default"/>
                <w:spacing w:val="-92"/>
                <w:sz w:val="18"/>
                <w:szCs w:val="18"/>
              </w:rPr>
              <w:t>）</w:t>
            </w:r>
            <w:r>
              <w:rPr>
                <w:rFonts w:ascii="宋体" w:hAnsi="宋体" w:cs="宋体" w:eastAsia="宋体" w:hint="default"/>
                <w:spacing w:val="-60"/>
                <w:sz w:val="18"/>
                <w:szCs w:val="18"/>
              </w:rPr>
              <w:t>、</w:t>
            </w:r>
            <w:r>
              <w:rPr>
                <w:rFonts w:ascii="宋体" w:hAnsi="宋体" w:cs="宋体" w:eastAsia="宋体" w:hint="default"/>
                <w:sz w:val="18"/>
                <w:szCs w:val="18"/>
              </w:rPr>
              <w:t>高级管理人员以不低于股价稳定预案</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启动时上一年度从发行人处领取的薪酬在二级</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市场增持公司流通股份，增持价格不超过最近</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一期经审计每股净资产。公司上市后新当选的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董事、高级管理人员须履行该项义务</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）增</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持或回购股票的限定条件。公司股价稳定预案</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的任何措施都以不影响《深圳证券交易所创业</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板股票上市规则》中对于上市公司股权分布的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要求为前提</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32"/>
                <w:sz w:val="18"/>
                <w:szCs w:val="18"/>
              </w:rPr>
              <w:t>）</w:t>
            </w:r>
            <w:r>
              <w:rPr>
                <w:rFonts w:ascii="宋体" w:hAnsi="宋体" w:cs="宋体" w:eastAsia="宋体" w:hint="default"/>
                <w:sz w:val="18"/>
                <w:szCs w:val="18"/>
              </w:rPr>
              <w:t>增持或回</w:t>
            </w:r>
            <w:r>
              <w:rPr>
                <w:rFonts w:ascii="宋体" w:hAnsi="宋体" w:cs="宋体" w:eastAsia="宋体" w:hint="default"/>
                <w:spacing w:val="2"/>
                <w:sz w:val="18"/>
                <w:szCs w:val="18"/>
              </w:rPr>
              <w:t>购</w:t>
            </w:r>
            <w:r>
              <w:rPr>
                <w:rFonts w:ascii="宋体" w:hAnsi="宋体" w:cs="宋体" w:eastAsia="宋体" w:hint="default"/>
                <w:sz w:val="18"/>
                <w:szCs w:val="18"/>
              </w:rPr>
              <w:t>股票的启动时点</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自股价稳定预案触发之日起，公司董事会应在</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个交易日内告知实际控制人制定增持方案，</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在完成相关审批、披露程序之后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实际控制人启动股票增持措施；如实际控制人</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按规定增持股份后公司股价仍未达到停止股价</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稳定预案条件的或实际控制人无法实施增持</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时，公司董事会应在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日内召开董事会会议，</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审议公司回购股票预案，在股东大会决议公告</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个交易日内开始实施股票回购措施；如公</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司按规定回购后股价仍未达到停止股价稳定预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案条件的或公司无法实施回购时</w:t>
            </w:r>
            <w:r>
              <w:rPr>
                <w:rFonts w:ascii="宋体" w:hAnsi="宋体" w:cs="宋体" w:eastAsia="宋体" w:hint="default"/>
                <w:spacing w:val="-75"/>
                <w:sz w:val="18"/>
                <w:szCs w:val="18"/>
              </w:rPr>
              <w:t>，</w:t>
            </w:r>
            <w:r>
              <w:rPr>
                <w:rFonts w:ascii="宋体" w:hAnsi="宋体" w:cs="宋体" w:eastAsia="宋体" w:hint="default"/>
                <w:sz w:val="18"/>
                <w:szCs w:val="18"/>
              </w:rPr>
              <w:t>公司董</w:t>
            </w:r>
            <w:r>
              <w:rPr>
                <w:rFonts w:ascii="宋体" w:hAnsi="宋体" w:cs="宋体" w:eastAsia="宋体" w:hint="default"/>
                <w:spacing w:val="-75"/>
                <w:sz w:val="18"/>
                <w:szCs w:val="18"/>
              </w:rPr>
              <w:t>事</w:t>
            </w:r>
            <w:r>
              <w:rPr>
                <w:rFonts w:ascii="宋体" w:hAnsi="宋体" w:cs="宋体" w:eastAsia="宋体" w:hint="default"/>
                <w:sz w:val="18"/>
                <w:szCs w:val="18"/>
              </w:rPr>
              <w:t>（独</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立董事除外</w:t>
            </w:r>
            <w:r>
              <w:rPr>
                <w:rFonts w:ascii="宋体" w:hAnsi="宋体" w:cs="宋体" w:eastAsia="宋体" w:hint="default"/>
                <w:spacing w:val="-92"/>
                <w:sz w:val="18"/>
                <w:szCs w:val="18"/>
              </w:rPr>
              <w:t>）</w:t>
            </w:r>
            <w:r>
              <w:rPr>
                <w:rFonts w:ascii="宋体" w:hAnsi="宋体" w:cs="宋体" w:eastAsia="宋体" w:hint="default"/>
                <w:spacing w:val="-60"/>
                <w:sz w:val="18"/>
                <w:szCs w:val="18"/>
              </w:rPr>
              <w:t>、</w:t>
            </w:r>
            <w:r>
              <w:rPr>
                <w:rFonts w:ascii="宋体" w:hAnsi="宋体" w:cs="宋体" w:eastAsia="宋体" w:hint="default"/>
                <w:sz w:val="18"/>
                <w:szCs w:val="18"/>
              </w:rPr>
              <w:t>高级管理人员应制定增持方案并</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在公司披露方案后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个交易日内启动股票增持</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措施。公司及相关责任人在执行股价稳定预案</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时不得违反中国证监会及深圳证券交易所关于</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增持或回购股票的时点限制</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）股价稳定预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案的优先顺序。触发股价稳定预案时，实际控</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制人增持股票为第一顺位，公司回购公司股票</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为第二顺位，董事（独立董事除外）和高级管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理人员增持股票为第三顺位。实际控制人增持</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到承诺的最大数量后，公司股价仍未达到停止</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股价稳定预案条件的，则由发行人实施回购；</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发行人用尽最大回购资金后，公司股价仍未达</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到停止股价稳定预案条件的，则由董事（独立</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3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董事除外</w:t>
            </w:r>
            <w:r>
              <w:rPr>
                <w:rFonts w:ascii="宋体" w:hAnsi="宋体" w:cs="宋体" w:eastAsia="宋体" w:hint="default"/>
                <w:spacing w:val="-92"/>
                <w:sz w:val="18"/>
                <w:szCs w:val="18"/>
              </w:rPr>
              <w:t>）</w:t>
            </w:r>
            <w:r>
              <w:rPr>
                <w:rFonts w:ascii="宋体" w:hAnsi="宋体" w:cs="宋体" w:eastAsia="宋体" w:hint="default"/>
                <w:sz w:val="18"/>
                <w:szCs w:val="18"/>
              </w:rPr>
              <w:t>、高级管理人员承</w:t>
            </w:r>
            <w:r>
              <w:rPr>
                <w:rFonts w:ascii="宋体" w:hAnsi="宋体" w:cs="宋体" w:eastAsia="宋体" w:hint="default"/>
                <w:spacing w:val="2"/>
                <w:sz w:val="18"/>
                <w:szCs w:val="18"/>
              </w:rPr>
              <w:t>担</w:t>
            </w:r>
            <w:r>
              <w:rPr>
                <w:rFonts w:ascii="宋体" w:hAnsi="宋体" w:cs="宋体" w:eastAsia="宋体" w:hint="default"/>
                <w:sz w:val="18"/>
                <w:szCs w:val="18"/>
              </w:rPr>
              <w:t>增持义务。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3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实际控制人履行完强制增持义务后，可自愿增</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31"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4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实际控制人李福华、康路、张燕生承诺：本人</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28.149994pt;margin-top:72.47998pt;width:111.15pt;height:286.850pt;mso-position-horizontal-relative:page;mso-position-vertical-relative:page;z-index:-8333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6"/>
                    <w:ind w:left="0" w:right="0"/>
                    <w:jc w:val="left"/>
                  </w:pPr>
                  <w:r>
                    <w:rPr/>
                    <w:t>级管理人员承诺：</w:t>
                  </w:r>
                </w:p>
              </w:txbxContent>
            </v:textbox>
            <w10:wrap type="none"/>
          </v:shape>
        </w:pict>
      </w:r>
      <w:r>
        <w:rPr/>
        <w:pict>
          <v:shape style="position:absolute;margin-left:391.269989pt;margin-top:535.98999pt;width:48.05pt;height:92.55pt;mso-position-horizontal-relative:page;mso-position-vertical-relative:page;z-index:-8333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w:t>
                  </w:r>
                </w:p>
              </w:txbxContent>
            </v:textbox>
            <w10:wrap type="none"/>
          </v:shape>
        </w:pict>
      </w:r>
      <w:r>
        <w:rPr/>
        <w:pict>
          <v:group style="position:absolute;margin-left:397.269989pt;margin-top:535.98999pt;width:42.05pt;height:92.55pt;mso-position-horizontal-relative:page;mso-position-vertical-relative:page;z-index:-833344" coordorigin="7945,10720" coordsize="841,1851">
            <v:shape style="position:absolute;left:7945;top:10720;width:841;height:1851" coordorigin="7945,10720" coordsize="841,1851" path="m7945,12570l8786,12570,8786,10720,7945,10720,7945,12570xe" filled="true" fillcolor="#ffffff" stroked="false">
              <v:path arrowok="t"/>
              <v:fill type="solid"/>
            </v:shape>
            <w10:wrap type="none"/>
          </v:group>
        </w:pict>
      </w:r>
      <w:r>
        <w:rPr/>
        <w:pict>
          <v:group style="position:absolute;margin-left:398.350006pt;margin-top:646.156006pt;width:39.75pt;height:17.7pt;mso-position-horizontal-relative:page;mso-position-vertical-relative:page;z-index:-833320" coordorigin="7967,12923" coordsize="795,354">
            <v:shape style="position:absolute;left:7967;top:12923;width:795;height:354" coordorigin="7967,12923" coordsize="795,354" path="m7967,13276l8762,13276,8762,12923,7967,12923,7967,1327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853"/>
        <w:gridCol w:w="850"/>
        <w:gridCol w:w="1061"/>
      </w:tblGrid>
      <w:tr>
        <w:trPr>
          <w:trHeight w:val="320"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将在本次发行前持股数量的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以内承</w:t>
            </w:r>
            <w:r>
              <w:rPr>
                <w:rFonts w:ascii="宋体" w:hAnsi="宋体" w:cs="宋体" w:eastAsia="宋体" w:hint="default"/>
                <w:spacing w:val="-77"/>
                <w:sz w:val="18"/>
                <w:szCs w:val="18"/>
              </w:rPr>
              <w:t>担</w:t>
            </w:r>
            <w:r>
              <w:rPr>
                <w:rFonts w:ascii="宋体" w:hAnsi="宋体" w:cs="宋体" w:eastAsia="宋体" w:hint="default"/>
                <w:sz w:val="18"/>
                <w:szCs w:val="18"/>
              </w:rPr>
              <w:t>《关于</w:t>
            </w:r>
          </w:p>
        </w:tc>
        <w:tc>
          <w:tcPr>
            <w:tcW w:w="853" w:type="dxa"/>
            <w:vMerge w:val="restart"/>
            <w:tcBorders>
              <w:top w:val="single" w:sz="4" w:space="0" w:color="000000"/>
              <w:left w:val="single" w:sz="4" w:space="0" w:color="000000"/>
              <w:right w:val="single" w:sz="4" w:space="0" w:color="000000"/>
            </w:tcBorders>
          </w:tcPr>
          <w:p>
            <w:pPr>
              <w:pStyle w:val="TableParagraph"/>
              <w:spacing w:line="5737"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4"/>
                <w:sz w:val="20"/>
                <w:szCs w:val="20"/>
              </w:rPr>
              <w:pict>
                <v:group style="width:42.05pt;height:286.850pt;mso-position-horizontal-relative:char;mso-position-vertical-relative:line" coordorigin="0,0" coordsize="841,5737">
                  <v:group style="position:absolute;left:0;top:0;width:841;height:5737" coordorigin="0,0" coordsize="841,5737">
                    <v:shape style="position:absolute;left:0;top:0;width:841;height:5737" coordorigin="0,0" coordsize="841,5737" path="m0,5737l840,5737,840,0,0,0,0,5737xe" filled="true" fillcolor="#ffffff" stroked="false">
                      <v:path arrowok="t"/>
                      <v:fill type="solid"/>
                    </v:shape>
                  </v:group>
                </v:group>
              </w:pict>
            </w:r>
            <w:r>
              <w:rPr>
                <w:rFonts w:ascii="Times New Roman" w:hAnsi="Times New Roman" w:cs="Times New Roman" w:eastAsia="Times New Roman" w:hint="default"/>
                <w:position w:val="-114"/>
                <w:sz w:val="20"/>
                <w:szCs w:val="20"/>
              </w:rPr>
            </w:r>
          </w:p>
        </w:tc>
        <w:tc>
          <w:tcPr>
            <w:tcW w:w="850"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新晨科技股份有限公司上市后三年内公司股价</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低于每股净资产时稳定公司股价的预案》中所</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述增持义务，本人不履行上述义务的，在三年</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限售期满解禁时由公司零元回购上述数量的股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3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票并注销。</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3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公司承诺：本公司将在本次募集资金净额的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以内承担《关于新晨科技股份有限公司上</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市后三年内公司股价低于每股净资产时稳定公</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司股价的预案》中所述回购义务，公司不履行</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上述义务的，以其承诺的最大回购金额为限对</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31"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流通股东承担赔偿责任。</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31"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公司董</w:t>
            </w:r>
            <w:r>
              <w:rPr>
                <w:rFonts w:ascii="宋体" w:hAnsi="宋体" w:cs="宋体" w:eastAsia="宋体" w:hint="default"/>
                <w:spacing w:val="-75"/>
                <w:sz w:val="18"/>
                <w:szCs w:val="18"/>
              </w:rPr>
              <w:t>事</w:t>
            </w:r>
            <w:r>
              <w:rPr>
                <w:rFonts w:ascii="宋体" w:hAnsi="宋体" w:cs="宋体" w:eastAsia="宋体" w:hint="default"/>
                <w:sz w:val="18"/>
                <w:szCs w:val="18"/>
              </w:rPr>
              <w:t>（独立董事除外</w:t>
            </w:r>
            <w:r>
              <w:rPr>
                <w:rFonts w:ascii="宋体" w:hAnsi="宋体" w:cs="宋体" w:eastAsia="宋体" w:hint="default"/>
                <w:spacing w:val="-92"/>
                <w:sz w:val="18"/>
                <w:szCs w:val="18"/>
              </w:rPr>
              <w:t>）</w:t>
            </w:r>
            <w:r>
              <w:rPr>
                <w:rFonts w:ascii="宋体" w:hAnsi="宋体" w:cs="宋体" w:eastAsia="宋体" w:hint="default"/>
                <w:spacing w:val="-75"/>
                <w:sz w:val="18"/>
                <w:szCs w:val="18"/>
              </w:rPr>
              <w:t>、</w:t>
            </w:r>
            <w:r>
              <w:rPr>
                <w:rFonts w:ascii="宋体" w:hAnsi="宋体" w:cs="宋体" w:eastAsia="宋体" w:hint="default"/>
                <w:sz w:val="18"/>
                <w:szCs w:val="18"/>
              </w:rPr>
              <w:t>高</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本人将承担《关于新晨科技股份有限公司上市</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后三年内公司股价低于每股净资产时稳定公司</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股价的预案》中所述增持义务，本人不履行上</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述义务的，公司可从本人未来的薪酬中扣除其</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承诺的最大增持金额。</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新晨科技股</w:t>
            </w: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2813"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2" w:lineRule="auto" w:before="10"/>
              <w:ind w:left="23" w:right="45"/>
              <w:jc w:val="left"/>
              <w:rPr>
                <w:rFonts w:ascii="宋体" w:hAnsi="宋体" w:cs="宋体" w:eastAsia="宋体" w:hint="default"/>
                <w:sz w:val="18"/>
                <w:szCs w:val="18"/>
              </w:rPr>
            </w:pPr>
            <w:r>
              <w:rPr>
                <w:rFonts w:ascii="宋体" w:hAnsi="宋体" w:cs="宋体" w:eastAsia="宋体" w:hint="default"/>
                <w:sz w:val="18"/>
                <w:szCs w:val="18"/>
              </w:rPr>
              <w:t>份有限公 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李福华</w:t>
            </w:r>
            <w:r>
              <w:rPr>
                <w:rFonts w:ascii="Times New Roman" w:hAnsi="Times New Roman" w:cs="Times New Roman" w:eastAsia="Times New Roman" w:hint="default"/>
                <w:sz w:val="18"/>
                <w:szCs w:val="18"/>
              </w:rPr>
              <w:t>; </w:t>
            </w: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张燕 生</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杨汉杰</w:t>
            </w:r>
            <w:r>
              <w:rPr>
                <w:rFonts w:ascii="Times New Roman" w:hAnsi="Times New Roman" w:cs="Times New Roman" w:eastAsia="Times New Roman" w:hint="default"/>
                <w:sz w:val="18"/>
                <w:szCs w:val="18"/>
              </w:rPr>
              <w:t>; </w:t>
            </w:r>
            <w:r>
              <w:rPr>
                <w:rFonts w:ascii="宋体" w:hAnsi="宋体" w:cs="宋体" w:eastAsia="宋体" w:hint="default"/>
                <w:sz w:val="18"/>
                <w:szCs w:val="18"/>
              </w:rPr>
              <w:t>高冠江</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罗 炜</w:t>
            </w:r>
            <w:r>
              <w:rPr>
                <w:rFonts w:ascii="Times New Roman" w:hAnsi="Times New Roman" w:cs="Times New Roman" w:eastAsia="Times New Roman" w:hint="default"/>
                <w:sz w:val="18"/>
                <w:szCs w:val="18"/>
              </w:rPr>
              <w:t>;</w:t>
            </w:r>
            <w:r>
              <w:rPr>
                <w:rFonts w:ascii="宋体" w:hAnsi="宋体" w:cs="宋体" w:eastAsia="宋体" w:hint="default"/>
                <w:sz w:val="18"/>
                <w:szCs w:val="18"/>
              </w:rPr>
              <w:t>汤金资</w:t>
            </w:r>
            <w:r>
              <w:rPr>
                <w:rFonts w:ascii="Times New Roman" w:hAnsi="Times New Roman" w:cs="Times New Roman" w:eastAsia="Times New Roman" w:hint="default"/>
                <w:sz w:val="18"/>
                <w:szCs w:val="18"/>
              </w:rPr>
              <w:t>; </w:t>
            </w:r>
            <w:r>
              <w:rPr>
                <w:rFonts w:ascii="宋体" w:hAnsi="宋体" w:cs="宋体" w:eastAsia="宋体" w:hint="default"/>
                <w:sz w:val="18"/>
                <w:szCs w:val="18"/>
              </w:rPr>
              <w:t>余克俭</w:t>
            </w:r>
            <w:r>
              <w:rPr>
                <w:rFonts w:ascii="Times New Roman" w:hAnsi="Times New Roman" w:cs="Times New Roman" w:eastAsia="Times New Roman" w:hint="default"/>
                <w:sz w:val="18"/>
                <w:szCs w:val="18"/>
              </w:rPr>
              <w:t>;</w:t>
            </w:r>
            <w:r>
              <w:rPr>
                <w:rFonts w:ascii="宋体" w:hAnsi="宋体" w:cs="宋体" w:eastAsia="宋体" w:hint="default"/>
                <w:sz w:val="18"/>
                <w:szCs w:val="18"/>
              </w:rPr>
              <w:t>张 大新</w:t>
            </w:r>
            <w:r>
              <w:rPr>
                <w:rFonts w:ascii="Times New Roman" w:hAnsi="Times New Roman" w:cs="Times New Roman" w:eastAsia="Times New Roman" w:hint="default"/>
                <w:sz w:val="18"/>
                <w:szCs w:val="18"/>
              </w:rPr>
              <w:t>;</w:t>
            </w:r>
            <w:r>
              <w:rPr>
                <w:rFonts w:ascii="宋体" w:hAnsi="宋体" w:cs="宋体" w:eastAsia="宋体" w:hint="default"/>
                <w:sz w:val="18"/>
                <w:szCs w:val="18"/>
              </w:rPr>
              <w:t>何育 松</w:t>
            </w:r>
            <w:r>
              <w:rPr>
                <w:rFonts w:ascii="Times New Roman" w:hAnsi="Times New Roman" w:cs="Times New Roman" w:eastAsia="Times New Roman" w:hint="default"/>
                <w:sz w:val="18"/>
                <w:szCs w:val="18"/>
              </w:rPr>
              <w:t>;</w:t>
            </w:r>
            <w:r>
              <w:rPr>
                <w:rFonts w:ascii="宋体" w:hAnsi="宋体" w:cs="宋体" w:eastAsia="宋体" w:hint="default"/>
                <w:sz w:val="18"/>
                <w:szCs w:val="18"/>
              </w:rPr>
              <w:t>李亮</w:t>
            </w:r>
            <w:r>
              <w:rPr>
                <w:rFonts w:ascii="Times New Roman" w:hAnsi="Times New Roman" w:cs="Times New Roman" w:eastAsia="Times New Roman" w:hint="default"/>
                <w:sz w:val="18"/>
                <w:szCs w:val="18"/>
              </w:rPr>
              <w:t>;</w:t>
            </w:r>
            <w:r>
              <w:rPr>
                <w:rFonts w:ascii="宋体" w:hAnsi="宋体" w:cs="宋体" w:eastAsia="宋体" w:hint="default"/>
                <w:sz w:val="18"/>
                <w:szCs w:val="18"/>
              </w:rPr>
              <w:t>周</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2" w:lineRule="auto"/>
              <w:ind w:left="23" w:right="48"/>
              <w:jc w:val="left"/>
              <w:rPr>
                <w:rFonts w:ascii="宋体" w:hAnsi="宋体" w:cs="宋体" w:eastAsia="宋体" w:hint="default"/>
                <w:sz w:val="18"/>
                <w:szCs w:val="18"/>
              </w:rPr>
            </w:pPr>
            <w:r>
              <w:rPr>
                <w:rFonts w:ascii="宋体" w:hAnsi="宋体" w:cs="宋体" w:eastAsia="宋体" w:hint="default"/>
                <w:sz w:val="18"/>
                <w:szCs w:val="18"/>
              </w:rPr>
              <w:t>关于依法赔偿投资者损失的承诺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公司首次公 开发行股票并在创业板上市的《招股说明书》 及相关申请材料真实、准确、完整、及时，不 存在虚假记载、误导性陈述或重大遗漏。公司</w:t>
            </w:r>
          </w:p>
          <w:p>
            <w:pPr>
              <w:pStyle w:val="TableParagraph"/>
              <w:spacing w:line="319" w:lineRule="auto" w:before="22"/>
              <w:ind w:left="23" w:right="48"/>
              <w:jc w:val="both"/>
              <w:rPr>
                <w:rFonts w:ascii="宋体" w:hAnsi="宋体" w:cs="宋体" w:eastAsia="宋体" w:hint="default"/>
                <w:sz w:val="18"/>
                <w:szCs w:val="18"/>
              </w:rPr>
            </w:pPr>
            <w:r>
              <w:rPr>
                <w:rFonts w:ascii="宋体" w:hAnsi="宋体" w:cs="宋体" w:eastAsia="宋体" w:hint="default"/>
                <w:sz w:val="18"/>
                <w:szCs w:val="18"/>
              </w:rPr>
              <w:t>《招股说明书》若有虚假记载、误导性陈述或 者重大遗漏，致使投资者在证券交易中遭受损 失的，全体董事、监事和高级管理人员将依法 赔偿投资者损失。</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嘉嘉</w:t>
            </w: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r>
        <w:trPr>
          <w:trHeight w:val="354"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关于公司首次公开发行摊薄即期回报采取填补</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措施的承诺：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、不无偿或以不公平条件向其他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单位或者个人输送利益，也不采用其他方式损</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249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147"/>
              <w:ind w:left="23"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李福华</w:t>
            </w:r>
            <w:r>
              <w:rPr>
                <w:rFonts w:ascii="Times New Roman" w:hAnsi="Times New Roman" w:cs="Times New Roman" w:eastAsia="Times New Roman" w:hint="default"/>
                <w:sz w:val="18"/>
                <w:szCs w:val="18"/>
              </w:rPr>
              <w:t>;</w:t>
            </w:r>
            <w:r>
              <w:rPr>
                <w:rFonts w:ascii="宋体" w:hAnsi="宋体" w:cs="宋体" w:eastAsia="宋体" w:hint="default"/>
                <w:sz w:val="18"/>
                <w:szCs w:val="18"/>
              </w:rPr>
              <w:t>康 路</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张燕生</w:t>
            </w:r>
            <w:r>
              <w:rPr>
                <w:rFonts w:ascii="Times New Roman" w:hAnsi="Times New Roman" w:cs="Times New Roman" w:eastAsia="Times New Roman" w:hint="default"/>
                <w:sz w:val="18"/>
                <w:szCs w:val="18"/>
              </w:rPr>
              <w:t>; </w:t>
            </w:r>
            <w:r>
              <w:rPr>
                <w:rFonts w:ascii="宋体" w:hAnsi="宋体" w:cs="宋体" w:eastAsia="宋体" w:hint="default"/>
                <w:sz w:val="18"/>
                <w:szCs w:val="18"/>
              </w:rPr>
              <w:t>杨汉杰</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 冠江</w:t>
            </w:r>
            <w:r>
              <w:rPr>
                <w:rFonts w:ascii="Times New Roman" w:hAnsi="Times New Roman" w:cs="Times New Roman" w:eastAsia="Times New Roman" w:hint="default"/>
                <w:sz w:val="18"/>
                <w:szCs w:val="18"/>
              </w:rPr>
              <w:t>;</w:t>
            </w:r>
            <w:r>
              <w:rPr>
                <w:rFonts w:ascii="宋体" w:hAnsi="宋体" w:cs="宋体" w:eastAsia="宋体" w:hint="default"/>
                <w:sz w:val="18"/>
                <w:szCs w:val="18"/>
              </w:rPr>
              <w:t>罗炜</w:t>
            </w:r>
            <w:r>
              <w:rPr>
                <w:rFonts w:ascii="Times New Roman" w:hAnsi="Times New Roman" w:cs="Times New Roman" w:eastAsia="Times New Roman" w:hint="default"/>
                <w:sz w:val="18"/>
                <w:szCs w:val="18"/>
              </w:rPr>
              <w:t>; </w:t>
            </w:r>
            <w:r>
              <w:rPr>
                <w:rFonts w:ascii="宋体" w:hAnsi="宋体" w:cs="宋体" w:eastAsia="宋体" w:hint="default"/>
                <w:sz w:val="18"/>
                <w:szCs w:val="18"/>
              </w:rPr>
              <w:t>汤金资</w:t>
            </w:r>
            <w:r>
              <w:rPr>
                <w:rFonts w:ascii="Times New Roman" w:hAnsi="Times New Roman" w:cs="Times New Roman" w:eastAsia="Times New Roman" w:hint="default"/>
                <w:sz w:val="18"/>
                <w:szCs w:val="18"/>
              </w:rPr>
              <w:t>;</w:t>
            </w:r>
            <w:r>
              <w:rPr>
                <w:rFonts w:ascii="宋体" w:hAnsi="宋体" w:cs="宋体" w:eastAsia="宋体" w:hint="default"/>
                <w:sz w:val="18"/>
                <w:szCs w:val="18"/>
              </w:rPr>
              <w:t>余 克俭</w:t>
            </w:r>
            <w:r>
              <w:rPr>
                <w:rFonts w:ascii="Times New Roman" w:hAnsi="Times New Roman" w:cs="Times New Roman" w:eastAsia="Times New Roman" w:hint="default"/>
                <w:sz w:val="18"/>
                <w:szCs w:val="18"/>
              </w:rPr>
              <w:t>;</w:t>
            </w:r>
            <w:r>
              <w:rPr>
                <w:rFonts w:ascii="宋体" w:hAnsi="宋体" w:cs="宋体" w:eastAsia="宋体" w:hint="default"/>
                <w:sz w:val="18"/>
                <w:szCs w:val="18"/>
              </w:rPr>
              <w:t>张大 新</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13" w:space="0" w:color="FFFFFF"/>
            </w:tcBorders>
          </w:tcPr>
          <w:p>
            <w:pPr>
              <w:pStyle w:val="TableParagraph"/>
              <w:spacing w:line="307" w:lineRule="auto" w:before="10"/>
              <w:ind w:left="23" w:right="-46"/>
              <w:jc w:val="left"/>
              <w:rPr>
                <w:rFonts w:ascii="宋体" w:hAnsi="宋体" w:cs="宋体" w:eastAsia="宋体" w:hint="default"/>
                <w:sz w:val="18"/>
                <w:szCs w:val="18"/>
              </w:rPr>
            </w:pPr>
            <w:r>
              <w:rPr>
                <w:rFonts w:ascii="宋体" w:hAnsi="宋体" w:cs="宋体" w:eastAsia="宋体" w:hint="default"/>
                <w:spacing w:val="-3"/>
                <w:sz w:val="18"/>
                <w:szCs w:val="18"/>
              </w:rPr>
              <w:t>害公司利益；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、对职务消费行为进行约束；</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不动用公司资产从事与其履行职责无关的投 </w:t>
            </w:r>
            <w:r>
              <w:rPr>
                <w:rFonts w:ascii="宋体" w:hAnsi="宋体" w:cs="宋体" w:eastAsia="宋体" w:hint="default"/>
                <w:spacing w:val="-4"/>
                <w:sz w:val="18"/>
                <w:szCs w:val="18"/>
              </w:rPr>
              <w:t>资、消费活动；</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、由董事会或薪酬与考核委员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会制定的薪酬制度与公司填补回报措施的执行 </w:t>
            </w:r>
            <w:r>
              <w:rPr>
                <w:rFonts w:ascii="宋体" w:hAnsi="宋体" w:cs="宋体" w:eastAsia="宋体" w:hint="default"/>
                <w:spacing w:val="-9"/>
                <w:sz w:val="18"/>
                <w:szCs w:val="18"/>
              </w:rPr>
              <w:t>情况相挂钩；</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、若公司后续推出股权激励政策，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承诺拟公布的公司股权激励的行权条件与公司</w:t>
            </w:r>
            <w:r>
              <w:rPr>
                <w:rFonts w:ascii="宋体" w:hAnsi="宋体" w:cs="宋体" w:eastAsia="宋体" w:hint="default"/>
                <w:sz w:val="18"/>
                <w:szCs w:val="18"/>
              </w:rPr>
              <w:t> </w:t>
            </w:r>
            <w:r>
              <w:rPr>
                <w:rFonts w:ascii="宋体" w:hAnsi="宋体" w:cs="宋体" w:eastAsia="宋体" w:hint="default"/>
                <w:spacing w:val="-3"/>
                <w:sz w:val="18"/>
                <w:szCs w:val="18"/>
              </w:rPr>
              <w:t>填补回报措施的执行情况相挂钩；</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、承诺切实</w:t>
            </w:r>
            <w:r>
              <w:rPr>
                <w:rFonts w:ascii="宋体" w:hAnsi="宋体" w:cs="宋体" w:eastAsia="宋体" w:hint="default"/>
                <w:sz w:val="18"/>
                <w:szCs w:val="18"/>
              </w:rPr>
              <w:t> 履行所作出的上述承诺事项，确保公司填补回</w:t>
            </w:r>
          </w:p>
        </w:tc>
        <w:tc>
          <w:tcPr>
            <w:tcW w:w="853"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报措施能够得到切实履行；若违反该等承诺或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拒不履行承诺，自愿接受中国证监会、深圳证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券交易所等证券监管机构依法作出的监管措</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91.029999pt;margin-top:328.609985pt;width:48.3pt;height:187.25pt;mso-position-horizontal-relative:page;mso-position-vertical-relative:page;z-index:-8332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5"/>
                      <w:szCs w:val="25"/>
                    </w:rPr>
                  </w:pPr>
                </w:p>
                <w:p>
                  <w:pPr>
                    <w:pStyle w:val="BodyText"/>
                    <w:spacing w:line="240" w:lineRule="auto"/>
                    <w:ind w:left="0" w:right="0"/>
                    <w:jc w:val="left"/>
                  </w:pPr>
                  <w:r>
                    <w:rPr/>
                    <w:t>）</w:t>
                  </w:r>
                </w:p>
              </w:txbxContent>
            </v:textbox>
            <w10:wrap type="none"/>
          </v:shape>
        </w:pict>
      </w:r>
      <w:r>
        <w:rPr/>
        <w:pict>
          <v:shape style="position:absolute;margin-left:337.149994pt;margin-top:516.309998pt;width:102.15pt;height:108.25pt;mso-position-horizontal-relative:page;mso-position-vertical-relative:page;z-index:-8332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0"/>
                    <w:jc w:val="left"/>
                  </w:pPr>
                  <w:r>
                    <w:rPr/>
                    <w:t>通过公司及时、</w:t>
                  </w:r>
                </w:p>
              </w:txbxContent>
            </v:textbox>
            <w10:wrap type="none"/>
          </v:shape>
        </w:pict>
      </w:r>
      <w:r>
        <w:rPr/>
        <w:pict>
          <v:group style="position:absolute;margin-left:397.269989pt;margin-top:328.609985pt;width:42.05pt;height:295.95pt;mso-position-horizontal-relative:page;mso-position-vertical-relative:page;z-index:-833248" coordorigin="7945,6572" coordsize="841,5919">
            <v:group style="position:absolute;left:7945;top:6572;width:841;height:3745" coordorigin="7945,6572" coordsize="841,3745">
              <v:shape style="position:absolute;left:7945;top:6572;width:841;height:3745" coordorigin="7945,6572" coordsize="841,3745" path="m7945,10317l8786,10317,8786,6572,7945,6572,7945,10317xe" filled="true" fillcolor="#ffffff" stroked="false">
                <v:path arrowok="t"/>
                <v:fill type="solid"/>
              </v:shape>
            </v:group>
            <v:group style="position:absolute;left:7945;top:10326;width:841;height:2165" coordorigin="7945,10326" coordsize="841,2165">
              <v:shape style="position:absolute;left:7945;top:10326;width:841;height:2165" coordorigin="7945,10326" coordsize="841,2165" path="m7945,12491l8786,12491,8786,10326,7945,10326,7945,1249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853"/>
        <w:gridCol w:w="850"/>
        <w:gridCol w:w="1061"/>
      </w:tblGrid>
      <w:tr>
        <w:trPr>
          <w:trHeight w:val="675"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48"/>
              <w:jc w:val="left"/>
              <w:rPr>
                <w:rFonts w:ascii="宋体" w:hAnsi="宋体" w:cs="宋体" w:eastAsia="宋体" w:hint="default"/>
                <w:sz w:val="18"/>
                <w:szCs w:val="18"/>
              </w:rPr>
            </w:pPr>
            <w:r>
              <w:rPr>
                <w:rFonts w:ascii="宋体" w:hAnsi="宋体" w:cs="宋体" w:eastAsia="宋体" w:hint="default"/>
                <w:sz w:val="18"/>
                <w:szCs w:val="18"/>
              </w:rPr>
              <w:t>施；若违反该等承诺并给公司或者股东造成损 失的，愿意依法承担补偿责任。</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8202"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新晨科技股 份有限公司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关于未履行承诺的约束措施：</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本公司确认所 作出的或公开披露的承诺事项真实、有效，将 严格履行公司就首次公开发行股票并</w:t>
            </w:r>
            <w:r>
              <w:rPr>
                <w:rFonts w:ascii="宋体" w:hAnsi="宋体" w:cs="宋体" w:eastAsia="宋体" w:hint="default"/>
                <w:spacing w:val="1"/>
                <w:sz w:val="18"/>
                <w:szCs w:val="18"/>
              </w:rPr>
              <w:t> </w:t>
            </w:r>
            <w:r>
              <w:rPr>
                <w:rFonts w:ascii="宋体" w:hAnsi="宋体" w:cs="宋体" w:eastAsia="宋体" w:hint="default"/>
                <w:sz w:val="18"/>
                <w:szCs w:val="18"/>
              </w:rPr>
              <w:t>在创业</w:t>
            </w:r>
            <w:r>
              <w:rPr>
                <w:rFonts w:ascii="宋体" w:hAnsi="宋体" w:cs="宋体" w:eastAsia="宋体" w:hint="default"/>
                <w:sz w:val="18"/>
                <w:szCs w:val="18"/>
              </w:rPr>
              <w:t> 板上市所作出的所有公开承诺事项，积极接受 社会监督。如本公司在招股说明书中作出的相 关承诺未能履行、确已无法履行或无法按期履 行的（因相关法律法规、政策变化、自然灾害 及其他不可抗力等公司无法控制的客观原因导 </w:t>
            </w:r>
            <w:r>
              <w:rPr>
                <w:rFonts w:ascii="宋体" w:hAnsi="宋体" w:cs="宋体" w:eastAsia="宋体" w:hint="default"/>
                <w:spacing w:val="-8"/>
                <w:sz w:val="18"/>
                <w:szCs w:val="18"/>
              </w:rPr>
              <w:t>致的除外），公司自愿承担相应的法律后果和民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事赔偿责任，并采取以下措施：（</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）及时、充</w:t>
            </w:r>
            <w:r>
              <w:rPr>
                <w:rFonts w:ascii="宋体" w:hAnsi="宋体" w:cs="宋体" w:eastAsia="宋体" w:hint="default"/>
                <w:spacing w:val="-73"/>
                <w:sz w:val="18"/>
                <w:szCs w:val="18"/>
              </w:rPr>
              <w:t> </w:t>
            </w:r>
            <w:r>
              <w:rPr>
                <w:rFonts w:ascii="宋体" w:hAnsi="宋体" w:cs="宋体" w:eastAsia="宋体" w:hint="default"/>
                <w:sz w:val="18"/>
                <w:szCs w:val="18"/>
              </w:rPr>
              <w:t>分披露公司承诺未能履行、无法履行或无法按 </w:t>
            </w:r>
            <w:r>
              <w:rPr>
                <w:rFonts w:ascii="宋体" w:hAnsi="宋体" w:cs="宋体" w:eastAsia="宋体" w:hint="default"/>
                <w:spacing w:val="-5"/>
                <w:sz w:val="18"/>
                <w:szCs w:val="18"/>
              </w:rPr>
              <w:t>期履行的具体原因；（</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）向投资者提出补充承</w:t>
            </w:r>
            <w:r>
              <w:rPr>
                <w:rFonts w:ascii="宋体" w:hAnsi="宋体" w:cs="宋体" w:eastAsia="宋体" w:hint="default"/>
                <w:spacing w:val="-76"/>
                <w:sz w:val="18"/>
                <w:szCs w:val="18"/>
              </w:rPr>
              <w:t> </w:t>
            </w:r>
            <w:r>
              <w:rPr>
                <w:rFonts w:ascii="宋体" w:hAnsi="宋体" w:cs="宋体" w:eastAsia="宋体" w:hint="default"/>
                <w:sz w:val="18"/>
                <w:szCs w:val="18"/>
              </w:rPr>
              <w:t>诺或替代承诺，以尽可能保护公司及其投资者 的权益，并将上述补充承诺或替代承诺提交公 </w:t>
            </w:r>
            <w:r>
              <w:rPr>
                <w:rFonts w:ascii="宋体" w:hAnsi="宋体" w:cs="宋体" w:eastAsia="宋体" w:hint="default"/>
                <w:spacing w:val="-5"/>
                <w:sz w:val="18"/>
                <w:szCs w:val="18"/>
              </w:rPr>
              <w:t>司股东大会审议；（</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）在股东大会及中国证监</w:t>
            </w:r>
            <w:r>
              <w:rPr>
                <w:rFonts w:ascii="宋体" w:hAnsi="宋体" w:cs="宋体" w:eastAsia="宋体" w:hint="default"/>
                <w:spacing w:val="-76"/>
                <w:sz w:val="18"/>
                <w:szCs w:val="18"/>
              </w:rPr>
              <w:t> </w:t>
            </w:r>
            <w:r>
              <w:rPr>
                <w:rFonts w:ascii="宋体" w:hAnsi="宋体" w:cs="宋体" w:eastAsia="宋体" w:hint="default"/>
                <w:sz w:val="18"/>
                <w:szCs w:val="18"/>
              </w:rPr>
              <w:t>会指定的披露媒体上公开说明未履行承诺的具 </w:t>
            </w:r>
            <w:r>
              <w:rPr>
                <w:rFonts w:ascii="宋体" w:hAnsi="宋体" w:cs="宋体" w:eastAsia="宋体" w:hint="default"/>
                <w:spacing w:val="-5"/>
                <w:sz w:val="18"/>
                <w:szCs w:val="18"/>
              </w:rPr>
              <w:t>体原因，并向投资者道歉；（</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）公司因违反公</w:t>
            </w:r>
            <w:r>
              <w:rPr>
                <w:rFonts w:ascii="宋体" w:hAnsi="宋体" w:cs="宋体" w:eastAsia="宋体" w:hint="default"/>
                <w:spacing w:val="-76"/>
                <w:sz w:val="18"/>
                <w:szCs w:val="18"/>
              </w:rPr>
              <w:t> </w:t>
            </w:r>
            <w:r>
              <w:rPr>
                <w:rFonts w:ascii="宋体" w:hAnsi="宋体" w:cs="宋体" w:eastAsia="宋体" w:hint="default"/>
                <w:sz w:val="18"/>
                <w:szCs w:val="18"/>
              </w:rPr>
              <w:t>司承诺给投资者造成损失的，将依法对投资者 进行赔偿。</w:t>
            </w:r>
            <w:r>
              <w:rPr>
                <w:rFonts w:ascii="Times New Roman" w:hAnsi="Times New Roman" w:cs="Times New Roman" w:eastAsia="Times New Roman" w:hint="default"/>
                <w:sz w:val="18"/>
                <w:szCs w:val="18"/>
              </w:rPr>
              <w:t>2.</w:t>
            </w:r>
            <w:r>
              <w:rPr>
                <w:rFonts w:ascii="宋体" w:hAnsi="宋体" w:cs="宋体" w:eastAsia="宋体" w:hint="default"/>
                <w:sz w:val="18"/>
                <w:szCs w:val="18"/>
              </w:rPr>
              <w:t>如因相关法律法规、政策变化、 自然灾害及其他不可抗力等本公司无法控制的 客观原因导致本公司的承诺未能履行、确已无 法履行或无法按期履行的，本公司将采取以下 </w:t>
            </w:r>
            <w:r>
              <w:rPr>
                <w:rFonts w:ascii="宋体" w:hAnsi="宋体" w:cs="宋体" w:eastAsia="宋体" w:hint="default"/>
                <w:spacing w:val="-5"/>
                <w:sz w:val="18"/>
                <w:szCs w:val="18"/>
              </w:rPr>
              <w:t>措施：（</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）及时、充分披露本公司承诺未能履</w:t>
            </w:r>
            <w:r>
              <w:rPr>
                <w:rFonts w:ascii="宋体" w:hAnsi="宋体" w:cs="宋体" w:eastAsia="宋体" w:hint="default"/>
                <w:spacing w:val="-76"/>
                <w:sz w:val="18"/>
                <w:szCs w:val="18"/>
              </w:rPr>
              <w:t> </w:t>
            </w:r>
            <w:r>
              <w:rPr>
                <w:rFonts w:ascii="宋体" w:hAnsi="宋体" w:cs="宋体" w:eastAsia="宋体" w:hint="default"/>
                <w:spacing w:val="-8"/>
                <w:sz w:val="18"/>
                <w:szCs w:val="18"/>
              </w:rPr>
              <w:t>行、无法履行或无法按期履行的具体原因；（</w:t>
            </w:r>
            <w:r>
              <w:rPr>
                <w:rFonts w:ascii="Times New Roman" w:hAnsi="Times New Roman" w:cs="Times New Roman" w:eastAsia="Times New Roman" w:hint="default"/>
                <w:spacing w:val="-8"/>
                <w:sz w:val="18"/>
                <w:szCs w:val="18"/>
              </w:rPr>
              <w:t>2</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向投资者提出补充承诺或替代承诺，以尽可能 保护公司及其投资者的权益。</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504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4"/>
              <w:ind w:left="23" w:right="185"/>
              <w:jc w:val="left"/>
              <w:rPr>
                <w:rFonts w:ascii="宋体" w:hAnsi="宋体" w:cs="宋体" w:eastAsia="宋体" w:hint="default"/>
                <w:sz w:val="18"/>
                <w:szCs w:val="18"/>
              </w:rPr>
            </w:pP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 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关于未履行承诺的约束措施：</w:t>
            </w:r>
            <w:r>
              <w:rPr>
                <w:rFonts w:ascii="Times New Roman" w:hAnsi="Times New Roman" w:cs="Times New Roman" w:eastAsia="Times New Roman" w:hint="default"/>
                <w:sz w:val="18"/>
                <w:szCs w:val="18"/>
              </w:rPr>
              <w:t>1.</w:t>
            </w:r>
            <w:r>
              <w:rPr>
                <w:rFonts w:ascii="宋体" w:hAnsi="宋体" w:cs="宋体" w:eastAsia="宋体" w:hint="default"/>
                <w:sz w:val="18"/>
                <w:szCs w:val="18"/>
              </w:rPr>
              <w:t>如本人承诺未 能履行、确已无法履行或无法按期履行的（因 相关法律法规、政策变化、自然灾害及其他不 可抗力等本人无法控制的客观原因导致的除 </w:t>
            </w:r>
            <w:r>
              <w:rPr>
                <w:rFonts w:ascii="宋体" w:hAnsi="宋体" w:cs="宋体" w:eastAsia="宋体" w:hint="default"/>
                <w:spacing w:val="-18"/>
                <w:sz w:val="18"/>
                <w:szCs w:val="18"/>
              </w:rPr>
              <w:t>外），本人将采取以下措施：（</w:t>
            </w: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充分披露本人承诺未能履行、无法履行或无法 </w:t>
            </w:r>
            <w:r>
              <w:rPr>
                <w:rFonts w:ascii="宋体" w:hAnsi="宋体" w:cs="宋体" w:eastAsia="宋体" w:hint="default"/>
                <w:spacing w:val="-5"/>
                <w:sz w:val="18"/>
                <w:szCs w:val="18"/>
              </w:rPr>
              <w:t>按期履行的具体原因；（</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）向公司及其投资者</w:t>
            </w:r>
            <w:r>
              <w:rPr>
                <w:rFonts w:ascii="宋体" w:hAnsi="宋体" w:cs="宋体" w:eastAsia="宋体" w:hint="default"/>
                <w:spacing w:val="-76"/>
                <w:sz w:val="18"/>
                <w:szCs w:val="18"/>
              </w:rPr>
              <w:t> </w:t>
            </w:r>
            <w:r>
              <w:rPr>
                <w:rFonts w:ascii="宋体" w:hAnsi="宋体" w:cs="宋体" w:eastAsia="宋体" w:hint="default"/>
                <w:sz w:val="18"/>
                <w:szCs w:val="18"/>
              </w:rPr>
              <w:t>提出补充承诺或替代承诺，以尽可能保护公司 及其投资者的权益，并将上述补充承诺或替代 </w:t>
            </w:r>
            <w:r>
              <w:rPr>
                <w:rFonts w:ascii="宋体" w:hAnsi="宋体" w:cs="宋体" w:eastAsia="宋体" w:hint="default"/>
                <w:spacing w:val="-5"/>
                <w:sz w:val="18"/>
                <w:szCs w:val="18"/>
              </w:rPr>
              <w:t>承诺提交公司股东大会审议；（</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）在股东大会</w:t>
            </w:r>
            <w:r>
              <w:rPr>
                <w:rFonts w:ascii="宋体" w:hAnsi="宋体" w:cs="宋体" w:eastAsia="宋体" w:hint="default"/>
                <w:spacing w:val="-74"/>
                <w:sz w:val="18"/>
                <w:szCs w:val="18"/>
              </w:rPr>
              <w:t> </w:t>
            </w:r>
            <w:r>
              <w:rPr>
                <w:rFonts w:ascii="宋体" w:hAnsi="宋体" w:cs="宋体" w:eastAsia="宋体" w:hint="default"/>
                <w:sz w:val="18"/>
                <w:szCs w:val="18"/>
              </w:rPr>
              <w:t>及中国证监会指定的披露媒体上公开说明未履 </w:t>
            </w:r>
            <w:r>
              <w:rPr>
                <w:rFonts w:ascii="宋体" w:hAnsi="宋体" w:cs="宋体" w:eastAsia="宋体" w:hint="default"/>
                <w:spacing w:val="-5"/>
                <w:sz w:val="18"/>
                <w:szCs w:val="18"/>
              </w:rPr>
              <w:t>行承诺的具体原因，并向投资者道歉；（</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）本</w:t>
            </w:r>
            <w:r>
              <w:rPr>
                <w:rFonts w:ascii="宋体" w:hAnsi="宋体" w:cs="宋体" w:eastAsia="宋体" w:hint="default"/>
                <w:spacing w:val="-76"/>
                <w:sz w:val="18"/>
                <w:szCs w:val="18"/>
              </w:rPr>
              <w:t> </w:t>
            </w:r>
            <w:r>
              <w:rPr>
                <w:rFonts w:ascii="宋体" w:hAnsi="宋体" w:cs="宋体" w:eastAsia="宋体" w:hint="default"/>
                <w:sz w:val="18"/>
                <w:szCs w:val="18"/>
              </w:rPr>
              <w:t>人违反本人承诺所得收益将归属于公司，因此 给公司或投资者造成损失的，将依法对公司或 </w:t>
            </w:r>
            <w:r>
              <w:rPr>
                <w:rFonts w:ascii="宋体" w:hAnsi="宋体" w:cs="宋体" w:eastAsia="宋体" w:hint="default"/>
                <w:spacing w:val="-5"/>
                <w:sz w:val="18"/>
                <w:szCs w:val="18"/>
              </w:rPr>
              <w:t>投资者进行赔偿；（</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）本人同意公司调减向本</w:t>
            </w:r>
            <w:r>
              <w:rPr>
                <w:rFonts w:ascii="宋体" w:hAnsi="宋体" w:cs="宋体" w:eastAsia="宋体" w:hint="default"/>
                <w:spacing w:val="-76"/>
                <w:sz w:val="18"/>
                <w:szCs w:val="18"/>
              </w:rPr>
              <w:t> </w:t>
            </w:r>
            <w:r>
              <w:rPr>
                <w:rFonts w:ascii="宋体" w:hAnsi="宋体" w:cs="宋体" w:eastAsia="宋体" w:hint="default"/>
                <w:sz w:val="18"/>
                <w:szCs w:val="18"/>
              </w:rPr>
              <w:t>人发放工资、奖金和津贴，同意公司将本人应</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47.132996pt;margin-top:72.47998pt;width:192.2pt;height:251.7pt;mso-position-horizontal-relative:page;mso-position-vertical-relative:page;z-index:-8332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5"/>
                    <w:ind w:left="0" w:right="0"/>
                    <w:jc w:val="left"/>
                  </w:pPr>
                  <w:r>
                    <w:rPr/>
                    <w:t>以尽可能保护公司及其投资者的权益。</w:t>
                  </w:r>
                </w:p>
              </w:txbxContent>
            </v:textbox>
            <w10:wrap type="none"/>
          </v:shape>
        </w:pict>
      </w:r>
      <w:r>
        <w:rPr/>
        <w:pict>
          <v:shape style="position:absolute;margin-left:337.149994pt;margin-top:324.649994pt;width:102.15pt;height:195.05pt;mso-position-horizontal-relative:page;mso-position-vertical-relative:page;z-index:-8332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0"/>
                    <w:jc w:val="left"/>
                  </w:pPr>
                  <w:r>
                    <w:rPr/>
                    <w:t>通过公司及时、</w:t>
                  </w:r>
                </w:p>
              </w:txbxContent>
            </v:textbox>
            <w10:wrap type="none"/>
          </v:shape>
        </w:pict>
      </w:r>
      <w:r>
        <w:rPr/>
        <w:pict>
          <v:group style="position:absolute;margin-left:397.269989pt;margin-top:72.47998pt;width:42.05pt;height:447.2pt;mso-position-horizontal-relative:page;mso-position-vertical-relative:page;z-index:-833176" coordorigin="7945,1450" coordsize="841,8944">
            <v:group style="position:absolute;left:7945;top:1450;width:841;height:5034" coordorigin="7945,1450" coordsize="841,5034">
              <v:shape style="position:absolute;left:7945;top:1450;width:841;height:5034" coordorigin="7945,1450" coordsize="841,5034" path="m7945,6483l8786,6483,8786,1450,7945,1450,7945,6483xe" filled="true" fillcolor="#ffffff" stroked="false">
                <v:path arrowok="t"/>
                <v:fill type="solid"/>
              </v:shape>
            </v:group>
            <v:group style="position:absolute;left:7945;top:6493;width:841;height:3901" coordorigin="7945,6493" coordsize="841,3901">
              <v:shape style="position:absolute;left:7945;top:6493;width:841;height:3901" coordorigin="7945,6493" coordsize="841,3901" path="m7945,10393l8786,10393,8786,6493,7945,6493,7945,1039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853"/>
        <w:gridCol w:w="850"/>
        <w:gridCol w:w="1061"/>
      </w:tblGrid>
      <w:tr>
        <w:trPr>
          <w:trHeight w:val="315"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得的现金分红留置于公司，并将此直接用于执</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行未履行的承诺或用于赔偿因未履行承诺而给</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公司或投资者带来的损失</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）如因未履行承</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诺给公司或投资者造成损失的，本人将向公司</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或投资者依法承担赔偿责任；如本人未承担前</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述赔偿责任，则本人持有的发行人首次公开发</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行股票前股份（扣除发行人首次公开发行股票</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时老股发售股份）在本人履行完毕前述赔偿责</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任之前不得转让。</w:t>
            </w:r>
            <w:r>
              <w:rPr>
                <w:rFonts w:ascii="Times New Roman" w:hAnsi="Times New Roman" w:cs="Times New Roman" w:eastAsia="Times New Roman" w:hint="default"/>
                <w:sz w:val="18"/>
                <w:szCs w:val="18"/>
              </w:rPr>
              <w:t>2.</w:t>
            </w:r>
            <w:r>
              <w:rPr>
                <w:rFonts w:ascii="宋体" w:hAnsi="宋体" w:cs="宋体" w:eastAsia="宋体" w:hint="default"/>
                <w:sz w:val="18"/>
                <w:szCs w:val="18"/>
              </w:rPr>
              <w:t>如因相关法律法规、政策</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变化、自然灾害及其他不可抗力等本人无法控</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制的客观原因导致本人的承诺未能履行、确已</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无法履行或无法按期履行的，本人将采取以下</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）通过公司及时、充分披露本人承诺</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未能履行、无法履行或无法按期履行的具体原</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）向公司及其投资者提出补充承诺或替</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代承诺，</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关于未履行承诺的约束措施：</w:t>
            </w:r>
            <w:r>
              <w:rPr>
                <w:rFonts w:ascii="Times New Roman" w:hAnsi="Times New Roman" w:cs="Times New Roman" w:eastAsia="Times New Roman" w:hint="default"/>
                <w:sz w:val="18"/>
                <w:szCs w:val="18"/>
              </w:rPr>
              <w:t>1.</w:t>
            </w:r>
            <w:r>
              <w:rPr>
                <w:rFonts w:ascii="宋体" w:hAnsi="宋体" w:cs="宋体" w:eastAsia="宋体" w:hint="default"/>
                <w:sz w:val="18"/>
                <w:szCs w:val="18"/>
              </w:rPr>
              <w:t>如本人承诺未</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能履行、确已无法履行或无法按期履行的（因</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相关法律法规、政策变化、自然灾害及其他不</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可抗力等本人无法控制的客观原因导致的除</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2"/>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本人将采取以下措施</w:t>
            </w:r>
            <w:r>
              <w:rPr>
                <w:rFonts w:ascii="宋体" w:hAnsi="宋体" w:cs="宋体" w:eastAsia="宋体" w:hint="default"/>
                <w:spacing w:val="-14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充分披露本人承诺未能履行、无法履行或无法</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按期履行的具体原因</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）向公司及其投资者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提出补充承诺或替代承诺，以尽可能保护公司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及其投资者的权益，并将上述补充承诺或替代</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承诺提交公司股东大会审议</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）在股东大会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李亮</w:t>
            </w:r>
            <w:r>
              <w:rPr>
                <w:rFonts w:ascii="Times New Roman" w:hAnsi="Times New Roman" w:cs="Times New Roman" w:eastAsia="Times New Roman" w:hint="default"/>
                <w:sz w:val="18"/>
                <w:szCs w:val="18"/>
              </w:rPr>
              <w:t>;</w:t>
            </w:r>
            <w:r>
              <w:rPr>
                <w:rFonts w:ascii="宋体" w:hAnsi="宋体" w:cs="宋体" w:eastAsia="宋体" w:hint="default"/>
                <w:sz w:val="18"/>
                <w:szCs w:val="18"/>
              </w:rPr>
              <w:t>杨汉</w:t>
            </w: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及中国证监会指定的披露媒体上公开说明未履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杰</w:t>
            </w:r>
            <w:r>
              <w:rPr>
                <w:rFonts w:ascii="Times New Roman" w:hAnsi="Times New Roman" w:cs="Times New Roman" w:eastAsia="Times New Roman" w:hint="default"/>
                <w:sz w:val="18"/>
                <w:szCs w:val="18"/>
              </w:rPr>
              <w:t>;</w:t>
            </w:r>
            <w:r>
              <w:rPr>
                <w:rFonts w:ascii="宋体" w:hAnsi="宋体" w:cs="宋体" w:eastAsia="宋体" w:hint="default"/>
                <w:sz w:val="18"/>
                <w:szCs w:val="18"/>
              </w:rPr>
              <w:t>余克俭</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行承诺的具体原因，并向投资者道歉</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134"/>
              <w:jc w:val="both"/>
              <w:rPr>
                <w:rFonts w:ascii="宋体" w:hAnsi="宋体" w:cs="宋体" w:eastAsia="宋体" w:hint="default"/>
                <w:sz w:val="18"/>
                <w:szCs w:val="18"/>
              </w:rPr>
            </w:pPr>
            <w:r>
              <w:rPr>
                <w:rFonts w:ascii="宋体" w:hAnsi="宋体" w:cs="宋体" w:eastAsia="宋体" w:hint="default"/>
                <w:sz w:val="18"/>
                <w:szCs w:val="18"/>
              </w:rPr>
              <w:t>张大新</w:t>
            </w:r>
            <w:r>
              <w:rPr>
                <w:rFonts w:ascii="Times New Roman" w:hAnsi="Times New Roman" w:cs="Times New Roman" w:eastAsia="Times New Roman" w:hint="default"/>
                <w:sz w:val="18"/>
                <w:szCs w:val="18"/>
              </w:rPr>
              <w:t>;</w:t>
            </w:r>
            <w:r>
              <w:rPr>
                <w:rFonts w:ascii="宋体" w:hAnsi="宋体" w:cs="宋体" w:eastAsia="宋体" w:hint="default"/>
                <w:sz w:val="18"/>
                <w:szCs w:val="18"/>
              </w:rPr>
              <w:t>高 冠江</w:t>
            </w:r>
            <w:r>
              <w:rPr>
                <w:rFonts w:ascii="Times New Roman" w:hAnsi="Times New Roman" w:cs="Times New Roman" w:eastAsia="Times New Roman" w:hint="default"/>
                <w:sz w:val="18"/>
                <w:szCs w:val="18"/>
              </w:rPr>
              <w:t>;</w:t>
            </w:r>
            <w:r>
              <w:rPr>
                <w:rFonts w:ascii="宋体" w:hAnsi="宋体" w:cs="宋体" w:eastAsia="宋体" w:hint="default"/>
                <w:sz w:val="18"/>
                <w:szCs w:val="18"/>
              </w:rPr>
              <w:t>何育 松</w:t>
            </w:r>
            <w:r>
              <w:rPr>
                <w:rFonts w:ascii="Times New Roman" w:hAnsi="Times New Roman" w:cs="Times New Roman" w:eastAsia="Times New Roman" w:hint="default"/>
                <w:sz w:val="18"/>
                <w:szCs w:val="18"/>
              </w:rPr>
              <w:t>;</w:t>
            </w:r>
            <w:r>
              <w:rPr>
                <w:rFonts w:ascii="宋体" w:hAnsi="宋体" w:cs="宋体" w:eastAsia="宋体" w:hint="default"/>
                <w:sz w:val="18"/>
                <w:szCs w:val="18"/>
              </w:rPr>
              <w:t>罗炜</w:t>
            </w:r>
            <w:r>
              <w:rPr>
                <w:rFonts w:ascii="Times New Roman" w:hAnsi="Times New Roman" w:cs="Times New Roman" w:eastAsia="Times New Roman" w:hint="default"/>
                <w:sz w:val="18"/>
                <w:szCs w:val="18"/>
              </w:rPr>
              <w:t>;</w:t>
            </w:r>
            <w:r>
              <w:rPr>
                <w:rFonts w:ascii="宋体" w:hAnsi="宋体" w:cs="宋体" w:eastAsia="宋体" w:hint="default"/>
                <w:sz w:val="18"/>
                <w:szCs w:val="18"/>
              </w:rPr>
              <w:t>汤</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48"/>
              <w:jc w:val="both"/>
              <w:rPr>
                <w:rFonts w:ascii="宋体" w:hAnsi="宋体" w:cs="宋体" w:eastAsia="宋体" w:hint="default"/>
                <w:sz w:val="18"/>
                <w:szCs w:val="18"/>
              </w:rPr>
            </w:pPr>
            <w:r>
              <w:rPr>
                <w:rFonts w:ascii="宋体" w:hAnsi="宋体" w:cs="宋体" w:eastAsia="宋体" w:hint="default"/>
                <w:sz w:val="18"/>
                <w:szCs w:val="18"/>
              </w:rPr>
              <w:t>人违反本人承诺所得收益将归属于公司，因此 给公司或投资者造成损失的，将依法对公司或 </w:t>
            </w:r>
            <w:r>
              <w:rPr>
                <w:rFonts w:ascii="宋体" w:hAnsi="宋体" w:cs="宋体" w:eastAsia="宋体" w:hint="default"/>
                <w:spacing w:val="-5"/>
                <w:sz w:val="18"/>
                <w:szCs w:val="18"/>
              </w:rPr>
              <w:t>投资者进行赔偿；（</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）本人同意公司调减向本</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金资</w:t>
            </w:r>
            <w:r>
              <w:rPr>
                <w:rFonts w:ascii="Times New Roman" w:hAnsi="Times New Roman" w:cs="Times New Roman" w:eastAsia="Times New Roman" w:hint="default"/>
                <w:sz w:val="18"/>
                <w:szCs w:val="18"/>
              </w:rPr>
              <w:t>;</w:t>
            </w:r>
            <w:r>
              <w:rPr>
                <w:rFonts w:ascii="宋体" w:hAnsi="宋体" w:cs="宋体" w:eastAsia="宋体" w:hint="default"/>
                <w:sz w:val="18"/>
                <w:szCs w:val="18"/>
              </w:rPr>
              <w:t>周嘉</w:t>
            </w: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人发放工资、奖金和津贴，同意公司将本人应</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嘉</w:t>
            </w: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得的现金分红留置于公司，并将此直接用于执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行未履行的承诺或用于赔偿因未履行承诺而给</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公司或投资者带来的损失。</w:t>
            </w:r>
            <w:r>
              <w:rPr>
                <w:rFonts w:ascii="Times New Roman" w:hAnsi="Times New Roman" w:cs="Times New Roman" w:eastAsia="Times New Roman" w:hint="default"/>
                <w:sz w:val="18"/>
                <w:szCs w:val="18"/>
              </w:rPr>
              <w:t>2.</w:t>
            </w:r>
            <w:r>
              <w:rPr>
                <w:rFonts w:ascii="宋体" w:hAnsi="宋体" w:cs="宋体" w:eastAsia="宋体" w:hint="default"/>
                <w:sz w:val="18"/>
                <w:szCs w:val="18"/>
              </w:rPr>
              <w:t>如因相关法律法</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规、政策变化、自然灾害及其他不可抗力等本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人无法控制的客观原因导致本人的承诺未能履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行、确已无法履行或无法按期履行的，本人将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采取以下措施</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）通过公司及时、充分披露</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本人承诺未能履行、无法履行或无法按期履行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的具体原因</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）向公司及其投资者提出补充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承诺或替代承诺，以尽可能保护公司及其投资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者的权益。</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91.007019pt;margin-top:537.909973pt;width:48.3pt;height:93.6pt;mso-position-horizontal-relative:page;mso-position-vertical-relative:page;z-index:-8331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r>
        <w:rPr/>
        <w:pict>
          <v:shape style="position:absolute;margin-left:328.123993pt;margin-top:632.115967pt;width:111.2pt;height:45.75pt;mso-position-horizontal-relative:page;mso-position-vertical-relative:page;z-index:-833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2"/>
                      <w:szCs w:val="22"/>
                    </w:rPr>
                  </w:pPr>
                </w:p>
                <w:p>
                  <w:pPr>
                    <w:pStyle w:val="BodyText"/>
                    <w:spacing w:line="240" w:lineRule="auto"/>
                    <w:ind w:left="0" w:right="0"/>
                    <w:jc w:val="left"/>
                  </w:pPr>
                  <w:r>
                    <w:rPr/>
                    <w:t>关申请材料真实、</w:t>
                  </w:r>
                </w:p>
              </w:txbxContent>
            </v:textbox>
            <w10:wrap type="none"/>
          </v:shape>
        </w:pict>
      </w:r>
      <w:r>
        <w:rPr/>
        <w:pict>
          <v:group style="position:absolute;margin-left:397.269989pt;margin-top:537.909973pt;width:42.05pt;height:139.950pt;mso-position-horizontal-relative:page;mso-position-vertical-relative:page;z-index:-833104" coordorigin="7945,10758" coordsize="841,2799">
            <v:group style="position:absolute;left:7945;top:10758;width:841;height:1872" coordorigin="7945,10758" coordsize="841,1872">
              <v:shape style="position:absolute;left:7945;top:10758;width:841;height:1872" coordorigin="7945,10758" coordsize="841,1872" path="m7945,12630l8786,12630,8786,10758,7945,10758,7945,12630xe" filled="true" fillcolor="#ffffff" stroked="false">
                <v:path arrowok="t"/>
                <v:fill type="solid"/>
              </v:shape>
            </v:group>
            <v:group style="position:absolute;left:7945;top:12642;width:841;height:915" coordorigin="7945,12642" coordsize="841,915">
              <v:shape style="position:absolute;left:7945;top:12642;width:841;height:915" coordorigin="7945,12642" coordsize="841,915" path="m7945,13557l8786,13557,8786,12642,7945,12642,7945,1355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853"/>
        <w:gridCol w:w="850"/>
        <w:gridCol w:w="1061"/>
      </w:tblGrid>
      <w:tr>
        <w:trPr>
          <w:trHeight w:val="356"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关于利润分配政策的承诺：为维护中小投资者</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新晨科技股 份有限公司</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7"/>
              <w:jc w:val="both"/>
              <w:rPr>
                <w:rFonts w:ascii="宋体" w:hAnsi="宋体" w:cs="宋体" w:eastAsia="宋体" w:hint="default"/>
                <w:sz w:val="18"/>
                <w:szCs w:val="18"/>
              </w:rPr>
            </w:pPr>
            <w:r>
              <w:rPr>
                <w:rFonts w:ascii="宋体" w:hAnsi="宋体" w:cs="宋体" w:eastAsia="宋体" w:hint="default"/>
                <w:sz w:val="18"/>
                <w:szCs w:val="18"/>
              </w:rPr>
              <w:t>的利益，公司承诺将严格按照《新晨科技股份 </w:t>
            </w:r>
            <w:r>
              <w:rPr>
                <w:rFonts w:ascii="宋体" w:hAnsi="宋体" w:cs="宋体" w:eastAsia="宋体" w:hint="default"/>
                <w:spacing w:val="-16"/>
                <w:sz w:val="18"/>
                <w:szCs w:val="18"/>
              </w:rPr>
              <w:t>有限公司章程（草案）》规定的利润分配政策（包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括现金分红政策）履行利润分配决策程序，并</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实施利润分配。</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关于利润分配政策的承诺：新晨科技股份有限</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日发布的《上市公司监管指引第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29"/>
              <w:jc w:val="left"/>
              <w:rPr>
                <w:rFonts w:ascii="宋体" w:hAnsi="宋体" w:cs="宋体" w:eastAsia="宋体" w:hint="default"/>
                <w:sz w:val="18"/>
                <w:szCs w:val="18"/>
              </w:rPr>
            </w:pPr>
            <w:r>
              <w:rPr>
                <w:rFonts w:ascii="宋体" w:hAnsi="宋体" w:cs="宋体" w:eastAsia="宋体" w:hint="default"/>
                <w:sz w:val="18"/>
                <w:szCs w:val="18"/>
              </w:rPr>
              <w:t>公司现金分红</w:t>
            </w:r>
            <w:r>
              <w:rPr>
                <w:rFonts w:ascii="宋体" w:hAnsi="宋体" w:cs="宋体" w:eastAsia="宋体" w:hint="default"/>
                <w:spacing w:val="-92"/>
                <w:sz w:val="18"/>
                <w:szCs w:val="18"/>
              </w:rPr>
              <w:t>》</w:t>
            </w:r>
            <w:r>
              <w:rPr>
                <w:rFonts w:ascii="宋体" w:hAnsi="宋体" w:cs="宋体" w:eastAsia="宋体" w:hint="default"/>
                <w:sz w:val="18"/>
                <w:szCs w:val="18"/>
              </w:rPr>
              <w:t>（中国证监会</w:t>
            </w:r>
            <w:r>
              <w:rPr>
                <w:rFonts w:ascii="宋体" w:hAnsi="宋体" w:cs="宋体" w:eastAsia="宋体" w:hint="default"/>
                <w:spacing w:val="2"/>
                <w:sz w:val="18"/>
                <w:szCs w:val="18"/>
              </w:rPr>
              <w:t>公</w:t>
            </w:r>
            <w:r>
              <w:rPr>
                <w:rFonts w:ascii="宋体" w:hAnsi="宋体" w:cs="宋体" w:eastAsia="宋体" w:hint="default"/>
                <w:sz w:val="18"/>
                <w:szCs w:val="18"/>
              </w:rPr>
              <w:t>告</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0"/>
                <w:sz w:val="18"/>
                <w:szCs w:val="18"/>
              </w:rPr>
              <w:t>对</w:t>
            </w:r>
            <w:r>
              <w:rPr>
                <w:rFonts w:ascii="宋体" w:hAnsi="宋体" w:cs="宋体" w:eastAsia="宋体" w:hint="default"/>
                <w:sz w:val="18"/>
                <w:szCs w:val="18"/>
              </w:rPr>
              <w:t>《新晨科技股份有限公司章</w:t>
            </w:r>
            <w:r>
              <w:rPr>
                <w:rFonts w:ascii="宋体" w:hAnsi="宋体" w:cs="宋体" w:eastAsia="宋体" w:hint="default"/>
                <w:spacing w:val="-20"/>
                <w:sz w:val="18"/>
                <w:szCs w:val="18"/>
              </w:rPr>
              <w:t>程</w:t>
            </w: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中的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利润分配政策（包括现金分红政策）进行了修</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w:t>
            </w: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5"/>
                <w:sz w:val="18"/>
                <w:szCs w:val="18"/>
              </w:rPr>
              <w:t>改，并于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年第一次临时股东大会审议通过</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623"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4"/>
              <w:ind w:left="23" w:right="135"/>
              <w:jc w:val="left"/>
              <w:rPr>
                <w:rFonts w:ascii="宋体" w:hAnsi="宋体" w:cs="宋体" w:eastAsia="宋体" w:hint="default"/>
                <w:sz w:val="18"/>
                <w:szCs w:val="18"/>
              </w:rPr>
            </w:pPr>
            <w:r>
              <w:rPr>
                <w:rFonts w:ascii="宋体" w:hAnsi="宋体" w:cs="宋体" w:eastAsia="宋体" w:hint="default"/>
                <w:sz w:val="18"/>
                <w:szCs w:val="18"/>
              </w:rPr>
              <w:t>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张燕生</w:t>
            </w:r>
            <w:r>
              <w:rPr>
                <w:rFonts w:ascii="Times New Roman" w:hAnsi="Times New Roman" w:cs="Times New Roman" w:eastAsia="Times New Roman" w:hint="default"/>
                <w:sz w:val="18"/>
                <w:szCs w:val="18"/>
              </w:rPr>
              <w:t>; </w:t>
            </w:r>
            <w:r>
              <w:rPr>
                <w:rFonts w:ascii="宋体" w:hAnsi="宋体" w:cs="宋体" w:eastAsia="宋体" w:hint="default"/>
                <w:sz w:val="18"/>
                <w:szCs w:val="18"/>
              </w:rPr>
              <w:t>蒋琳华</w:t>
            </w:r>
            <w:r>
              <w:rPr>
                <w:rFonts w:ascii="Times New Roman" w:hAnsi="Times New Roman" w:cs="Times New Roman" w:eastAsia="Times New Roman" w:hint="default"/>
                <w:sz w:val="18"/>
                <w:szCs w:val="18"/>
              </w:rPr>
              <w:t>;</w:t>
            </w:r>
            <w:r>
              <w:rPr>
                <w:rFonts w:ascii="宋体" w:hAnsi="宋体" w:cs="宋体" w:eastAsia="宋体" w:hint="default"/>
                <w:sz w:val="18"/>
                <w:szCs w:val="18"/>
              </w:rPr>
              <w:t>徐</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9" w:lineRule="auto" w:before="4"/>
              <w:ind w:left="23" w:right="48"/>
              <w:jc w:val="left"/>
              <w:rPr>
                <w:rFonts w:ascii="宋体" w:hAnsi="宋体" w:cs="宋体" w:eastAsia="宋体" w:hint="default"/>
                <w:sz w:val="18"/>
                <w:szCs w:val="18"/>
              </w:rPr>
            </w:pPr>
            <w:r>
              <w:rPr>
                <w:rFonts w:ascii="宋体" w:hAnsi="宋体" w:cs="宋体" w:eastAsia="宋体" w:hint="default"/>
                <w:sz w:val="18"/>
                <w:szCs w:val="18"/>
              </w:rPr>
              <w:t>了《关于修订公司首次公开发行人民币普通股 股票并在创业板上市后适用的</w:t>
            </w:r>
            <w:r>
              <w:rPr>
                <w:rFonts w:ascii="Times New Roman" w:hAnsi="Times New Roman" w:cs="Times New Roman" w:eastAsia="Times New Roman" w:hint="default"/>
                <w:sz w:val="18"/>
                <w:szCs w:val="18"/>
              </w:rPr>
              <w:t>&lt;</w:t>
            </w:r>
            <w:r>
              <w:rPr>
                <w:rFonts w:ascii="宋体" w:hAnsi="宋体" w:cs="宋体" w:eastAsia="宋体" w:hint="default"/>
                <w:sz w:val="18"/>
                <w:szCs w:val="18"/>
              </w:rPr>
              <w:t>新晨科技股份</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连平</w:t>
            </w: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有限公司章程（草案）</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。作为公司的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实际控制人、持股</w:t>
            </w:r>
            <w:r>
              <w:rPr>
                <w:rFonts w:ascii="宋体" w:hAnsi="宋体" w:cs="宋体" w:eastAsia="宋体" w:hint="default"/>
                <w:spacing w:val="-32"/>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以上的股东，本人承诺将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从维护中小投资者利益的角度，根据《新晨科</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技股份有限公司章</w:t>
            </w:r>
            <w:r>
              <w:rPr>
                <w:rFonts w:ascii="宋体" w:hAnsi="宋体" w:cs="宋体" w:eastAsia="宋体" w:hint="default"/>
                <w:spacing w:val="-32"/>
                <w:sz w:val="18"/>
                <w:szCs w:val="18"/>
              </w:rPr>
              <w:t>程</w:t>
            </w: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中规定的利润分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配政策（包括现金分红政策）在相关股东大会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上进行投票表决，并督促公司根据相关决议实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施利润分配。</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关于利润分配政策的承诺：新晨科技股份有限</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日发布的《上市公司监管指引第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29"/>
              <w:jc w:val="left"/>
              <w:rPr>
                <w:rFonts w:ascii="宋体" w:hAnsi="宋体" w:cs="宋体" w:eastAsia="宋体" w:hint="default"/>
                <w:sz w:val="18"/>
                <w:szCs w:val="18"/>
              </w:rPr>
            </w:pPr>
            <w:r>
              <w:rPr>
                <w:rFonts w:ascii="宋体" w:hAnsi="宋体" w:cs="宋体" w:eastAsia="宋体" w:hint="default"/>
                <w:sz w:val="18"/>
                <w:szCs w:val="18"/>
              </w:rPr>
              <w:t>公司现金分红</w:t>
            </w:r>
            <w:r>
              <w:rPr>
                <w:rFonts w:ascii="宋体" w:hAnsi="宋体" w:cs="宋体" w:eastAsia="宋体" w:hint="default"/>
                <w:spacing w:val="-92"/>
                <w:sz w:val="18"/>
                <w:szCs w:val="18"/>
              </w:rPr>
              <w:t>》</w:t>
            </w:r>
            <w:r>
              <w:rPr>
                <w:rFonts w:ascii="宋体" w:hAnsi="宋体" w:cs="宋体" w:eastAsia="宋体" w:hint="default"/>
                <w:sz w:val="18"/>
                <w:szCs w:val="18"/>
              </w:rPr>
              <w:t>（中国证监会</w:t>
            </w:r>
            <w:r>
              <w:rPr>
                <w:rFonts w:ascii="宋体" w:hAnsi="宋体" w:cs="宋体" w:eastAsia="宋体" w:hint="default"/>
                <w:spacing w:val="2"/>
                <w:sz w:val="18"/>
                <w:szCs w:val="18"/>
              </w:rPr>
              <w:t>公</w:t>
            </w:r>
            <w:r>
              <w:rPr>
                <w:rFonts w:ascii="宋体" w:hAnsi="宋体" w:cs="宋体" w:eastAsia="宋体" w:hint="default"/>
                <w:sz w:val="18"/>
                <w:szCs w:val="18"/>
              </w:rPr>
              <w:t>告</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0"/>
                <w:sz w:val="18"/>
                <w:szCs w:val="18"/>
              </w:rPr>
              <w:t>对</w:t>
            </w:r>
            <w:r>
              <w:rPr>
                <w:rFonts w:ascii="宋体" w:hAnsi="宋体" w:cs="宋体" w:eastAsia="宋体" w:hint="default"/>
                <w:sz w:val="18"/>
                <w:szCs w:val="18"/>
              </w:rPr>
              <w:t>《新晨科技股份有限公司章</w:t>
            </w:r>
            <w:r>
              <w:rPr>
                <w:rFonts w:ascii="宋体" w:hAnsi="宋体" w:cs="宋体" w:eastAsia="宋体" w:hint="default"/>
                <w:spacing w:val="-20"/>
                <w:sz w:val="18"/>
                <w:szCs w:val="18"/>
              </w:rPr>
              <w:t>程</w:t>
            </w: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中的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利润分配政策（包括现金分红政策）进行了修</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185"/>
              <w:jc w:val="left"/>
              <w:rPr>
                <w:rFonts w:ascii="宋体" w:hAnsi="宋体" w:cs="宋体" w:eastAsia="宋体" w:hint="default"/>
                <w:sz w:val="18"/>
                <w:szCs w:val="18"/>
              </w:rPr>
            </w:pPr>
            <w:r>
              <w:rPr>
                <w:rFonts w:ascii="宋体" w:hAnsi="宋体" w:cs="宋体" w:eastAsia="宋体" w:hint="default"/>
                <w:sz w:val="18"/>
                <w:szCs w:val="18"/>
              </w:rPr>
              <w:t>高冠江</w:t>
            </w:r>
            <w:r>
              <w:rPr>
                <w:rFonts w:ascii="Times New Roman" w:hAnsi="Times New Roman" w:cs="Times New Roman" w:eastAsia="Times New Roman" w:hint="default"/>
                <w:sz w:val="18"/>
                <w:szCs w:val="18"/>
              </w:rPr>
              <w:t>;</w:t>
            </w:r>
            <w:r>
              <w:rPr>
                <w:rFonts w:ascii="宋体" w:hAnsi="宋体" w:cs="宋体" w:eastAsia="宋体" w:hint="default"/>
                <w:sz w:val="18"/>
                <w:szCs w:val="18"/>
              </w:rPr>
              <w:t>罗 炜</w:t>
            </w:r>
            <w:r>
              <w:rPr>
                <w:rFonts w:ascii="Times New Roman" w:hAnsi="Times New Roman" w:cs="Times New Roman" w:eastAsia="Times New Roman" w:hint="default"/>
                <w:sz w:val="18"/>
                <w:szCs w:val="18"/>
              </w:rPr>
              <w:t>;</w:t>
            </w:r>
            <w:r>
              <w:rPr>
                <w:rFonts w:ascii="宋体" w:hAnsi="宋体" w:cs="宋体" w:eastAsia="宋体" w:hint="default"/>
                <w:sz w:val="18"/>
                <w:szCs w:val="18"/>
              </w:rPr>
              <w:t>杨汉杰</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19"/>
              <w:jc w:val="left"/>
              <w:rPr>
                <w:rFonts w:ascii="宋体" w:hAnsi="宋体" w:cs="宋体" w:eastAsia="宋体" w:hint="default"/>
                <w:sz w:val="18"/>
                <w:szCs w:val="18"/>
              </w:rPr>
            </w:pPr>
            <w:r>
              <w:rPr>
                <w:rFonts w:ascii="宋体" w:hAnsi="宋体" w:cs="宋体" w:eastAsia="宋体" w:hint="default"/>
                <w:spacing w:val="-15"/>
                <w:sz w:val="18"/>
                <w:szCs w:val="18"/>
              </w:rPr>
              <w:t>改，并于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 了《关于修订公司首次公开发行人民币普通股</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股票并在创业板上市后适用的</w:t>
            </w:r>
            <w:r>
              <w:rPr>
                <w:rFonts w:ascii="Times New Roman" w:hAnsi="Times New Roman" w:cs="Times New Roman" w:eastAsia="Times New Roman" w:hint="default"/>
                <w:sz w:val="18"/>
                <w:szCs w:val="18"/>
              </w:rPr>
              <w:t>&lt;</w:t>
            </w:r>
            <w:r>
              <w:rPr>
                <w:rFonts w:ascii="宋体" w:hAnsi="宋体" w:cs="宋体" w:eastAsia="宋体" w:hint="default"/>
                <w:sz w:val="18"/>
                <w:szCs w:val="18"/>
              </w:rPr>
              <w:t>新晨科技股份</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有限公司章程（草案）</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。作为公司的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董事，本人承诺将从维护中小投资者利益的角</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8"/>
                <w:sz w:val="18"/>
                <w:szCs w:val="18"/>
              </w:rPr>
              <w:t>度，根据《新晨科技股份有限公司章程（草案）</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中规定的利润分配政策（包括现金分红政策）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在相关董事会上进行投票表决。</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关于回购首次公开发行股票及依法赔偿投资者</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损失的承诺：公司首次公开发行股票并在创业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板上市的《招股说明书》及相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55"/>
              <w:jc w:val="left"/>
              <w:rPr>
                <w:rFonts w:ascii="宋体" w:hAnsi="宋体" w:cs="宋体" w:eastAsia="宋体" w:hint="default"/>
                <w:sz w:val="18"/>
                <w:szCs w:val="18"/>
              </w:rPr>
            </w:pPr>
            <w:r>
              <w:rPr>
                <w:rFonts w:ascii="宋体" w:hAnsi="宋体" w:cs="宋体" w:eastAsia="宋体" w:hint="default"/>
                <w:sz w:val="18"/>
                <w:szCs w:val="18"/>
              </w:rPr>
              <w:t>新晨科技股 份有限公司</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48"/>
              <w:jc w:val="left"/>
              <w:rPr>
                <w:rFonts w:ascii="宋体" w:hAnsi="宋体" w:cs="宋体" w:eastAsia="宋体" w:hint="default"/>
                <w:sz w:val="18"/>
                <w:szCs w:val="18"/>
              </w:rPr>
            </w:pPr>
            <w:r>
              <w:rPr>
                <w:rFonts w:ascii="宋体" w:hAnsi="宋体" w:cs="宋体" w:eastAsia="宋体" w:hint="default"/>
                <w:sz w:val="18"/>
                <w:szCs w:val="18"/>
              </w:rPr>
              <w:t>准确、完整、及时，不存在虚假记载、误导性 陈述或重大遗漏。本公司招股说明书若有虚假</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记载、误导性陈述或者重大遗漏，对判断公司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是否符合法律规定的发行条件构成重大、实质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影响的，本公司董事会将在证券监管部门依法</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28.123993pt;margin-top:387.049988pt;width:111.2pt;height:171.65pt;mso-position-horizontal-relative:page;mso-position-vertical-relative:page;z-index:-8330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pStyle w:val="BodyText"/>
                    <w:spacing w:line="240" w:lineRule="auto"/>
                    <w:ind w:left="0" w:right="0"/>
                    <w:jc w:val="left"/>
                  </w:pPr>
                  <w:r>
                    <w:rPr/>
                    <w:t>关申请材料真实、</w:t>
                  </w:r>
                </w:p>
              </w:txbxContent>
            </v:textbox>
            <w10:wrap type="none"/>
          </v:shape>
        </w:pict>
      </w:r>
      <w:r>
        <w:rPr/>
        <w:pict>
          <v:group style="position:absolute;margin-left:397.269989pt;margin-top:387.049988pt;width:42.05pt;height:171.65pt;mso-position-horizontal-relative:page;mso-position-vertical-relative:page;z-index:-833056" coordorigin="7945,7741" coordsize="841,3433">
            <v:shape style="position:absolute;left:7945;top:7741;width:841;height:3433" coordorigin="7945,7741" coordsize="841,3433" path="m7945,11173l8786,11173,8786,7741,7945,7741,7945,1117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853"/>
        <w:gridCol w:w="850"/>
        <w:gridCol w:w="1061"/>
      </w:tblGrid>
      <w:tr>
        <w:trPr>
          <w:trHeight w:val="315"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对上述事实作出认定后五个工作日内，制订股</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份回购方案并提交股东大会审议批准。股东大</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会审议批准后三十个交易日内，公司将依法回</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购首次公开发行的全部新股，回购价格为当时</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公司股票二级市场价格，且不低于公司股票首</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次公开发行价格加上同期银行存款利息；若公</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司股票停牌，则回购价格不低于公司股票停牌</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前一日的平均交易价格，且不低于公司股票首</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次公开发行价格加上同期银行存款利息（若公</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司股票有派息、送股、资本公积金转增股本等</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除权、除息事项的，回购的股份包括首次公开</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发行的全部新股及其派生股份，发行价格将相</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应进行除权</w:t>
            </w:r>
            <w:r>
              <w:rPr>
                <w:rFonts w:ascii="宋体" w:hAnsi="宋体" w:cs="宋体" w:eastAsia="宋体" w:hint="default"/>
                <w:spacing w:val="-32"/>
                <w:sz w:val="18"/>
                <w:szCs w:val="18"/>
              </w:rPr>
              <w:t>、</w:t>
            </w:r>
            <w:r>
              <w:rPr>
                <w:rFonts w:ascii="宋体" w:hAnsi="宋体" w:cs="宋体" w:eastAsia="宋体" w:hint="default"/>
                <w:sz w:val="18"/>
                <w:szCs w:val="18"/>
              </w:rPr>
              <w:t>除息调整</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对</w:t>
            </w:r>
            <w:r>
              <w:rPr>
                <w:rFonts w:ascii="宋体" w:hAnsi="宋体" w:cs="宋体" w:eastAsia="宋体" w:hint="default"/>
                <w:spacing w:val="2"/>
                <w:sz w:val="18"/>
                <w:szCs w:val="18"/>
              </w:rPr>
              <w:t>于</w:t>
            </w:r>
            <w:r>
              <w:rPr>
                <w:rFonts w:ascii="宋体" w:hAnsi="宋体" w:cs="宋体" w:eastAsia="宋体" w:hint="default"/>
                <w:sz w:val="18"/>
                <w:szCs w:val="18"/>
              </w:rPr>
              <w:t>首次公开发行股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票时公司股东发售的原限售股份，本公司将在</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证券监管部门依法对上述事实作出认定后五个</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工作日内，要求公司实际控制人制订股份购回</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方案并予以公告。本公司招股说明书若有虚假</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记载、误导性陈述或者重大遗漏，致使投资者</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在证券交易中遭受损失的，本公司将依法赔偿</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投资者损失。</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关于回购首次公开发行股票及依法赔偿投资者</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损失的承诺：公司首次公开发行股票并在创业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板上市的《招股说明书》及相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准确、完整、及时，不存在虚假记载、误导性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陈述或重大遗漏。本公司招股说明书若有虚假</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记载、误导性陈述或者重大遗漏，对判断本公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司是否符合法律规定的发行条件构成重大、实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质影响的，本人将在证券监管部门依法对上述</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事实作出认定后五个工作日内，制订股份购回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方案并予以公告，依法购回首次公开发行股票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时本人发售的原限售股份，购回价格为当时公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185"/>
              <w:jc w:val="left"/>
              <w:rPr>
                <w:rFonts w:ascii="宋体" w:hAnsi="宋体" w:cs="宋体" w:eastAsia="宋体" w:hint="default"/>
                <w:sz w:val="18"/>
                <w:szCs w:val="18"/>
              </w:rPr>
            </w:pP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 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张燕生</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48"/>
              <w:jc w:val="left"/>
              <w:rPr>
                <w:rFonts w:ascii="宋体" w:hAnsi="宋体" w:cs="宋体" w:eastAsia="宋体" w:hint="default"/>
                <w:sz w:val="18"/>
                <w:szCs w:val="18"/>
              </w:rPr>
            </w:pPr>
            <w:r>
              <w:rPr>
                <w:rFonts w:ascii="宋体" w:hAnsi="宋体" w:cs="宋体" w:eastAsia="宋体" w:hint="default"/>
                <w:sz w:val="18"/>
                <w:szCs w:val="18"/>
              </w:rPr>
              <w:t>司股票二级市场价格，且不低于公司股票首次 公开发行价格加上同期银行存款利息；若公司</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股票停牌，则购回价格不低于公司股票停牌前</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一日的平均交易价格，且不低于公司股票首次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公开发行价格加上同期银行存款利息（若公司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股票有派息、送股、资本公积金转增股本等除</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权、除息事项的，购回的股份包括原限售股份</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及其派生股份，发行价格将相应进行除权、除</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息调整</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本人作为公司的实</w:t>
            </w:r>
            <w:r>
              <w:rPr>
                <w:rFonts w:ascii="宋体" w:hAnsi="宋体" w:cs="宋体" w:eastAsia="宋体" w:hint="default"/>
                <w:spacing w:val="2"/>
                <w:sz w:val="18"/>
                <w:szCs w:val="18"/>
              </w:rPr>
              <w:t>际</w:t>
            </w:r>
            <w:r>
              <w:rPr>
                <w:rFonts w:ascii="宋体" w:hAnsi="宋体" w:cs="宋体" w:eastAsia="宋体" w:hint="default"/>
                <w:sz w:val="18"/>
                <w:szCs w:val="18"/>
              </w:rPr>
              <w:t>控制人</w:t>
            </w:r>
            <w:r>
              <w:rPr>
                <w:rFonts w:ascii="宋体" w:hAnsi="宋体" w:cs="宋体" w:eastAsia="宋体" w:hint="default"/>
                <w:spacing w:val="-32"/>
                <w:sz w:val="18"/>
                <w:szCs w:val="18"/>
              </w:rPr>
              <w:t>，</w:t>
            </w:r>
            <w:r>
              <w:rPr>
                <w:rFonts w:ascii="宋体" w:hAnsi="宋体" w:cs="宋体" w:eastAsia="宋体" w:hint="default"/>
                <w:sz w:val="18"/>
                <w:szCs w:val="18"/>
              </w:rPr>
              <w:t>将督促</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本公司依法回购首次公开发行的全部新股。本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公司招股说明书若有虚假记载、误导性陈述或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者重大遗漏，致使投资者在证券交易中遭受损</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失的，本人将依法赔偿投资者损失。</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53"/>
        <w:gridCol w:w="1003"/>
        <w:gridCol w:w="853"/>
        <w:gridCol w:w="3684"/>
        <w:gridCol w:w="853"/>
        <w:gridCol w:w="850"/>
        <w:gridCol w:w="1061"/>
      </w:tblGrid>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003" w:type="dxa"/>
            <w:tcBorders>
              <w:top w:val="single" w:sz="4" w:space="0" w:color="000000"/>
              <w:left w:val="single" w:sz="13"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9"/>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003" w:type="dxa"/>
            <w:tcBorders>
              <w:top w:val="single" w:sz="4" w:space="0" w:color="000000"/>
              <w:left w:val="single" w:sz="13"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149"/>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003" w:type="dxa"/>
            <w:vMerge w:val="restart"/>
            <w:tcBorders>
              <w:top w:val="single" w:sz="4" w:space="0" w:color="000000"/>
              <w:left w:val="single" w:sz="13" w:space="0" w:color="D2D2D2"/>
              <w:right w:val="single" w:sz="9" w:space="0" w:color="D2D2D2"/>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253" w:type="dxa"/>
            <w:vMerge/>
            <w:tcBorders>
              <w:left w:val="single" w:sz="4" w:space="0" w:color="000000"/>
              <w:right w:val="single" w:sz="4" w:space="0" w:color="000000"/>
            </w:tcBorders>
            <w:shd w:val="clear" w:color="auto" w:fill="D2D2D2"/>
          </w:tcPr>
          <w:p>
            <w:pPr/>
          </w:p>
        </w:tc>
        <w:tc>
          <w:tcPr>
            <w:tcW w:w="1003" w:type="dxa"/>
            <w:vMerge/>
            <w:tcBorders>
              <w:left w:val="single" w:sz="13" w:space="0" w:color="D2D2D2"/>
              <w:right w:val="single" w:sz="9" w:space="0" w:color="D2D2D2"/>
            </w:tcBorders>
          </w:tcPr>
          <w:p>
            <w:pPr/>
          </w:p>
        </w:tc>
        <w:tc>
          <w:tcPr>
            <w:tcW w:w="853" w:type="dxa"/>
            <w:tcBorders>
              <w:top w:val="nil" w:sz="6" w:space="0" w:color="auto"/>
              <w:left w:val="single" w:sz="4" w:space="0" w:color="000000"/>
              <w:bottom w:val="nil" w:sz="6" w:space="0" w:color="auto"/>
              <w:right w:val="single" w:sz="4" w:space="0" w:color="000000"/>
            </w:tcBorders>
            <w:shd w:val="clear" w:color="auto" w:fill="D2D2D2"/>
          </w:tcPr>
          <w:p>
            <w:pPr/>
          </w:p>
        </w:tc>
        <w:tc>
          <w:tcPr>
            <w:tcW w:w="3684" w:type="dxa"/>
            <w:tcBorders>
              <w:top w:val="nil" w:sz="6" w:space="0" w:color="auto"/>
              <w:left w:val="single" w:sz="4" w:space="0" w:color="000000"/>
              <w:bottom w:val="nil" w:sz="6" w:space="0" w:color="auto"/>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shd w:val="clear" w:color="auto" w:fill="D2D2D2"/>
          </w:tcPr>
          <w:p>
            <w:pPr/>
          </w:p>
        </w:tc>
        <w:tc>
          <w:tcPr>
            <w:tcW w:w="1061"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2"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13" w:space="0" w:color="D2D2D2"/>
              <w:bottom w:val="single" w:sz="4" w:space="0" w:color="000000"/>
              <w:right w:val="single" w:sz="9" w:space="0" w:color="D2D2D2"/>
            </w:tcBorders>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0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5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3"/>
        </w:rPr>
        <w:t> </w:t>
      </w:r>
      <w:r>
        <w:rPr>
          <w:spacing w:val="-63"/>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85" w:lineRule="auto" w:before="55"/>
        <w:ind w:right="150"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日，财政部发布了《关于印发修订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16</w:t>
      </w:r>
      <w:r>
        <w:rPr/>
        <w:t>号</w:t>
      </w:r>
      <w:r>
        <w:rPr>
          <w:rFonts w:ascii="宋体" w:hAnsi="宋体" w:cs="宋体" w:eastAsia="宋体" w:hint="default"/>
          <w:sz w:val="24"/>
          <w:szCs w:val="24"/>
        </w:rPr>
        <w:t>--</w:t>
      </w:r>
      <w:r>
        <w:rPr/>
        <w:t>政府补助</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[2017]15</w:t>
      </w:r>
      <w:r>
        <w:rPr/>
        <w:t>号）， 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日起施行。根据该准则的要求，公司在利润表中的</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项目之上单独列报</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项目。与企业日 </w:t>
      </w:r>
      <w:r>
        <w:rPr>
          <w:spacing w:val="-2"/>
        </w:rPr>
        <w:t>常活动相关的政府补助，按照经济业务实质，记入其他收益或冲减相关成本费用。与日常活动无关的政府补助，计入营业外</w:t>
      </w:r>
    </w:p>
    <w:p>
      <w:pPr>
        <w:pStyle w:val="BodyText"/>
        <w:spacing w:line="307" w:lineRule="auto" w:before="42"/>
        <w:ind w:right="155"/>
        <w:jc w:val="both"/>
      </w:pPr>
      <w:r>
        <w:rPr/>
        <w:t>收支。本报告期中，计入其他收益的政府补助金额</w:t>
      </w:r>
      <w:r>
        <w:rPr>
          <w:rFonts w:ascii="Times New Roman" w:hAnsi="Times New Roman" w:cs="Times New Roman" w:eastAsia="Times New Roman" w:hint="default"/>
        </w:rPr>
        <w:t>505,017.96</w:t>
      </w:r>
      <w:r>
        <w:rPr/>
        <w:t>元，冲减相关费用的政府补助金额</w:t>
      </w:r>
      <w:r>
        <w:rPr>
          <w:rFonts w:ascii="Times New Roman" w:hAnsi="Times New Roman" w:cs="Times New Roman" w:eastAsia="Times New Roman" w:hint="default"/>
        </w:rPr>
        <w:t>0.00</w:t>
      </w:r>
      <w:r>
        <w:rPr/>
        <w:t>元。计入营业外收支的 政府补助金额</w:t>
      </w:r>
      <w:r>
        <w:rPr>
          <w:rFonts w:ascii="Times New Roman" w:hAnsi="Times New Roman" w:cs="Times New Roman" w:eastAsia="Times New Roman" w:hint="default"/>
        </w:rPr>
        <w:t>0.00</w:t>
      </w:r>
      <w:r>
        <w:rPr/>
        <w:t>元。该变更对财务状况、经营成果和现金流量无重大影响。</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日，公司召开了第九届董事会第 </w:t>
      </w:r>
      <w:r>
        <w:rPr>
          <w:spacing w:val="-2"/>
        </w:rPr>
        <w:t>三次会议和第九届监事会第二次会议，审议通过了《关于公司会计政策变更的议案》，独立董事发表了同意的独立意见，具</w:t>
      </w:r>
      <w:r>
        <w:rPr>
          <w:spacing w:val="-67"/>
        </w:rPr>
        <w:t> </w:t>
      </w:r>
      <w:r>
        <w:rPr>
          <w:spacing w:val="-67"/>
        </w:rPr>
      </w:r>
      <w:r>
        <w:rPr/>
        <w:t>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日在巨潮资讯网（</w:t>
      </w:r>
      <w:hyperlink r:id="rId11">
        <w:r>
          <w:rPr>
            <w:rFonts w:ascii="Times New Roman" w:hAnsi="Times New Roman" w:cs="Times New Roman" w:eastAsia="Times New Roman" w:hint="default"/>
          </w:rPr>
          <w:t>http://www.cninfo.com.cn</w:t>
        </w:r>
      </w:hyperlink>
      <w:r>
        <w:rPr/>
        <w:t>）上刊登的《关于公司会计政策变更的公告</w:t>
      </w:r>
      <w:r>
        <w:rPr>
          <w:spacing w:val="-26"/>
        </w:rPr>
        <w:t> </w:t>
      </w:r>
      <w:r>
        <w:rPr/>
        <w:t>》</w:t>
      </w:r>
    </w:p>
    <w:p>
      <w:pPr>
        <w:pStyle w:val="BodyText"/>
        <w:spacing w:line="240" w:lineRule="auto" w:before="7"/>
        <w:ind w:right="0"/>
        <w:jc w:val="both"/>
      </w:pPr>
      <w:r>
        <w:rPr/>
        <w:t>（</w:t>
      </w:r>
      <w:r>
        <w:rPr>
          <w:rFonts w:ascii="Times New Roman" w:hAnsi="Times New Roman" w:cs="Times New Roman" w:eastAsia="Times New Roman" w:hint="default"/>
        </w:rPr>
        <w:t>2017-075</w:t>
      </w:r>
      <w:r>
        <w:rPr/>
        <w:t>）。</w:t>
      </w:r>
    </w:p>
    <w:p>
      <w:pPr>
        <w:pStyle w:val="BodyText"/>
        <w:spacing w:line="254" w:lineRule="auto" w:before="14"/>
        <w:ind w:right="151" w:firstLine="360"/>
        <w:jc w:val="both"/>
      </w:pPr>
      <w:r>
        <w:rPr>
          <w:rFonts w:ascii="Times New Roman" w:hAnsi="Times New Roman" w:cs="Times New Roman" w:eastAsia="Times New Roman" w:hint="default"/>
        </w:rPr>
        <w:t>2</w:t>
      </w:r>
      <w:r>
        <w:rPr/>
        <w:t>、根据《企业会计准则第</w:t>
      </w:r>
      <w:r>
        <w:rPr>
          <w:rFonts w:ascii="Times New Roman" w:hAnsi="Times New Roman" w:cs="Times New Roman" w:eastAsia="Times New Roman" w:hint="default"/>
        </w:rPr>
        <w:t>28</w:t>
      </w:r>
      <w:r>
        <w:rPr>
          <w:rFonts w:ascii="Times New Roman" w:hAnsi="Times New Roman" w:cs="Times New Roman" w:eastAsia="Times New Roman" w:hint="default"/>
          <w:spacing w:val="27"/>
        </w:rPr>
        <w:t> </w:t>
      </w:r>
      <w:r>
        <w:rPr/>
        <w:t>号</w:t>
      </w:r>
      <w:r>
        <w:rPr>
          <w:rFonts w:ascii="宋体" w:hAnsi="宋体" w:cs="宋体" w:eastAsia="宋体" w:hint="default"/>
          <w:sz w:val="24"/>
          <w:szCs w:val="24"/>
        </w:rPr>
        <w:t>--</w:t>
      </w:r>
      <w:r>
        <w:rPr/>
        <w:t>会计政策、会计估计变更和差错更正》的相关规定，并结合公司实际情况，公司对 固定资产</w:t>
      </w:r>
      <w:r>
        <w:rPr>
          <w:rFonts w:ascii="宋体" w:hAnsi="宋体" w:cs="宋体" w:eastAsia="宋体" w:hint="default"/>
          <w:sz w:val="24"/>
          <w:szCs w:val="24"/>
        </w:rPr>
        <w:t>--</w:t>
      </w:r>
      <w:r>
        <w:rPr/>
        <w:t>房屋及建筑物的折旧年限进行变更。本次会计估计变更采用未来适用法进行会计处理，不需追溯调整，不会对 </w:t>
      </w:r>
      <w:r>
        <w:rPr>
          <w:spacing w:val="-2"/>
        </w:rPr>
        <w:t>以前年度财务状况和经营成果产生影响，本次会计估计变更无需对已披露的财务报告进行追溯调整。</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w:t>
      </w:r>
    </w:p>
    <w:p>
      <w:pPr>
        <w:pStyle w:val="BodyText"/>
        <w:spacing w:line="309" w:lineRule="auto" w:before="51"/>
        <w:ind w:right="153"/>
        <w:jc w:val="both"/>
      </w:pPr>
      <w:r>
        <w:rPr>
          <w:spacing w:val="-2"/>
        </w:rPr>
        <w:t>召开了第九届董事会第四次会议和第九届监事会第三次会议，审议通过了《关于公司会计估计变更的议案》，独立董事发表</w:t>
      </w:r>
      <w:r>
        <w:rPr>
          <w:spacing w:val="-66"/>
        </w:rPr>
        <w:t> </w:t>
      </w:r>
      <w:r>
        <w:rPr>
          <w:spacing w:val="-66"/>
        </w:rPr>
      </w:r>
      <w:r>
        <w:rPr/>
        <w:t>了同意的独立意见，具体内容详见公司于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日在巨潮资讯网（</w:t>
      </w:r>
      <w:hyperlink r:id="rId11">
        <w:r>
          <w:rPr>
            <w:rFonts w:ascii="Times New Roman" w:hAnsi="Times New Roman" w:cs="Times New Roman" w:eastAsia="Times New Roman" w:hint="default"/>
          </w:rPr>
          <w:t>http://www.cninfo.com.cn</w:t>
        </w:r>
      </w:hyperlink>
      <w:r>
        <w:rPr/>
        <w:t>）上刊登的《关于会计估 计变更的公告》（</w:t>
      </w:r>
      <w:r>
        <w:rPr>
          <w:rFonts w:ascii="Times New Roman" w:hAnsi="Times New Roman" w:cs="Times New Roman" w:eastAsia="Times New Roman" w:hint="default"/>
        </w:rPr>
        <w:t>2017-087</w:t>
      </w:r>
      <w:r>
        <w:rPr/>
        <w:t>）。</w:t>
      </w:r>
    </w:p>
    <w:p>
      <w:pPr>
        <w:spacing w:after="0" w:line="309" w:lineRule="auto"/>
        <w:jc w:val="both"/>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BodyText"/>
        <w:spacing w:line="285" w:lineRule="auto" w:before="26"/>
        <w:ind w:right="152"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日，财政部印发《企业会计准则第</w:t>
      </w:r>
      <w:r>
        <w:rPr>
          <w:rFonts w:ascii="Times New Roman" w:hAnsi="Times New Roman" w:cs="Times New Roman" w:eastAsia="Times New Roman" w:hint="default"/>
        </w:rPr>
        <w:t>42</w:t>
      </w:r>
      <w:r>
        <w:rPr/>
        <w:t>号</w:t>
      </w:r>
      <w:r>
        <w:rPr>
          <w:rFonts w:ascii="宋体" w:hAnsi="宋体" w:cs="宋体" w:eastAsia="宋体" w:hint="default"/>
          <w:sz w:val="24"/>
          <w:szCs w:val="24"/>
        </w:rPr>
        <w:t>--</w:t>
      </w:r>
      <w:r>
        <w:rPr/>
        <w:t>持有待售的非流动资产、处置组和终止经营》的通知（财会 </w:t>
      </w:r>
      <w:r>
        <w:rPr>
          <w:rFonts w:ascii="Times New Roman" w:hAnsi="Times New Roman" w:cs="Times New Roman" w:eastAsia="Times New Roman" w:hint="default"/>
        </w:rPr>
        <w:t>[2017]13</w:t>
      </w:r>
      <w:r>
        <w:rPr/>
        <w:t>号），自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日起施行，对于施行日存在的持有待售的非流动资产、处置组和终止经营，要求采用未来适 </w:t>
      </w:r>
      <w:r>
        <w:rPr>
          <w:spacing w:val="-2"/>
        </w:rPr>
        <w:t>用法处理。根据该准则的要求，公司调整了财务报表列表，该变更对公司财务状况、经营成果和现金流量无重大影响，不涉</w:t>
      </w:r>
    </w:p>
    <w:p>
      <w:pPr>
        <w:pStyle w:val="BodyText"/>
        <w:spacing w:line="300" w:lineRule="auto" w:before="42"/>
        <w:ind w:right="152"/>
        <w:jc w:val="both"/>
      </w:pPr>
      <w:r>
        <w:rPr>
          <w:spacing w:val="-4"/>
        </w:rPr>
        <w:t>及以前年度的追溯调整。</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20</w:t>
      </w:r>
      <w:r>
        <w:rPr>
          <w:spacing w:val="-4"/>
        </w:rPr>
        <w:t>日，公司召开了第九届董事会第六次会议和第九届监事会第五次会议，审议通过了《关</w:t>
      </w:r>
      <w:r>
        <w:rPr>
          <w:spacing w:val="-35"/>
        </w:rPr>
        <w:t> </w:t>
      </w:r>
      <w:r>
        <w:rPr>
          <w:spacing w:val="-35"/>
        </w:rPr>
      </w:r>
      <w:r>
        <w:rPr/>
        <w:t>于公司</w:t>
      </w:r>
      <w:r>
        <w:rPr>
          <w:rFonts w:ascii="Times New Roman" w:hAnsi="Times New Roman" w:cs="Times New Roman" w:eastAsia="Times New Roman" w:hint="default"/>
        </w:rPr>
        <w:t>2017</w:t>
      </w:r>
      <w:r>
        <w:rPr/>
        <w:t>年度会计政策变更的议案》，独立董事发表了同意的独立意见，具体内容详见公司于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日在巨潮资讯 网（</w:t>
      </w:r>
      <w:hyperlink r:id="rId11">
        <w:r>
          <w:rPr>
            <w:rFonts w:ascii="Times New Roman" w:hAnsi="Times New Roman" w:cs="Times New Roman" w:eastAsia="Times New Roman" w:hint="default"/>
          </w:rPr>
          <w:t>http://www.cninfo.com.cn</w:t>
        </w:r>
      </w:hyperlink>
      <w:r>
        <w:rPr/>
        <w:t>）上刊登的《关于会计政策变更的公告》（</w:t>
      </w:r>
      <w:r>
        <w:rPr>
          <w:rFonts w:ascii="Times New Roman" w:hAnsi="Times New Roman" w:cs="Times New Roman" w:eastAsia="Times New Roman" w:hint="default"/>
        </w:rPr>
        <w:t>2018-026</w:t>
      </w:r>
      <w:r>
        <w:rPr/>
        <w:t>）。</w:t>
      </w:r>
    </w:p>
    <w:p>
      <w:pPr>
        <w:pStyle w:val="BodyText"/>
        <w:spacing w:line="300" w:lineRule="auto" w:before="13"/>
        <w:ind w:right="151"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日，财政部发布了《财政部关于修订印发一般企业财务报表格式的通知》（财会</w:t>
      </w:r>
      <w:r>
        <w:rPr>
          <w:rFonts w:ascii="Times New Roman" w:hAnsi="Times New Roman" w:cs="Times New Roman" w:eastAsia="Times New Roman" w:hint="default"/>
        </w:rPr>
        <w:t>[2017]30</w:t>
      </w:r>
      <w:r>
        <w:rPr/>
        <w:t>号），对一 般企业财务报表格式进行了修订，适用于</w:t>
      </w:r>
      <w:r>
        <w:rPr>
          <w:rFonts w:ascii="Times New Roman" w:hAnsi="Times New Roman" w:cs="Times New Roman" w:eastAsia="Times New Roman" w:hint="default"/>
        </w:rPr>
        <w:t>2017</w:t>
      </w:r>
      <w:r>
        <w:rPr/>
        <w:t>年度及以后期间的财务报表。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日，公司召开了第九届董事会第六 </w:t>
      </w:r>
      <w:r>
        <w:rPr>
          <w:spacing w:val="-2"/>
        </w:rPr>
        <w:t>次会议和第九届监事会第五次会议，审议通过了《关于公司</w:t>
      </w:r>
      <w:r>
        <w:rPr>
          <w:rFonts w:ascii="Times New Roman" w:hAnsi="Times New Roman" w:cs="Times New Roman" w:eastAsia="Times New Roman" w:hint="default"/>
          <w:spacing w:val="-2"/>
        </w:rPr>
        <w:t>2017</w:t>
      </w:r>
      <w:r>
        <w:rPr>
          <w:spacing w:val="-2"/>
        </w:rPr>
        <w:t>年度会计政策变更的议案》，公司将按照上述通知及企业会</w:t>
      </w:r>
      <w:r>
        <w:rPr>
          <w:spacing w:val="-61"/>
        </w:rPr>
        <w:t> </w:t>
      </w:r>
      <w:r>
        <w:rPr>
          <w:spacing w:val="-61"/>
        </w:rPr>
      </w:r>
      <w:r>
        <w:rPr/>
        <w:t>计准则的规定和要求开始执行，独立董事发表了同意的独立意见，具体内容详见公司于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日在巨潮资讯网</w:t>
      </w:r>
    </w:p>
    <w:p>
      <w:pPr>
        <w:pStyle w:val="BodyText"/>
        <w:spacing w:line="240" w:lineRule="auto" w:before="13"/>
        <w:ind w:right="0"/>
        <w:jc w:val="both"/>
      </w:pPr>
      <w:r>
        <w:rPr/>
        <w:t>（</w:t>
      </w:r>
      <w:hyperlink r:id="rId11">
        <w:r>
          <w:rPr>
            <w:rFonts w:ascii="Times New Roman" w:hAnsi="Times New Roman" w:cs="Times New Roman" w:eastAsia="Times New Roman" w:hint="default"/>
          </w:rPr>
          <w:t>http://www.cninfo.com.cn</w:t>
        </w:r>
      </w:hyperlink>
      <w:r>
        <w:rPr/>
        <w:t>）上刊登的《关于会计政策变更的公告》（</w:t>
      </w:r>
      <w:r>
        <w:rPr>
          <w:rFonts w:ascii="Times New Roman" w:hAnsi="Times New Roman" w:cs="Times New Roman" w:eastAsia="Times New Roman" w:hint="default"/>
        </w:rPr>
        <w:t>2018-026</w:t>
      </w:r>
      <w:r>
        <w:rPr/>
        <w:t>）。</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公司报告期无合并报表范围发生变化的情况。</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刘黎、李峰</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49"/>
        <w:ind w:right="153"/>
        <w:jc w:val="left"/>
      </w:pPr>
      <w:r>
        <w:rPr/>
        <w:t>是否改聘会计师事务所</w:t>
      </w:r>
    </w:p>
    <w:p>
      <w:pPr>
        <w:pStyle w:val="BodyText"/>
        <w:spacing w:line="340" w:lineRule="auto" w:before="115"/>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十、破产重整相关事项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本年度公司无重大诉讼、仲裁事项。</w:t>
      </w:r>
    </w:p>
    <w:p>
      <w:pPr>
        <w:spacing w:line="240" w:lineRule="auto" w:before="4"/>
        <w:rPr>
          <w:rFonts w:ascii="宋体" w:hAnsi="宋体" w:cs="宋体" w:eastAsia="宋体" w:hint="default"/>
          <w:sz w:val="25"/>
          <w:szCs w:val="25"/>
        </w:rPr>
      </w:pPr>
    </w:p>
    <w:p>
      <w:pPr>
        <w:pStyle w:val="Heading2"/>
        <w:spacing w:line="240" w:lineRule="auto"/>
        <w:ind w:right="153"/>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48"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16</w:t>
      </w:r>
      <w:r>
        <w:rPr>
          <w:spacing w:val="-2"/>
        </w:rPr>
        <w:t>日，公司第八届董事会第二十四次会议审议通过了《关于</w:t>
      </w:r>
      <w:r>
        <w:rPr>
          <w:rFonts w:ascii="Times New Roman" w:hAnsi="Times New Roman" w:cs="Times New Roman" w:eastAsia="Times New Roman" w:hint="default"/>
          <w:spacing w:val="-2"/>
        </w:rPr>
        <w:t>&lt;</w:t>
      </w:r>
      <w:r>
        <w:rPr>
          <w:spacing w:val="-2"/>
        </w:rPr>
        <w:t>新晨科技股份有限公司</w:t>
      </w:r>
      <w:r>
        <w:rPr>
          <w:spacing w:val="-6"/>
        </w:rPr>
        <w:t> </w:t>
      </w:r>
      <w:r>
        <w:rPr>
          <w:rFonts w:ascii="Times New Roman" w:hAnsi="Times New Roman" w:cs="Times New Roman" w:eastAsia="Times New Roman" w:hint="default"/>
        </w:rPr>
        <w:t>2017</w:t>
      </w:r>
      <w:r>
        <w:rPr/>
        <w:t>年限制性股票激 </w:t>
      </w:r>
      <w:r>
        <w:rPr>
          <w:spacing w:val="-2"/>
        </w:rPr>
        <w:t>励计划（草案）</w:t>
      </w:r>
      <w:r>
        <w:rPr>
          <w:rFonts w:ascii="Times New Roman" w:hAnsi="Times New Roman" w:cs="Times New Roman" w:eastAsia="Times New Roman" w:hint="default"/>
          <w:spacing w:val="-2"/>
        </w:rPr>
        <w:t>&gt;</w:t>
      </w:r>
      <w:r>
        <w:rPr>
          <w:spacing w:val="-2"/>
        </w:rPr>
        <w:t>及其摘要的议案》、《关于将李小华女士作为</w:t>
      </w:r>
      <w:r>
        <w:rPr>
          <w:spacing w:val="11"/>
        </w:rPr>
        <w:t> </w:t>
      </w:r>
      <w:r>
        <w:rPr>
          <w:rFonts w:ascii="Times New Roman" w:hAnsi="Times New Roman" w:cs="Times New Roman" w:eastAsia="Times New Roman" w:hint="default"/>
          <w:spacing w:val="-2"/>
        </w:rPr>
        <w:t>2017</w:t>
      </w:r>
      <w:r>
        <w:rPr>
          <w:spacing w:val="-2"/>
        </w:rPr>
        <w:t>年限制性股票激励计划激励对象的议案》、《关于制定</w:t>
      </w:r>
    </w:p>
    <w:p>
      <w:pPr>
        <w:pStyle w:val="BodyText"/>
        <w:spacing w:line="304" w:lineRule="auto" w:before="13"/>
        <w:ind w:right="153"/>
        <w:jc w:val="both"/>
      </w:pPr>
      <w:r>
        <w:rPr>
          <w:rFonts w:ascii="Times New Roman" w:hAnsi="Times New Roman" w:cs="Times New Roman" w:eastAsia="Times New Roman" w:hint="default"/>
        </w:rPr>
        <w:t>&lt;</w:t>
      </w:r>
      <w:r>
        <w:rPr/>
        <w:t>新晨科技股份有限公司</w:t>
      </w:r>
      <w:r>
        <w:rPr>
          <w:spacing w:val="-20"/>
        </w:rPr>
        <w:t> </w:t>
      </w:r>
      <w:r>
        <w:rPr>
          <w:rFonts w:ascii="Times New Roman" w:hAnsi="Times New Roman" w:cs="Times New Roman" w:eastAsia="Times New Roman" w:hint="default"/>
        </w:rPr>
        <w:t>2017</w:t>
      </w:r>
      <w:r>
        <w:rPr/>
        <w:t>年限制性股票激励计划实施考核管理办法</w:t>
      </w:r>
      <w:r>
        <w:rPr>
          <w:rFonts w:ascii="Times New Roman" w:hAnsi="Times New Roman" w:cs="Times New Roman" w:eastAsia="Times New Roman" w:hint="default"/>
        </w:rPr>
        <w:t>&gt;</w:t>
      </w:r>
      <w:r>
        <w:rPr/>
        <w:t>的议案》，公司第八届监事会第十二次会议审议通 过上述议案。公司已对激励对象名单在公司内部进行了公示，公示时间为</w:t>
      </w:r>
      <w:r>
        <w:rPr>
          <w:spacing w:val="-19"/>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日，公示期满后， </w:t>
      </w:r>
      <w:r>
        <w:rPr>
          <w:spacing w:val="-2"/>
        </w:rPr>
        <w:t>监事会对本次股权激励计划授予激励对象名单进行了核查并对公示情况进行了说明，公司独立董事就本次股权激励计划是否</w:t>
      </w:r>
      <w:r>
        <w:rPr>
          <w:spacing w:val="-64"/>
        </w:rPr>
        <w:t> </w:t>
      </w:r>
      <w:r>
        <w:rPr>
          <w:spacing w:val="-64"/>
        </w:rPr>
      </w:r>
      <w:r>
        <w:rPr/>
        <w:t>有利于公司的持续发展及是否存在损害公司及全体股东利益的情形发表了独立意见。具体内容详见公司于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日在</w:t>
      </w:r>
      <w:r>
        <w:rPr>
          <w:spacing w:val="-3"/>
        </w:rPr>
        <w:t> </w:t>
      </w:r>
      <w:r>
        <w:rPr/>
        <w:t>巨潮资讯网（</w:t>
      </w:r>
      <w:hyperlink r:id="rId11">
        <w:r>
          <w:rPr>
            <w:rFonts w:ascii="Times New Roman" w:hAnsi="Times New Roman" w:cs="Times New Roman" w:eastAsia="Times New Roman" w:hint="default"/>
          </w:rPr>
          <w:t>http://www.cninfo.com.cn</w:t>
        </w:r>
      </w:hyperlink>
      <w:r>
        <w:rPr/>
        <w:t>）上刊登的《第八届董事会第二十四次会议决议的公告》（</w:t>
      </w:r>
      <w:r>
        <w:rPr>
          <w:rFonts w:ascii="Times New Roman" w:hAnsi="Times New Roman" w:cs="Times New Roman" w:eastAsia="Times New Roman" w:hint="default"/>
        </w:rPr>
        <w:t>2017-016</w:t>
      </w:r>
      <w:r>
        <w:rPr/>
        <w:t>）。</w:t>
      </w:r>
    </w:p>
    <w:p>
      <w:pPr>
        <w:pStyle w:val="BodyText"/>
        <w:spacing w:line="300" w:lineRule="auto" w:before="9"/>
        <w:ind w:right="151"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日，公司第八届董事会第二十七次会议审议通过了《关于提请公司股东大会授权董事会办理</w:t>
      </w:r>
      <w:r>
        <w:rPr>
          <w:spacing w:val="-19"/>
        </w:rPr>
        <w:t> </w:t>
      </w:r>
      <w:r>
        <w:rPr>
          <w:rFonts w:ascii="Times New Roman" w:hAnsi="Times New Roman" w:cs="Times New Roman" w:eastAsia="Times New Roman" w:hint="default"/>
        </w:rPr>
        <w:t>2017</w:t>
      </w:r>
      <w:r>
        <w:rPr/>
        <w:t>年限 </w:t>
      </w:r>
      <w:r>
        <w:rPr>
          <w:spacing w:val="-2"/>
        </w:rPr>
        <w:t>制性股票激励计划有关事项的议案》、《关于召开新晨科技股份有限公司</w:t>
      </w:r>
      <w:r>
        <w:rPr>
          <w:rFonts w:ascii="Times New Roman" w:hAnsi="Times New Roman" w:cs="Times New Roman" w:eastAsia="Times New Roman" w:hint="default"/>
          <w:spacing w:val="-2"/>
        </w:rPr>
        <w:t>2017</w:t>
      </w:r>
      <w:r>
        <w:rPr>
          <w:spacing w:val="-2"/>
        </w:rPr>
        <w:t>年第二次临时股东大会的议案》。具体内容详</w:t>
      </w:r>
      <w:r>
        <w:rPr>
          <w:spacing w:val="-62"/>
        </w:rPr>
        <w:t> </w:t>
      </w:r>
      <w:r>
        <w:rPr>
          <w:spacing w:val="-62"/>
        </w:rPr>
      </w:r>
      <w:r>
        <w:rPr/>
        <w:t>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日在巨潮资讯网（</w:t>
      </w:r>
      <w:hyperlink r:id="rId11">
        <w:r>
          <w:rPr>
            <w:rFonts w:ascii="Times New Roman" w:hAnsi="Times New Roman" w:cs="Times New Roman" w:eastAsia="Times New Roman" w:hint="default"/>
          </w:rPr>
          <w:t>http://www.cninfo.com.cn</w:t>
        </w:r>
      </w:hyperlink>
      <w:r>
        <w:rPr/>
        <w:t>）上刊登的《第八届董事会第二十七次会议决议的公告》</w:t>
      </w:r>
    </w:p>
    <w:p>
      <w:pPr>
        <w:pStyle w:val="BodyText"/>
        <w:spacing w:line="240" w:lineRule="auto" w:before="13"/>
        <w:ind w:right="153"/>
        <w:jc w:val="left"/>
      </w:pPr>
      <w:r>
        <w:rPr/>
        <w:t>（</w:t>
      </w:r>
      <w:r>
        <w:rPr>
          <w:rFonts w:ascii="Times New Roman" w:hAnsi="Times New Roman" w:cs="Times New Roman" w:eastAsia="Times New Roman" w:hint="default"/>
        </w:rPr>
        <w:t>2017-030</w:t>
      </w:r>
      <w:r>
        <w:rPr/>
        <w:t>）。</w:t>
      </w:r>
    </w:p>
    <w:p>
      <w:pPr>
        <w:pStyle w:val="BodyText"/>
        <w:spacing w:line="300" w:lineRule="auto" w:before="63"/>
        <w:ind w:right="148" w:firstLine="360"/>
        <w:jc w:val="both"/>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5</w:t>
      </w:r>
      <w:r>
        <w:rPr>
          <w:spacing w:val="-3"/>
        </w:rPr>
        <w:t>日，公司 </w:t>
      </w:r>
      <w:r>
        <w:rPr>
          <w:rFonts w:ascii="Times New Roman" w:hAnsi="Times New Roman" w:cs="Times New Roman" w:eastAsia="Times New Roman" w:hint="default"/>
        </w:rPr>
        <w:t>2017</w:t>
      </w:r>
      <w:r>
        <w:rPr/>
        <w:t>年第二次临时股东大会审议并通过了《关于</w:t>
      </w:r>
      <w:r>
        <w:rPr>
          <w:rFonts w:ascii="Times New Roman" w:hAnsi="Times New Roman" w:cs="Times New Roman" w:eastAsia="Times New Roman" w:hint="default"/>
        </w:rPr>
        <w:t>&lt;</w:t>
      </w:r>
      <w:r>
        <w:rPr/>
        <w:t>新晨科技股份有限公司</w:t>
      </w:r>
      <w:r>
        <w:rPr>
          <w:spacing w:val="-52"/>
        </w:rPr>
        <w:t> </w:t>
      </w:r>
      <w:r>
        <w:rPr>
          <w:rFonts w:ascii="Times New Roman" w:hAnsi="Times New Roman" w:cs="Times New Roman" w:eastAsia="Times New Roman" w:hint="default"/>
        </w:rPr>
        <w:t>2017</w:t>
      </w:r>
      <w:r>
        <w:rPr/>
        <w:t>年限制性股票激 </w:t>
      </w:r>
      <w:r>
        <w:rPr>
          <w:spacing w:val="-2"/>
        </w:rPr>
        <w:t>励计划（草案）</w:t>
      </w:r>
      <w:r>
        <w:rPr>
          <w:rFonts w:ascii="Times New Roman" w:hAnsi="Times New Roman" w:cs="Times New Roman" w:eastAsia="Times New Roman" w:hint="default"/>
          <w:spacing w:val="-2"/>
        </w:rPr>
        <w:t>&gt;</w:t>
      </w:r>
      <w:r>
        <w:rPr>
          <w:spacing w:val="-2"/>
        </w:rPr>
        <w:t>及其摘要的议案》、《关于将李小华女士作为</w:t>
      </w:r>
      <w:r>
        <w:rPr>
          <w:spacing w:val="11"/>
        </w:rPr>
        <w:t> </w:t>
      </w:r>
      <w:r>
        <w:rPr>
          <w:rFonts w:ascii="Times New Roman" w:hAnsi="Times New Roman" w:cs="Times New Roman" w:eastAsia="Times New Roman" w:hint="default"/>
          <w:spacing w:val="-2"/>
        </w:rPr>
        <w:t>2017</w:t>
      </w:r>
      <w:r>
        <w:rPr>
          <w:spacing w:val="-2"/>
        </w:rPr>
        <w:t>年限制性股票激励计划激励对象的议案》、《关于制定</w:t>
      </w:r>
    </w:p>
    <w:p>
      <w:pPr>
        <w:pStyle w:val="BodyText"/>
        <w:spacing w:line="300" w:lineRule="auto" w:before="13"/>
        <w:ind w:right="156"/>
        <w:jc w:val="left"/>
      </w:pPr>
      <w:r>
        <w:rPr>
          <w:rFonts w:ascii="Times New Roman" w:hAnsi="Times New Roman" w:cs="Times New Roman" w:eastAsia="Times New Roman" w:hint="default"/>
        </w:rPr>
        <w:t>&lt;</w:t>
      </w:r>
      <w:r>
        <w:rPr/>
        <w:t>新晨科技股份有限公司</w:t>
      </w:r>
      <w:r>
        <w:rPr>
          <w:spacing w:val="-20"/>
        </w:rPr>
        <w:t> </w:t>
      </w:r>
      <w:r>
        <w:rPr>
          <w:rFonts w:ascii="Times New Roman" w:hAnsi="Times New Roman" w:cs="Times New Roman" w:eastAsia="Times New Roman" w:hint="default"/>
        </w:rPr>
        <w:t>2017</w:t>
      </w:r>
      <w:r>
        <w:rPr/>
        <w:t>年限制性股票激励计划实施考核管理办法</w:t>
      </w:r>
      <w:r>
        <w:rPr>
          <w:rFonts w:ascii="Times New Roman" w:hAnsi="Times New Roman" w:cs="Times New Roman" w:eastAsia="Times New Roman" w:hint="default"/>
        </w:rPr>
        <w:t>&gt;</w:t>
      </w:r>
      <w:r>
        <w:rPr/>
        <w:t>的议案》、《关于提请公司股东大会授权董事会办 理</w:t>
      </w:r>
      <w:r>
        <w:rPr>
          <w:spacing w:val="-19"/>
        </w:rPr>
        <w:t> </w:t>
      </w:r>
      <w:r>
        <w:rPr>
          <w:rFonts w:ascii="Times New Roman" w:hAnsi="Times New Roman" w:cs="Times New Roman" w:eastAsia="Times New Roman" w:hint="default"/>
        </w:rPr>
        <w:t>2017</w:t>
      </w:r>
      <w:r>
        <w:rPr/>
        <w:t>年限制性股票激励计划有关事项的议案》。公司实施</w:t>
      </w:r>
      <w:r>
        <w:rPr>
          <w:rFonts w:ascii="Times New Roman" w:hAnsi="Times New Roman" w:cs="Times New Roman" w:eastAsia="Times New Roman" w:hint="default"/>
        </w:rPr>
        <w:t>2017</w:t>
      </w:r>
      <w:r>
        <w:rPr/>
        <w:t>年限制性股票激励计划获得批准，董事会被授权确定授予 日、在激励对象符合条件时向激励对象授予限制性股票，并办理授予所必需的全部事宜。具体内容详见公司于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 </w:t>
      </w:r>
      <w:r>
        <w:rPr/>
        <w:t>日在巨潮资讯网（</w:t>
      </w:r>
      <w:hyperlink r:id="rId11">
        <w:r>
          <w:rPr>
            <w:rFonts w:ascii="Times New Roman" w:hAnsi="Times New Roman" w:cs="Times New Roman" w:eastAsia="Times New Roman" w:hint="default"/>
          </w:rPr>
          <w:t>http://www.cninfo.com.cn</w:t>
        </w:r>
      </w:hyperlink>
      <w:r>
        <w:rPr/>
        <w:t>）上刊登的《</w:t>
      </w:r>
      <w:r>
        <w:rPr>
          <w:rFonts w:ascii="Times New Roman" w:hAnsi="Times New Roman" w:cs="Times New Roman" w:eastAsia="Times New Roman" w:hint="default"/>
        </w:rPr>
        <w:t>2017</w:t>
      </w:r>
      <w:r>
        <w:rPr/>
        <w:t>年第二次临时股东大会决议公告》（</w:t>
      </w:r>
      <w:r>
        <w:rPr>
          <w:rFonts w:ascii="Times New Roman" w:hAnsi="Times New Roman" w:cs="Times New Roman" w:eastAsia="Times New Roman" w:hint="default"/>
        </w:rPr>
        <w:t>2017-036</w:t>
      </w:r>
      <w:r>
        <w:rPr/>
        <w:t>）。</w:t>
      </w:r>
    </w:p>
    <w:p>
      <w:pPr>
        <w:pStyle w:val="BodyText"/>
        <w:spacing w:line="309" w:lineRule="auto" w:before="13"/>
        <w:ind w:right="148"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日，公司第八届董事会第二十九次会议和第八届监事会第十六次会议审议通过了《关于调整</w:t>
      </w:r>
      <w:r>
        <w:rPr>
          <w:rFonts w:ascii="Times New Roman" w:hAnsi="Times New Roman" w:cs="Times New Roman" w:eastAsia="Times New Roman" w:hint="default"/>
          <w:spacing w:val="-2"/>
        </w:rPr>
        <w:t>2017</w:t>
      </w:r>
      <w:r>
        <w:rPr>
          <w:spacing w:val="-2"/>
        </w:rPr>
        <w:t>年限制</w:t>
      </w:r>
      <w:r>
        <w:rPr/>
        <w:t> </w:t>
      </w:r>
      <w:r>
        <w:rPr>
          <w:spacing w:val="-2"/>
        </w:rPr>
        <w:t>性股票激励计划授予价格的议案》、《关于向激励对象授予限制性股票的议案》。公司独立董事对此发表了独立意见，认为</w:t>
      </w:r>
      <w:r>
        <w:rPr>
          <w:spacing w:val="-67"/>
        </w:rPr>
        <w:t> </w:t>
      </w:r>
      <w:r>
        <w:rPr>
          <w:spacing w:val="-67"/>
        </w:rPr>
      </w:r>
      <w:r>
        <w:rPr/>
        <w:t>激励对象主体资格合法、有效，确定的授予日符合相关规定。具体内容详见公司于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日在巨潮资讯网</w:t>
      </w:r>
    </w:p>
    <w:p>
      <w:pPr>
        <w:pStyle w:val="BodyText"/>
        <w:spacing w:line="240" w:lineRule="auto" w:before="5"/>
        <w:ind w:right="153"/>
        <w:jc w:val="left"/>
      </w:pPr>
      <w:r>
        <w:rPr/>
        <w:t>（</w:t>
      </w:r>
      <w:hyperlink r:id="rId11">
        <w:r>
          <w:rPr>
            <w:rFonts w:ascii="Times New Roman" w:hAnsi="Times New Roman" w:cs="Times New Roman" w:eastAsia="Times New Roman" w:hint="default"/>
          </w:rPr>
          <w:t>http://www.cninfo.com.cn</w:t>
        </w:r>
      </w:hyperlink>
      <w:r>
        <w:rPr/>
        <w:t>）上刊登的《第八届董事会第二十九次会议决议的公告》（</w:t>
      </w:r>
      <w:r>
        <w:rPr>
          <w:rFonts w:ascii="Times New Roman" w:hAnsi="Times New Roman" w:cs="Times New Roman" w:eastAsia="Times New Roman" w:hint="default"/>
        </w:rPr>
        <w:t>2017-050</w:t>
      </w:r>
      <w:r>
        <w:rPr/>
        <w:t>）。</w:t>
      </w:r>
    </w:p>
    <w:p>
      <w:pPr>
        <w:pStyle w:val="BodyText"/>
        <w:spacing w:line="300" w:lineRule="auto" w:before="63"/>
        <w:ind w:right="156"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月公司完成了</w:t>
      </w:r>
      <w:r>
        <w:rPr>
          <w:rFonts w:ascii="Times New Roman" w:hAnsi="Times New Roman" w:cs="Times New Roman" w:eastAsia="Times New Roman" w:hint="default"/>
        </w:rPr>
        <w:t>2017</w:t>
      </w:r>
      <w:r>
        <w:rPr/>
        <w:t>年限制性股票授予登记工作，本次限制性股票激励计划的授予日为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日，授予 的限制性股票上市日期为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日。公司授予限制性股票后，总股本由</w:t>
      </w:r>
      <w:r>
        <w:rPr>
          <w:rFonts w:ascii="Times New Roman" w:hAnsi="Times New Roman" w:cs="Times New Roman" w:eastAsia="Times New Roman" w:hint="default"/>
        </w:rPr>
        <w:t>9,015</w:t>
      </w:r>
      <w:r>
        <w:rPr/>
        <w:t>万股增加至</w:t>
      </w:r>
      <w:r>
        <w:rPr>
          <w:rFonts w:ascii="Times New Roman" w:hAnsi="Times New Roman" w:cs="Times New Roman" w:eastAsia="Times New Roman" w:hint="default"/>
        </w:rPr>
        <w:t>9,119.15</w:t>
      </w:r>
      <w:r>
        <w:rPr/>
        <w:t>万股。具体内容详见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日在巨潮资讯网（</w:t>
      </w:r>
      <w:hyperlink r:id="rId11">
        <w:r>
          <w:rPr>
            <w:rFonts w:ascii="Times New Roman" w:hAnsi="Times New Roman" w:cs="Times New Roman" w:eastAsia="Times New Roman" w:hint="default"/>
          </w:rPr>
          <w:t>http://www.cninfo.com.cn</w:t>
        </w:r>
      </w:hyperlink>
      <w:r>
        <w:rPr/>
        <w:t>）上刊登的《关于</w:t>
      </w:r>
      <w:r>
        <w:rPr>
          <w:rFonts w:ascii="Times New Roman" w:hAnsi="Times New Roman" w:cs="Times New Roman" w:eastAsia="Times New Roman" w:hint="default"/>
        </w:rPr>
        <w:t>2017</w:t>
      </w:r>
      <w:r>
        <w:rPr/>
        <w:t>年限制性股票授予登记完成的公告》</w:t>
      </w:r>
    </w:p>
    <w:p>
      <w:pPr>
        <w:pStyle w:val="BodyText"/>
        <w:spacing w:line="240" w:lineRule="auto" w:before="13"/>
        <w:ind w:right="153"/>
        <w:jc w:val="left"/>
      </w:pPr>
      <w:r>
        <w:rPr/>
        <w:t>（</w:t>
      </w:r>
      <w:r>
        <w:rPr>
          <w:rFonts w:ascii="Times New Roman" w:hAnsi="Times New Roman" w:cs="Times New Roman" w:eastAsia="Times New Roman" w:hint="default"/>
        </w:rPr>
        <w:t>2017-064</w:t>
      </w:r>
      <w:r>
        <w:rPr/>
        <w:t>）。</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3"/>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7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9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9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9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9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4"/>
        <w:ind w:right="183"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日，康路与世纪城支行签订最高额不可撤销担保书，为同日公司与世纪城支行签订的</w:t>
      </w:r>
      <w:r>
        <w:rPr>
          <w:rFonts w:ascii="Times New Roman" w:hAnsi="Times New Roman" w:cs="Times New Roman" w:eastAsia="Times New Roman" w:hint="default"/>
        </w:rPr>
        <w:t>“2016</w:t>
      </w:r>
      <w:r>
        <w:rPr/>
        <w:t>年招世授字</w:t>
      </w:r>
      <w:r>
        <w:rPr>
          <w:rFonts w:ascii="Times New Roman" w:hAnsi="Times New Roman" w:cs="Times New Roman" w:eastAsia="Times New Roman" w:hint="default"/>
        </w:rPr>
        <w:t>017 </w:t>
      </w:r>
      <w:r>
        <w:rPr/>
        <w:t>号</w:t>
      </w:r>
      <w:r>
        <w:rPr>
          <w:rFonts w:ascii="Times New Roman" w:hAnsi="Times New Roman" w:cs="Times New Roman" w:eastAsia="Times New Roman" w:hint="default"/>
        </w:rPr>
        <w:t>”</w:t>
      </w:r>
      <w:r>
        <w:rPr/>
        <w:t>《授信协议》</w:t>
      </w:r>
      <w:r>
        <w:rPr>
          <w:rFonts w:ascii="Times New Roman" w:hAnsi="Times New Roman" w:cs="Times New Roman" w:eastAsia="Times New Roman" w:hint="default"/>
        </w:rPr>
        <w:t>”</w:t>
      </w:r>
      <w:r>
        <w:rPr/>
        <w:t>授信期间本公司所有债务承担连带保证责任，同时原</w:t>
      </w:r>
      <w:r>
        <w:rPr>
          <w:rFonts w:ascii="Times New Roman" w:hAnsi="Times New Roman" w:cs="Times New Roman" w:eastAsia="Times New Roman" w:hint="default"/>
        </w:rPr>
        <w:t>“2015</w:t>
      </w:r>
      <w:r>
        <w:rPr/>
        <w:t>年招世授字第</w:t>
      </w:r>
      <w:r>
        <w:rPr>
          <w:rFonts w:ascii="Times New Roman" w:hAnsi="Times New Roman" w:cs="Times New Roman" w:eastAsia="Times New Roman" w:hint="default"/>
        </w:rPr>
        <w:t>018</w:t>
      </w:r>
      <w:r>
        <w:rPr/>
        <w:t>号</w:t>
      </w:r>
      <w:r>
        <w:rPr>
          <w:rFonts w:ascii="Times New Roman" w:hAnsi="Times New Roman" w:cs="Times New Roman" w:eastAsia="Times New Roman" w:hint="default"/>
        </w:rPr>
        <w:t>”</w:t>
      </w:r>
      <w:r>
        <w:rPr/>
        <w:t>《授信协议》项下正在执 </w:t>
      </w:r>
      <w:r>
        <w:rPr>
          <w:spacing w:val="-2"/>
        </w:rPr>
        <w:t>行的公司流动资金借款和保函转移至</w:t>
      </w:r>
      <w:r>
        <w:rPr>
          <w:rFonts w:ascii="Times New Roman" w:hAnsi="Times New Roman" w:cs="Times New Roman" w:eastAsia="Times New Roman" w:hint="default"/>
          <w:spacing w:val="-2"/>
        </w:rPr>
        <w:t>“2016</w:t>
      </w:r>
      <w:r>
        <w:rPr>
          <w:spacing w:val="-2"/>
        </w:rPr>
        <w:t>年招世授字第</w:t>
      </w:r>
      <w:r>
        <w:rPr>
          <w:rFonts w:ascii="Times New Roman" w:hAnsi="Times New Roman" w:cs="Times New Roman" w:eastAsia="Times New Roman" w:hint="default"/>
          <w:spacing w:val="-2"/>
        </w:rPr>
        <w:t>017</w:t>
      </w:r>
      <w:r>
        <w:rPr>
          <w:spacing w:val="-2"/>
        </w:rPr>
        <w:t>号</w:t>
      </w:r>
      <w:r>
        <w:rPr>
          <w:rFonts w:ascii="Times New Roman" w:hAnsi="Times New Roman" w:cs="Times New Roman" w:eastAsia="Times New Roman" w:hint="default"/>
          <w:spacing w:val="-2"/>
        </w:rPr>
        <w:t>”</w:t>
      </w:r>
      <w:r>
        <w:rPr>
          <w:spacing w:val="-2"/>
        </w:rPr>
        <w:t>《授信协议》项下继续执行。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21</w:t>
      </w:r>
      <w:r>
        <w:rPr>
          <w:spacing w:val="-2"/>
        </w:rPr>
        <w:t>日，康路与世纪城</w:t>
      </w:r>
      <w:r>
        <w:rPr>
          <w:spacing w:val="-36"/>
        </w:rPr>
        <w:t> </w:t>
      </w:r>
      <w:r>
        <w:rPr>
          <w:spacing w:val="-36"/>
        </w:rPr>
      </w:r>
      <w:r>
        <w:rPr>
          <w:spacing w:val="-1"/>
        </w:rPr>
        <w:t>支行签订最高额不可撤销担保书，为同日公司与世纪城支行签订的</w:t>
      </w:r>
      <w:r>
        <w:rPr>
          <w:rFonts w:ascii="Times New Roman" w:hAnsi="Times New Roman" w:cs="Times New Roman" w:eastAsia="Times New Roman" w:hint="default"/>
          <w:spacing w:val="-1"/>
        </w:rPr>
        <w:t>“2017</w:t>
      </w:r>
      <w:r>
        <w:rPr>
          <w:spacing w:val="-1"/>
        </w:rPr>
        <w:t>年招世授字</w:t>
      </w:r>
      <w:r>
        <w:rPr>
          <w:rFonts w:ascii="Times New Roman" w:hAnsi="Times New Roman" w:cs="Times New Roman" w:eastAsia="Times New Roman" w:hint="default"/>
          <w:spacing w:val="-1"/>
        </w:rPr>
        <w:t>015</w:t>
      </w:r>
      <w:r>
        <w:rPr>
          <w:spacing w:val="-1"/>
        </w:rPr>
        <w:t>号</w:t>
      </w:r>
      <w:r>
        <w:rPr>
          <w:rFonts w:ascii="Times New Roman" w:hAnsi="Times New Roman" w:cs="Times New Roman" w:eastAsia="Times New Roman" w:hint="default"/>
          <w:spacing w:val="-1"/>
        </w:rPr>
        <w:t>”</w:t>
      </w:r>
      <w:r>
        <w:rPr>
          <w:spacing w:val="-1"/>
        </w:rPr>
        <w:t>《授信协议》</w:t>
      </w:r>
      <w:r>
        <w:rPr>
          <w:rFonts w:ascii="Times New Roman" w:hAnsi="Times New Roman" w:cs="Times New Roman" w:eastAsia="Times New Roman" w:hint="default"/>
          <w:spacing w:val="-1"/>
        </w:rPr>
        <w:t>”</w:t>
      </w:r>
      <w:r>
        <w:rPr>
          <w:spacing w:val="-1"/>
        </w:rPr>
        <w:t>授信期间本公司所</w:t>
      </w:r>
      <w:r>
        <w:rPr>
          <w:spacing w:val="-85"/>
        </w:rPr>
        <w:t> </w:t>
      </w:r>
      <w:r>
        <w:rPr/>
        <w:t>有债务承担连带保证责任，同时原</w:t>
      </w:r>
      <w:r>
        <w:rPr>
          <w:rFonts w:ascii="Times New Roman" w:hAnsi="Times New Roman" w:cs="Times New Roman" w:eastAsia="Times New Roman" w:hint="default"/>
        </w:rPr>
        <w:t>“2016</w:t>
      </w:r>
      <w:r>
        <w:rPr/>
        <w:t>年招世授字</w:t>
      </w:r>
      <w:r>
        <w:rPr>
          <w:rFonts w:ascii="Times New Roman" w:hAnsi="Times New Roman" w:cs="Times New Roman" w:eastAsia="Times New Roman" w:hint="default"/>
        </w:rPr>
        <w:t>017</w:t>
      </w:r>
      <w:r>
        <w:rPr/>
        <w:t>号</w:t>
      </w:r>
      <w:r>
        <w:rPr>
          <w:rFonts w:ascii="Times New Roman" w:hAnsi="Times New Roman" w:cs="Times New Roman" w:eastAsia="Times New Roman" w:hint="default"/>
        </w:rPr>
        <w:t>”</w:t>
      </w:r>
      <w:r>
        <w:rPr/>
        <w:t>《授信协议》</w:t>
      </w:r>
      <w:r>
        <w:rPr>
          <w:rFonts w:ascii="Times New Roman" w:hAnsi="Times New Roman" w:cs="Times New Roman" w:eastAsia="Times New Roman" w:hint="default"/>
        </w:rPr>
        <w:t>”</w:t>
      </w:r>
      <w:r>
        <w:rPr/>
        <w:t>项下正在执行的公司流动资金借款和保函转移至 </w:t>
      </w:r>
      <w:r>
        <w:rPr>
          <w:rFonts w:ascii="Times New Roman" w:hAnsi="Times New Roman" w:cs="Times New Roman" w:eastAsia="Times New Roman" w:hint="default"/>
        </w:rPr>
        <w:t>“2017</w:t>
      </w:r>
      <w:r>
        <w:rPr/>
        <w:t>年招世授字第</w:t>
      </w:r>
      <w:r>
        <w:rPr>
          <w:rFonts w:ascii="Times New Roman" w:hAnsi="Times New Roman" w:cs="Times New Roman" w:eastAsia="Times New Roman" w:hint="default"/>
        </w:rPr>
        <w:t>015</w:t>
      </w:r>
      <w:r>
        <w:rPr/>
        <w:t>号</w:t>
      </w:r>
      <w:r>
        <w:rPr>
          <w:rFonts w:ascii="Times New Roman" w:hAnsi="Times New Roman" w:cs="Times New Roman" w:eastAsia="Times New Roman" w:hint="default"/>
        </w:rPr>
        <w:t>”</w:t>
      </w:r>
      <w:r>
        <w:rPr/>
        <w:t>《授信协议》项下继续执行。截至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日，本公司在招商银行北京世纪城支行银行承兑 汇票和保函余额合计</w:t>
      </w:r>
      <w:r>
        <w:rPr>
          <w:rFonts w:ascii="Times New Roman" w:hAnsi="Times New Roman" w:cs="Times New Roman" w:eastAsia="Times New Roman" w:hint="default"/>
        </w:rPr>
        <w:t>17,935,890.00</w:t>
      </w:r>
      <w:r>
        <w:rPr/>
        <w:t>元。</w:t>
      </w:r>
    </w:p>
    <w:p>
      <w:pPr>
        <w:pStyle w:val="BodyText"/>
        <w:spacing w:line="300" w:lineRule="auto" w:before="13"/>
        <w:ind w:right="188" w:firstLine="36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15</w:t>
      </w:r>
      <w:r>
        <w:rPr>
          <w:spacing w:val="-1"/>
        </w:rPr>
        <w:t>日，康路与浦发银行北京分行签订最高额保证合同，为本公司编号为</w:t>
      </w:r>
      <w:r>
        <w:rPr>
          <w:rFonts w:ascii="Times New Roman" w:hAnsi="Times New Roman" w:cs="Times New Roman" w:eastAsia="Times New Roman" w:hint="default"/>
          <w:spacing w:val="-1"/>
        </w:rPr>
        <w:t>BC2016071500001661</w:t>
      </w:r>
      <w:r>
        <w:rPr>
          <w:spacing w:val="-1"/>
        </w:rPr>
        <w:t>号《融资额度协</w:t>
      </w:r>
      <w:r>
        <w:rPr/>
        <w:t> </w:t>
      </w:r>
      <w:r>
        <w:rPr>
          <w:spacing w:val="-1"/>
        </w:rPr>
        <w:t>议》下发生的所有债务承担连带保证责任，融资额度为</w:t>
      </w:r>
      <w:r>
        <w:rPr>
          <w:rFonts w:ascii="Times New Roman" w:hAnsi="Times New Roman" w:cs="Times New Roman" w:eastAsia="Times New Roman" w:hint="default"/>
          <w:spacing w:val="-1"/>
        </w:rPr>
        <w:t>5,000</w:t>
      </w:r>
      <w:r>
        <w:rPr>
          <w:spacing w:val="-1"/>
        </w:rPr>
        <w:t>万元，同时原</w:t>
      </w:r>
      <w:r>
        <w:rPr>
          <w:rFonts w:ascii="Times New Roman" w:hAnsi="Times New Roman" w:cs="Times New Roman" w:eastAsia="Times New Roman" w:hint="default"/>
          <w:spacing w:val="-1"/>
        </w:rPr>
        <w:t>BC2015052100001511</w:t>
      </w:r>
      <w:r>
        <w:rPr>
          <w:spacing w:val="-1"/>
        </w:rPr>
        <w:t>号《融资额度协议》项下正</w:t>
      </w:r>
      <w:r>
        <w:rPr>
          <w:spacing w:val="-43"/>
        </w:rPr>
        <w:t> </w:t>
      </w:r>
      <w:r>
        <w:rPr>
          <w:spacing w:val="-43"/>
        </w:rPr>
      </w:r>
      <w:r>
        <w:rPr>
          <w:spacing w:val="-1"/>
        </w:rPr>
        <w:t>在执行的公司流动资金借款和保函转移至</w:t>
      </w:r>
      <w:r>
        <w:rPr>
          <w:rFonts w:ascii="Times New Roman" w:hAnsi="Times New Roman" w:cs="Times New Roman" w:eastAsia="Times New Roman" w:hint="default"/>
          <w:spacing w:val="-1"/>
        </w:rPr>
        <w:t>BC2016071500001661</w:t>
      </w:r>
      <w:r>
        <w:rPr>
          <w:spacing w:val="-1"/>
        </w:rPr>
        <w:t>号《融资额度协议》项下继续执行。</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17</w:t>
      </w:r>
      <w:r>
        <w:rPr>
          <w:spacing w:val="-1"/>
        </w:rPr>
        <w:t>日，康路与</w:t>
      </w:r>
      <w:r>
        <w:rPr/>
        <w:t> 浦发银行北京分行签订最高额保证合同，为本公司编号为</w:t>
      </w:r>
      <w:r>
        <w:rPr>
          <w:rFonts w:ascii="Times New Roman" w:hAnsi="Times New Roman" w:cs="Times New Roman" w:eastAsia="Times New Roman" w:hint="default"/>
        </w:rPr>
        <w:t>BC2017070600001126</w:t>
      </w:r>
      <w:r>
        <w:rPr/>
        <w:t>号《融资额度协议》下发生的所有债务承担 </w:t>
      </w:r>
      <w:r>
        <w:rPr>
          <w:spacing w:val="-1"/>
        </w:rPr>
        <w:t>连带保证责任，融资额度为</w:t>
      </w:r>
      <w:r>
        <w:rPr>
          <w:rFonts w:ascii="Times New Roman" w:hAnsi="Times New Roman" w:cs="Times New Roman" w:eastAsia="Times New Roman" w:hint="default"/>
          <w:spacing w:val="-1"/>
        </w:rPr>
        <w:t>5,000</w:t>
      </w:r>
      <w:r>
        <w:rPr>
          <w:spacing w:val="-1"/>
        </w:rPr>
        <w:t>万元，同时原</w:t>
      </w:r>
      <w:r>
        <w:rPr>
          <w:rFonts w:ascii="Times New Roman" w:hAnsi="Times New Roman" w:cs="Times New Roman" w:eastAsia="Times New Roman" w:hint="default"/>
          <w:spacing w:val="-1"/>
        </w:rPr>
        <w:t>BC2016071500001661</w:t>
      </w:r>
      <w:r>
        <w:rPr>
          <w:spacing w:val="-1"/>
        </w:rPr>
        <w:t>号《融资额度协议》项下正在执行的公司流动资金借款</w:t>
      </w:r>
      <w:r>
        <w:rPr>
          <w:spacing w:val="-43"/>
        </w:rPr>
        <w:t> </w:t>
      </w:r>
      <w:r>
        <w:rPr>
          <w:spacing w:val="-43"/>
        </w:rPr>
      </w:r>
      <w:r>
        <w:rPr/>
        <w:t>和保函转移至</w:t>
      </w:r>
      <w:r>
        <w:rPr>
          <w:rFonts w:ascii="Times New Roman" w:hAnsi="Times New Roman" w:cs="Times New Roman" w:eastAsia="Times New Roman" w:hint="default"/>
        </w:rPr>
        <w:t>BC2017070600001126</w:t>
      </w:r>
      <w:r>
        <w:rPr/>
        <w:t>号《融资额度协议》项下继续执行。截至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日，本公司在浦发银行北京分行 银行承兑汇票和保函余额合计</w:t>
      </w:r>
      <w:r>
        <w:rPr>
          <w:rFonts w:ascii="Times New Roman" w:hAnsi="Times New Roman" w:cs="Times New Roman" w:eastAsia="Times New Roman" w:hint="default"/>
        </w:rPr>
        <w:t>9,217,180.00</w:t>
      </w:r>
      <w:r>
        <w:rPr/>
        <w:t>元。</w:t>
      </w:r>
    </w:p>
    <w:p>
      <w:pPr>
        <w:pStyle w:val="BodyText"/>
        <w:spacing w:line="240" w:lineRule="auto" w:before="13"/>
        <w:ind w:left="513"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日，康路与中信银行股份有限公司总行营业部签订最高额保证合同，为本公司编号为（</w:t>
      </w:r>
      <w:r>
        <w:rPr>
          <w:rFonts w:ascii="Times New Roman" w:hAnsi="Times New Roman" w:cs="Times New Roman" w:eastAsia="Times New Roman" w:hint="default"/>
        </w:rPr>
        <w:t>2016</w:t>
      </w:r>
      <w:r>
        <w:rPr/>
        <w:t>）信银营授字第</w:t>
      </w:r>
    </w:p>
    <w:p>
      <w:pPr>
        <w:pStyle w:val="BodyText"/>
        <w:spacing w:line="300" w:lineRule="auto" w:before="63"/>
        <w:ind w:right="97"/>
        <w:jc w:val="left"/>
        <w:rPr>
          <w:rFonts w:ascii="Times New Roman" w:hAnsi="Times New Roman" w:cs="Times New Roman" w:eastAsia="Times New Roman" w:hint="default"/>
        </w:rPr>
      </w:pPr>
      <w:r>
        <w:rPr>
          <w:rFonts w:ascii="Times New Roman" w:hAnsi="Times New Roman" w:cs="Times New Roman" w:eastAsia="Times New Roman" w:hint="default"/>
        </w:rPr>
        <w:t>000023</w:t>
      </w:r>
      <w:r>
        <w:rPr/>
        <w:t>号《综合授信合同》下发生的所有债务承担连带保证责任，融资额度为</w:t>
      </w:r>
      <w:r>
        <w:rPr>
          <w:rFonts w:ascii="Times New Roman" w:hAnsi="Times New Roman" w:cs="Times New Roman" w:eastAsia="Times New Roman" w:hint="default"/>
        </w:rPr>
        <w:t>8,500</w:t>
      </w:r>
      <w:r>
        <w:rPr/>
        <w:t>万元；同时原编号为（</w:t>
      </w:r>
      <w:r>
        <w:rPr>
          <w:rFonts w:ascii="Times New Roman" w:hAnsi="Times New Roman" w:cs="Times New Roman" w:eastAsia="Times New Roman" w:hint="default"/>
        </w:rPr>
        <w:t>2015</w:t>
      </w:r>
      <w:r>
        <w:rPr/>
        <w:t>）信银授字 </w:t>
      </w:r>
      <w:r>
        <w:rPr>
          <w:spacing w:val="-2"/>
        </w:rPr>
        <w:t>第</w:t>
      </w:r>
      <w:r>
        <w:rPr>
          <w:rFonts w:ascii="Times New Roman" w:hAnsi="Times New Roman" w:cs="Times New Roman" w:eastAsia="Times New Roman" w:hint="default"/>
          <w:spacing w:val="-2"/>
        </w:rPr>
        <w:t>000114</w:t>
      </w:r>
      <w:r>
        <w:rPr>
          <w:spacing w:val="-2"/>
        </w:rPr>
        <w:t>号的《综合授信合同》项下正在执行的公司流动资金借款、银行承兑汇票和保函转移至编号为（</w:t>
      </w:r>
      <w:r>
        <w:rPr>
          <w:rFonts w:ascii="Times New Roman" w:hAnsi="Times New Roman" w:cs="Times New Roman" w:eastAsia="Times New Roman" w:hint="default"/>
          <w:spacing w:val="-2"/>
        </w:rPr>
        <w:t>2016</w:t>
      </w:r>
      <w:r>
        <w:rPr>
          <w:spacing w:val="-2"/>
        </w:rPr>
        <w:t>）信银营授字</w:t>
      </w:r>
      <w:r>
        <w:rPr>
          <w:spacing w:val="-61"/>
        </w:rPr>
        <w:t> </w:t>
      </w:r>
      <w:r>
        <w:rPr>
          <w:spacing w:val="-61"/>
        </w:rPr>
      </w:r>
      <w:r>
        <w:rPr>
          <w:spacing w:val="-3"/>
        </w:rPr>
        <w:t>第</w:t>
      </w:r>
      <w:r>
        <w:rPr>
          <w:rFonts w:ascii="Times New Roman" w:hAnsi="Times New Roman" w:cs="Times New Roman" w:eastAsia="Times New Roman" w:hint="default"/>
          <w:spacing w:val="-3"/>
        </w:rPr>
        <w:t>000023</w:t>
      </w:r>
      <w:r>
        <w:rPr>
          <w:spacing w:val="-3"/>
        </w:rPr>
        <w:t>号《综合授信合同》项下继续执行。</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w:t>
      </w:r>
      <w:r>
        <w:rPr>
          <w:spacing w:val="-3"/>
        </w:rPr>
        <w:t>日，康路与中信银行股份有限公司总行营业部签订最高额保证合同，</w:t>
      </w:r>
      <w:r>
        <w:rPr>
          <w:spacing w:val="-88"/>
        </w:rPr>
        <w:t> </w:t>
      </w:r>
      <w:r>
        <w:rPr>
          <w:spacing w:val="-88"/>
        </w:rPr>
      </w:r>
      <w:r>
        <w:rPr>
          <w:spacing w:val="-3"/>
        </w:rPr>
        <w:t>为本公司编号为（</w:t>
      </w:r>
      <w:r>
        <w:rPr>
          <w:rFonts w:ascii="Times New Roman" w:hAnsi="Times New Roman" w:cs="Times New Roman" w:eastAsia="Times New Roman" w:hint="default"/>
          <w:spacing w:val="-3"/>
        </w:rPr>
        <w:t>2017</w:t>
      </w:r>
      <w:r>
        <w:rPr>
          <w:spacing w:val="-3"/>
        </w:rPr>
        <w:t>）信银营最保字第</w:t>
      </w:r>
      <w:r>
        <w:rPr>
          <w:rFonts w:ascii="Times New Roman" w:hAnsi="Times New Roman" w:cs="Times New Roman" w:eastAsia="Times New Roman" w:hint="default"/>
          <w:spacing w:val="-3"/>
        </w:rPr>
        <w:t>000407</w:t>
      </w:r>
      <w:r>
        <w:rPr>
          <w:spacing w:val="-3"/>
        </w:rPr>
        <w:t>号《综合授信合同》下发生的所有债务承担连带保证责任，融资额度为</w:t>
      </w:r>
      <w:r>
        <w:rPr>
          <w:rFonts w:ascii="Times New Roman" w:hAnsi="Times New Roman" w:cs="Times New Roman" w:eastAsia="Times New Roman" w:hint="default"/>
          <w:spacing w:val="-3"/>
        </w:rPr>
        <w:t>8,000</w:t>
      </w:r>
    </w:p>
    <w:p>
      <w:pPr>
        <w:spacing w:after="0" w:line="300" w:lineRule="auto"/>
        <w:jc w:val="left"/>
        <w:rPr>
          <w:rFonts w:ascii="Times New Roman" w:hAnsi="Times New Roman" w:cs="Times New Roman" w:eastAsia="Times New Roman" w:hint="default"/>
        </w:rPr>
        <w:sectPr>
          <w:pgSz w:w="11910" w:h="16840"/>
          <w:pgMar w:header="745" w:footer="980" w:top="1060" w:bottom="1160" w:left="980" w:right="940"/>
        </w:sectPr>
      </w:pPr>
    </w:p>
    <w:p>
      <w:pPr>
        <w:spacing w:line="240" w:lineRule="auto" w:before="3"/>
        <w:rPr>
          <w:rFonts w:ascii="Times New Roman" w:hAnsi="Times New Roman" w:cs="Times New Roman" w:eastAsia="Times New Roman" w:hint="default"/>
          <w:sz w:val="29"/>
          <w:szCs w:val="29"/>
        </w:rPr>
      </w:pPr>
    </w:p>
    <w:p>
      <w:pPr>
        <w:pStyle w:val="BodyText"/>
        <w:spacing w:line="300" w:lineRule="auto" w:before="44"/>
        <w:ind w:right="151"/>
        <w:jc w:val="both"/>
      </w:pPr>
      <w:r>
        <w:rPr>
          <w:spacing w:val="-2"/>
        </w:rPr>
        <w:t>万元；同时原编号为（</w:t>
      </w:r>
      <w:r>
        <w:rPr>
          <w:rFonts w:ascii="Times New Roman" w:hAnsi="Times New Roman" w:cs="Times New Roman" w:eastAsia="Times New Roman" w:hint="default"/>
          <w:spacing w:val="-2"/>
        </w:rPr>
        <w:t>2016</w:t>
      </w:r>
      <w:r>
        <w:rPr>
          <w:spacing w:val="-2"/>
        </w:rPr>
        <w:t>）信银营授字第</w:t>
      </w:r>
      <w:r>
        <w:rPr>
          <w:rFonts w:ascii="Times New Roman" w:hAnsi="Times New Roman" w:cs="Times New Roman" w:eastAsia="Times New Roman" w:hint="default"/>
          <w:spacing w:val="-2"/>
        </w:rPr>
        <w:t>000023</w:t>
      </w:r>
      <w:r>
        <w:rPr>
          <w:spacing w:val="-2"/>
        </w:rPr>
        <w:t>号的《综合授信合同》项下正在执行的公司流动资金借款、银行承兑汇票</w:t>
      </w:r>
      <w:r>
        <w:rPr>
          <w:spacing w:val="-63"/>
        </w:rPr>
        <w:t> </w:t>
      </w:r>
      <w:r>
        <w:rPr>
          <w:spacing w:val="-63"/>
        </w:rPr>
      </w:r>
      <w:r>
        <w:rPr>
          <w:spacing w:val="-2"/>
        </w:rPr>
        <w:t>和保函转移至编号为（</w:t>
      </w:r>
      <w:r>
        <w:rPr>
          <w:rFonts w:ascii="Times New Roman" w:hAnsi="Times New Roman" w:cs="Times New Roman" w:eastAsia="Times New Roman" w:hint="default"/>
          <w:spacing w:val="-2"/>
        </w:rPr>
        <w:t>2017</w:t>
      </w:r>
      <w:r>
        <w:rPr>
          <w:spacing w:val="-2"/>
        </w:rPr>
        <w:t>）信银营最保字第</w:t>
      </w:r>
      <w:r>
        <w:rPr>
          <w:rFonts w:ascii="Times New Roman" w:hAnsi="Times New Roman" w:cs="Times New Roman" w:eastAsia="Times New Roman" w:hint="default"/>
          <w:spacing w:val="-2"/>
        </w:rPr>
        <w:t>000407</w:t>
      </w:r>
      <w:r>
        <w:rPr>
          <w:spacing w:val="-2"/>
        </w:rPr>
        <w:t>号《综合授信合同》项下继续执行。截至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日止，该融资额</w:t>
      </w:r>
      <w:r>
        <w:rPr>
          <w:spacing w:val="-57"/>
        </w:rPr>
        <w:t> </w:t>
      </w:r>
      <w:r>
        <w:rPr>
          <w:spacing w:val="-57"/>
        </w:rPr>
      </w:r>
      <w:r>
        <w:rPr/>
        <w:t>度下公司流动资金借款、银行承兑汇票和保函余额为零。</w:t>
      </w:r>
    </w:p>
    <w:p>
      <w:pPr>
        <w:pStyle w:val="BodyText"/>
        <w:spacing w:line="240" w:lineRule="auto" w:before="72"/>
        <w:ind w:right="0"/>
        <w:jc w:val="both"/>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新晨科技股份有限公司关于关联自然人为 公司向银行申请授信提供担保的公告</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2017-006</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1">
              <w:r>
                <w:rPr>
                  <w:rFonts w:ascii="Times New Roman" w:hAnsi="Times New Roman" w:cs="Times New Roman" w:eastAsia="Times New Roman" w:hint="default"/>
                  <w:sz w:val="18"/>
                  <w:szCs w:val="18"/>
                </w:rPr>
                <w:t>http://www.cninfo.com.cn</w:t>
              </w:r>
            </w:hyperlink>
          </w:p>
        </w:tc>
      </w:tr>
      <w:tr>
        <w:trPr>
          <w:trHeight w:val="1027"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新晨科技股份有限公司关于关联自然人为 公司向银行申请授信提供担保的公告</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2017-068</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1">
              <w:r>
                <w:rPr>
                  <w:rFonts w:ascii="Times New Roman" w:hAnsi="Times New Roman" w:cs="Times New Roman" w:eastAsia="Times New Roman" w:hint="default"/>
                  <w:sz w:val="18"/>
                  <w:szCs w:val="18"/>
                </w:rPr>
                <w:t>http://www.cninfo.com.cn</w:t>
              </w:r>
            </w:hyperlink>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6"/>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after="0" w:line="3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9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93"/>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4" w:firstLine="360"/>
        <w:jc w:val="both"/>
      </w:pPr>
      <w:r>
        <w:rPr>
          <w:spacing w:val="-2"/>
        </w:rPr>
        <w:t>公司积极履行企业应尽的义务，承担社会责任。公司在不断为股东创造价值的同时，也积极承担对员工、客户、社会等</w:t>
      </w:r>
      <w:r>
        <w:rPr/>
        <w:t> 其他利益相关者的责任。</w:t>
      </w:r>
    </w:p>
    <w:p>
      <w:pPr>
        <w:pStyle w:val="BodyText"/>
        <w:spacing w:line="316" w:lineRule="auto" w:before="19"/>
        <w:ind w:right="192" w:firstLine="360"/>
        <w:jc w:val="both"/>
      </w:pPr>
      <w:r>
        <w:rPr>
          <w:spacing w:val="-2"/>
        </w:rPr>
        <w:t>公司严格按照《公司法》、《深圳证券交易所创业板股票上市规则》、《上市公司信息披露管理办法》等相关法律法规</w:t>
      </w:r>
      <w:r>
        <w:rPr/>
        <w:t> </w:t>
      </w:r>
      <w:r>
        <w:rPr>
          <w:spacing w:val="-2"/>
        </w:rPr>
        <w:t>的要求，及时、准确、真实、完整地进行信息披露，通过投资者电话、电子邮箱、公司网站和投资者关系互动平台等多种方</w:t>
      </w:r>
      <w:r>
        <w:rPr>
          <w:spacing w:val="-70"/>
        </w:rPr>
        <w:t> </w:t>
      </w:r>
      <w:r>
        <w:rPr>
          <w:spacing w:val="-70"/>
        </w:rPr>
      </w:r>
      <w:r>
        <w:rPr/>
        <w:t>式与投资者进行沟通交流，提高了公司的透明度和诚信度。</w:t>
      </w:r>
    </w:p>
    <w:p>
      <w:pPr>
        <w:pStyle w:val="BodyText"/>
        <w:spacing w:line="316" w:lineRule="auto" w:before="19"/>
        <w:ind w:right="189" w:firstLine="360"/>
        <w:jc w:val="both"/>
      </w:pPr>
      <w:r>
        <w:rPr>
          <w:spacing w:val="-2"/>
        </w:rPr>
        <w:t>公司一直坚持以人为本的人才理念，实施企业人才战略，严格遵守《劳动法》、《劳动合同法》等相关法律法规，尊重</w:t>
      </w:r>
      <w:r>
        <w:rPr/>
        <w:t> </w:t>
      </w:r>
      <w:r>
        <w:rPr>
          <w:spacing w:val="-2"/>
        </w:rPr>
        <w:t>和维护员工的个人权益，切实关注员工健康、安全和满意度；通过知识技能的理论培训及实践操作技能培训等方式使员工得</w:t>
      </w:r>
      <w:r>
        <w:rPr>
          <w:spacing w:val="-63"/>
        </w:rPr>
        <w:t> </w:t>
      </w:r>
      <w:r>
        <w:rPr>
          <w:spacing w:val="-63"/>
        </w:rPr>
      </w:r>
      <w:r>
        <w:rPr/>
        <w:t>到切实的提高和发展，维护员工权益。</w:t>
      </w:r>
    </w:p>
    <w:p>
      <w:pPr>
        <w:pStyle w:val="BodyText"/>
        <w:spacing w:line="316" w:lineRule="auto" w:before="19"/>
        <w:ind w:right="189" w:firstLine="360"/>
        <w:jc w:val="both"/>
      </w:pPr>
      <w:r>
        <w:rPr>
          <w:spacing w:val="-2"/>
        </w:rPr>
        <w:t>公司始终将依法经营作为公司运行的基本原则，注重企业经济效益与社会效益的同步共赢。公司严格遵守国家法律、法</w:t>
      </w:r>
      <w:r>
        <w:rPr/>
        <w:t> 规、政策的规定，始终依法经营，积极纳税，发展就业岗位，支持地方经济的发展。</w:t>
      </w:r>
    </w:p>
    <w:p>
      <w:pPr>
        <w:spacing w:line="240" w:lineRule="auto" w:before="11"/>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4774"/>
        <w:jc w:val="left"/>
      </w:pPr>
      <w:r>
        <w:rPr/>
        <w:t>上市公司及其子公司是否属于环境保护部门公布的重点排污单位 不适用</w:t>
      </w:r>
    </w:p>
    <w:p>
      <w:pPr>
        <w:spacing w:line="240" w:lineRule="auto" w:before="7"/>
        <w:rPr>
          <w:rFonts w:ascii="宋体" w:hAnsi="宋体" w:cs="宋体" w:eastAsia="宋体" w:hint="default"/>
          <w:sz w:val="18"/>
          <w:szCs w:val="18"/>
        </w:rPr>
      </w:pPr>
    </w:p>
    <w:p>
      <w:pPr>
        <w:pStyle w:val="Heading2"/>
        <w:spacing w:line="240" w:lineRule="auto"/>
        <w:ind w:right="93"/>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2"/>
        <w:ind w:right="192"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10</w:t>
      </w:r>
      <w:r>
        <w:rPr>
          <w:spacing w:val="-2"/>
        </w:rPr>
        <w:t>日，公司召开</w:t>
      </w:r>
      <w:r>
        <w:rPr>
          <w:rFonts w:ascii="Times New Roman" w:hAnsi="Times New Roman" w:cs="Times New Roman" w:eastAsia="Times New Roman" w:hint="default"/>
          <w:spacing w:val="-2"/>
        </w:rPr>
        <w:t>2017</w:t>
      </w:r>
      <w:r>
        <w:rPr>
          <w:spacing w:val="-2"/>
        </w:rPr>
        <w:t>年第一次职工代表大会会议，选举纪昕先生为公司第八届监事会职工代表监事。具体</w:t>
      </w:r>
      <w:r>
        <w:rPr/>
        <w:t> 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日在巨潮资讯网（</w:t>
      </w:r>
      <w:hyperlink r:id="rId11">
        <w:r>
          <w:rPr>
            <w:rFonts w:ascii="Times New Roman" w:hAnsi="Times New Roman" w:cs="Times New Roman" w:eastAsia="Times New Roman" w:hint="default"/>
          </w:rPr>
          <w:t>http://www.cninfo.com.cn</w:t>
        </w:r>
      </w:hyperlink>
      <w:r>
        <w:rPr/>
        <w:t>）上刊登的《关于选举职工代表监事的公告》</w:t>
      </w:r>
    </w:p>
    <w:p>
      <w:pPr>
        <w:pStyle w:val="BodyText"/>
        <w:spacing w:line="240" w:lineRule="auto" w:before="13"/>
        <w:ind w:right="93"/>
        <w:jc w:val="left"/>
      </w:pPr>
      <w:r>
        <w:rPr/>
        <w:t>（</w:t>
      </w:r>
      <w:r>
        <w:rPr>
          <w:rFonts w:ascii="Times New Roman" w:hAnsi="Times New Roman" w:cs="Times New Roman" w:eastAsia="Times New Roman" w:hint="default"/>
        </w:rPr>
        <w:t>2017-011</w:t>
      </w:r>
      <w:r>
        <w:rPr/>
        <w:t>）。</w:t>
      </w:r>
    </w:p>
    <w:p>
      <w:pPr>
        <w:pStyle w:val="BodyText"/>
        <w:spacing w:line="300" w:lineRule="auto" w:before="63"/>
        <w:ind w:right="101" w:firstLine="360"/>
        <w:jc w:val="both"/>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10</w:t>
      </w:r>
      <w:r>
        <w:rPr>
          <w:spacing w:val="-4"/>
        </w:rPr>
        <w:t>日，公司召开</w:t>
      </w:r>
      <w:r>
        <w:rPr>
          <w:rFonts w:ascii="Times New Roman" w:hAnsi="Times New Roman" w:cs="Times New Roman" w:eastAsia="Times New Roman" w:hint="default"/>
          <w:spacing w:val="-4"/>
        </w:rPr>
        <w:t>2017</w:t>
      </w:r>
      <w:r>
        <w:rPr>
          <w:spacing w:val="-4"/>
        </w:rPr>
        <w:t>年第一次临时股东大会，审议通过了《关于新晨科技股份有限公司补选监事的议案》，</w:t>
      </w:r>
      <w:r>
        <w:rPr/>
        <w:t> 自即日起，邹琳女士担任公司第八届监事会股东代表监事。具体内容详见公司于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日在巨潮资讯网</w:t>
      </w:r>
    </w:p>
    <w:p>
      <w:pPr>
        <w:pStyle w:val="BodyText"/>
        <w:spacing w:line="240" w:lineRule="auto" w:before="13"/>
        <w:ind w:right="93"/>
        <w:jc w:val="left"/>
      </w:pPr>
      <w:r>
        <w:rPr/>
        <w:t>（</w:t>
      </w:r>
      <w:hyperlink r:id="rId11">
        <w:r>
          <w:rPr>
            <w:rFonts w:ascii="Times New Roman" w:hAnsi="Times New Roman" w:cs="Times New Roman" w:eastAsia="Times New Roman" w:hint="default"/>
          </w:rPr>
          <w:t>http://www.cninfo.com.cn</w:t>
        </w:r>
      </w:hyperlink>
      <w:r>
        <w:rPr/>
        <w:t>）上刊登的《关于变更监事的公告》（</w:t>
      </w:r>
      <w:r>
        <w:rPr>
          <w:rFonts w:ascii="Times New Roman" w:hAnsi="Times New Roman" w:cs="Times New Roman" w:eastAsia="Times New Roman" w:hint="default"/>
        </w:rPr>
        <w:t>2017-012</w:t>
      </w:r>
      <w:r>
        <w:rPr/>
        <w:t>）。</w:t>
      </w:r>
    </w:p>
    <w:p>
      <w:pPr>
        <w:pStyle w:val="BodyText"/>
        <w:spacing w:line="240" w:lineRule="auto" w:before="62"/>
        <w:ind w:left="51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日，公司控股股东、实际控制人李福华先生、张燕生先生将所持有本公司的部分股份进行质押。具体内</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日在巨潮资讯网（</w:t>
      </w:r>
      <w:hyperlink r:id="rId11">
        <w:r>
          <w:rPr>
            <w:rFonts w:ascii="Times New Roman" w:hAnsi="Times New Roman" w:cs="Times New Roman" w:eastAsia="Times New Roman" w:hint="default"/>
          </w:rPr>
          <w:t>http://www.cninfo.com.cn</w:t>
        </w:r>
      </w:hyperlink>
      <w:r>
        <w:rPr/>
        <w:t>）上刊登的《控股股东、实际控制人股份质押的公告》</w:t>
      </w:r>
    </w:p>
    <w:p>
      <w:pPr>
        <w:pStyle w:val="BodyText"/>
        <w:spacing w:line="240" w:lineRule="auto" w:before="63"/>
        <w:ind w:right="93"/>
        <w:jc w:val="left"/>
      </w:pPr>
      <w:r>
        <w:rPr/>
        <w:t>（</w:t>
      </w:r>
      <w:r>
        <w:rPr>
          <w:rFonts w:ascii="Times New Roman" w:hAnsi="Times New Roman" w:cs="Times New Roman" w:eastAsia="Times New Roman" w:hint="default"/>
        </w:rPr>
        <w:t>2017-015</w:t>
      </w:r>
      <w:r>
        <w:rPr/>
        <w:t>）。</w:t>
      </w:r>
    </w:p>
    <w:p>
      <w:pPr>
        <w:pStyle w:val="BodyText"/>
        <w:spacing w:line="300" w:lineRule="auto" w:before="63"/>
        <w:ind w:right="89" w:firstLine="360"/>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23</w:t>
      </w:r>
      <w:r>
        <w:rPr>
          <w:spacing w:val="-2"/>
        </w:rPr>
        <w:t>日，公司控股股东、实际控制人李福华先生、张燕生先生将所持有本公司的部分股份进行质押。具体内</w:t>
      </w:r>
      <w:r>
        <w:rPr/>
        <w:t> 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日在巨潮资讯网（</w:t>
      </w:r>
      <w:hyperlink r:id="rId11">
        <w:r>
          <w:rPr>
            <w:rFonts w:ascii="Times New Roman" w:hAnsi="Times New Roman" w:cs="Times New Roman" w:eastAsia="Times New Roman" w:hint="default"/>
          </w:rPr>
          <w:t>http://www.cninfo.com.cn</w:t>
        </w:r>
      </w:hyperlink>
      <w:r>
        <w:rPr/>
        <w:t>）上刊登的《控股股东、实际控制人股份质押的公告》</w:t>
      </w:r>
    </w:p>
    <w:p>
      <w:pPr>
        <w:pStyle w:val="BodyText"/>
        <w:spacing w:line="240" w:lineRule="auto" w:before="13"/>
        <w:ind w:right="93"/>
        <w:jc w:val="left"/>
      </w:pPr>
      <w:r>
        <w:rPr/>
        <w:t>（</w:t>
      </w:r>
      <w:r>
        <w:rPr>
          <w:rFonts w:ascii="Times New Roman" w:hAnsi="Times New Roman" w:cs="Times New Roman" w:eastAsia="Times New Roman" w:hint="default"/>
        </w:rPr>
        <w:t>2017-033</w:t>
      </w:r>
      <w:r>
        <w:rPr/>
        <w:t>）。</w:t>
      </w:r>
    </w:p>
    <w:p>
      <w:pPr>
        <w:pStyle w:val="BodyText"/>
        <w:spacing w:line="300" w:lineRule="auto" w:before="63"/>
        <w:ind w:right="172" w:firstLine="36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w:t>
      </w:r>
      <w:r>
        <w:rPr>
          <w:rFonts w:ascii="Times New Roman" w:hAnsi="Times New Roman" w:cs="Times New Roman" w:eastAsia="Times New Roman" w:hint="default"/>
        </w:rPr>
        <w:t>2017</w:t>
      </w:r>
      <w:r>
        <w:rPr/>
        <w:t>年第二次临时股东大会审议并通过了《关于</w:t>
      </w:r>
      <w:r>
        <w:rPr>
          <w:rFonts w:ascii="Times New Roman" w:hAnsi="Times New Roman" w:cs="Times New Roman" w:eastAsia="Times New Roman" w:hint="default"/>
        </w:rPr>
        <w:t>&lt;</w:t>
      </w:r>
      <w:r>
        <w:rPr/>
        <w:t>新晨科技股份有限公司</w:t>
      </w:r>
      <w:r>
        <w:rPr>
          <w:rFonts w:ascii="Times New Roman" w:hAnsi="Times New Roman" w:cs="Times New Roman" w:eastAsia="Times New Roman" w:hint="default"/>
        </w:rPr>
        <w:t>2017</w:t>
      </w:r>
      <w:r>
        <w:rPr/>
        <w:t>年限制性股票激 励计划（草案）</w:t>
      </w:r>
      <w:r>
        <w:rPr>
          <w:rFonts w:ascii="Times New Roman" w:hAnsi="Times New Roman" w:cs="Times New Roman" w:eastAsia="Times New Roman" w:hint="default"/>
        </w:rPr>
        <w:t>&gt;</w:t>
      </w:r>
      <w:r>
        <w:rPr/>
        <w:t>及其摘要的议案》、《关于将李小华女士作为</w:t>
      </w:r>
      <w:r>
        <w:rPr>
          <w:rFonts w:ascii="Times New Roman" w:hAnsi="Times New Roman" w:cs="Times New Roman" w:eastAsia="Times New Roman" w:hint="default"/>
        </w:rPr>
        <w:t>2017</w:t>
      </w:r>
      <w:r>
        <w:rPr/>
        <w:t>年限制性股票激励计划激励对象的议案》、《关于制定</w:t>
      </w:r>
    </w:p>
    <w:p>
      <w:pPr>
        <w:pStyle w:val="BodyText"/>
        <w:spacing w:line="300" w:lineRule="auto" w:before="13"/>
        <w:ind w:right="103"/>
        <w:jc w:val="left"/>
      </w:pPr>
      <w:r>
        <w:rPr>
          <w:rFonts w:ascii="Times New Roman" w:hAnsi="Times New Roman" w:cs="Times New Roman" w:eastAsia="Times New Roman" w:hint="default"/>
        </w:rPr>
        <w:t>&lt;</w:t>
      </w:r>
      <w:r>
        <w:rPr/>
        <w:t>新晨科技股份有限公司</w:t>
      </w:r>
      <w:r>
        <w:rPr>
          <w:rFonts w:ascii="Times New Roman" w:hAnsi="Times New Roman" w:cs="Times New Roman" w:eastAsia="Times New Roman" w:hint="default"/>
        </w:rPr>
        <w:t>2017</w:t>
      </w:r>
      <w:r>
        <w:rPr/>
        <w:t>年限制性股票激励计划实施考核管理办法</w:t>
      </w:r>
      <w:r>
        <w:rPr>
          <w:rFonts w:ascii="Times New Roman" w:hAnsi="Times New Roman" w:cs="Times New Roman" w:eastAsia="Times New Roman" w:hint="default"/>
        </w:rPr>
        <w:t>&gt;</w:t>
      </w:r>
      <w:r>
        <w:rPr/>
        <w:t>的议案》、《关于提请公司股东大会授权董事会办 </w:t>
      </w:r>
      <w:r>
        <w:rPr>
          <w:spacing w:val="-3"/>
        </w:rPr>
        <w:t>理</w:t>
      </w:r>
      <w:r>
        <w:rPr>
          <w:rFonts w:ascii="Times New Roman" w:hAnsi="Times New Roman" w:cs="Times New Roman" w:eastAsia="Times New Roman" w:hint="default"/>
          <w:spacing w:val="-3"/>
        </w:rPr>
        <w:t>2017</w:t>
      </w:r>
      <w:r>
        <w:rPr>
          <w:spacing w:val="-3"/>
        </w:rPr>
        <w:t>年限制性股票激励计划有关事项的议案》。公司实施</w:t>
      </w:r>
      <w:r>
        <w:rPr>
          <w:rFonts w:ascii="Times New Roman" w:hAnsi="Times New Roman" w:cs="Times New Roman" w:eastAsia="Times New Roman" w:hint="default"/>
          <w:spacing w:val="-3"/>
        </w:rPr>
        <w:t>2017</w:t>
      </w:r>
      <w:r>
        <w:rPr>
          <w:spacing w:val="-3"/>
        </w:rPr>
        <w:t>年限制性股票激励计划获得批准，董事会被授权确定授予日、</w:t>
      </w:r>
      <w:r>
        <w:rPr/>
        <w:t> </w:t>
      </w:r>
      <w:r>
        <w:rPr>
          <w:spacing w:val="-2"/>
        </w:rPr>
        <w:t>在激励对象符合条件时向激励对象授予限制性股票，并办理授予所必需的全部事宜。具体内容详见公司于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5</w:t>
      </w:r>
      <w:r>
        <w:rPr>
          <w:spacing w:val="-2"/>
        </w:rPr>
        <w:t>日在巨</w:t>
      </w:r>
      <w:r>
        <w:rPr>
          <w:spacing w:val="-60"/>
        </w:rPr>
        <w:t> </w:t>
      </w:r>
      <w:r>
        <w:rPr>
          <w:spacing w:val="-60"/>
        </w:rPr>
      </w:r>
      <w:r>
        <w:rPr/>
        <w:t>潮资讯网（</w:t>
      </w:r>
      <w:hyperlink r:id="rId11">
        <w:r>
          <w:rPr>
            <w:rFonts w:ascii="Times New Roman" w:hAnsi="Times New Roman" w:cs="Times New Roman" w:eastAsia="Times New Roman" w:hint="default"/>
          </w:rPr>
          <w:t>http://www.cninfo.com.cn</w:t>
        </w:r>
      </w:hyperlink>
      <w:r>
        <w:rPr/>
        <w:t>）上刊登的《</w:t>
      </w:r>
      <w:r>
        <w:rPr>
          <w:rFonts w:ascii="Times New Roman" w:hAnsi="Times New Roman" w:cs="Times New Roman" w:eastAsia="Times New Roman" w:hint="default"/>
        </w:rPr>
        <w:t>2017</w:t>
      </w:r>
      <w:r>
        <w:rPr/>
        <w:t>年第二次临时股东大会决议公告》（</w:t>
      </w:r>
      <w:r>
        <w:rPr>
          <w:rFonts w:ascii="Times New Roman" w:hAnsi="Times New Roman" w:cs="Times New Roman" w:eastAsia="Times New Roman" w:hint="default"/>
        </w:rPr>
        <w:t>2017-036</w:t>
      </w:r>
      <w:r>
        <w:rPr/>
        <w:t>）。</w:t>
      </w:r>
    </w:p>
    <w:p>
      <w:pPr>
        <w:pStyle w:val="BodyText"/>
        <w:spacing w:line="240" w:lineRule="auto" w:before="13"/>
        <w:ind w:left="513"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日，公司控股股东、实际控制人张燕生先生将所持有本公司的部分股份进行质押。具体内容详见公司于</w:t>
      </w:r>
    </w:p>
    <w:p>
      <w:pPr>
        <w:pStyle w:val="BodyText"/>
        <w:spacing w:line="240" w:lineRule="auto" w:before="63"/>
        <w:ind w:right="93"/>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22</w:t>
      </w:r>
      <w:r>
        <w:rPr>
          <w:spacing w:val="-3"/>
        </w:rPr>
        <w:t>日在巨潮资讯网（</w:t>
      </w:r>
      <w:hyperlink r:id="rId11">
        <w:r>
          <w:rPr>
            <w:rFonts w:ascii="Times New Roman" w:hAnsi="Times New Roman" w:cs="Times New Roman" w:eastAsia="Times New Roman" w:hint="default"/>
            <w:spacing w:val="-3"/>
          </w:rPr>
          <w:t>http://www.cninfo.com.cn</w:t>
        </w:r>
      </w:hyperlink>
      <w:r>
        <w:rPr>
          <w:spacing w:val="-3"/>
        </w:rPr>
        <w:t>）上刊登的《控股股东、实际控制人股份质押的公告》（</w:t>
      </w:r>
      <w:r>
        <w:rPr>
          <w:rFonts w:ascii="Times New Roman" w:hAnsi="Times New Roman" w:cs="Times New Roman" w:eastAsia="Times New Roman" w:hint="default"/>
          <w:spacing w:val="-3"/>
        </w:rPr>
        <w:t>2017-049</w:t>
      </w:r>
      <w:r>
        <w:rPr>
          <w:spacing w:val="-3"/>
        </w:rPr>
        <w:t>）。</w:t>
      </w:r>
      <w:r>
        <w:rPr/>
      </w:r>
    </w:p>
    <w:p>
      <w:pPr>
        <w:pStyle w:val="BodyText"/>
        <w:spacing w:line="307" w:lineRule="auto" w:before="63"/>
        <w:ind w:right="188" w:firstLine="360"/>
        <w:jc w:val="left"/>
      </w:pP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日，公司召开</w:t>
      </w:r>
      <w:r>
        <w:rPr>
          <w:rFonts w:ascii="Times New Roman" w:hAnsi="Times New Roman" w:cs="Times New Roman" w:eastAsia="Times New Roman" w:hint="default"/>
          <w:spacing w:val="-2"/>
        </w:rPr>
        <w:t>2017</w:t>
      </w:r>
      <w:r>
        <w:rPr>
          <w:spacing w:val="-2"/>
        </w:rPr>
        <w:t>年第三次临时股东大会，审议通过了《关于新晨科技股份有限公司董事会换届选举的</w:t>
      </w:r>
      <w:r>
        <w:rPr/>
        <w:t> 议案》，同意选举李福华先生、康路先生、张燕生先生、杨汉杰先生、高冠江先生、李晓枫先生、罗炜先生共</w:t>
      </w:r>
      <w:r>
        <w:rPr>
          <w:rFonts w:ascii="Times New Roman" w:hAnsi="Times New Roman" w:cs="Times New Roman" w:eastAsia="Times New Roman" w:hint="default"/>
        </w:rPr>
        <w:t>7</w:t>
      </w:r>
      <w:r>
        <w:rPr/>
        <w:t>人为第九届</w:t>
      </w:r>
      <w:r>
        <w:rPr>
          <w:spacing w:val="-87"/>
        </w:rPr>
        <w:t> </w:t>
      </w:r>
      <w:r>
        <w:rPr>
          <w:spacing w:val="-2"/>
        </w:rPr>
        <w:t>董事会董事，任期三年，自本次股东大会审议通过之日起生效，其中高冠江先生、李晓枫先生、罗炜先生为公司第九届董事</w:t>
      </w:r>
      <w:r>
        <w:rPr>
          <w:spacing w:val="-67"/>
        </w:rPr>
        <w:t> </w:t>
      </w:r>
      <w:r>
        <w:rPr>
          <w:spacing w:val="-67"/>
        </w:rPr>
      </w:r>
      <w:r>
        <w:rPr/>
        <w:t>会独立董事。第八届董事会独立董事汤金资女士在第八届董事会任职届满后不再担任公司独立董事及董事会专门委员会职 </w:t>
      </w:r>
      <w:r>
        <w:rPr>
          <w:spacing w:val="-2"/>
        </w:rPr>
        <w:t>务，也不担任公司任何职务。具体内容详见公司于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日在巨潮资讯网（</w:t>
      </w:r>
      <w:hyperlink r:id="rId11">
        <w:r>
          <w:rPr>
            <w:rFonts w:ascii="Times New Roman" w:hAnsi="Times New Roman" w:cs="Times New Roman" w:eastAsia="Times New Roman" w:hint="default"/>
            <w:spacing w:val="-2"/>
          </w:rPr>
          <w:t>http://www.cninfo.com.cn</w:t>
        </w:r>
      </w:hyperlink>
      <w:r>
        <w:rPr>
          <w:spacing w:val="-2"/>
        </w:rPr>
        <w:t>）上刊登的《关于</w:t>
      </w:r>
      <w:r>
        <w:rPr>
          <w:spacing w:val="-45"/>
        </w:rPr>
        <w:t> </w:t>
      </w:r>
      <w:r>
        <w:rPr>
          <w:spacing w:val="-45"/>
        </w:rPr>
      </w:r>
      <w:r>
        <w:rPr/>
        <w:t>完成公司董事会换届选举的公告》（</w:t>
      </w:r>
      <w:r>
        <w:rPr>
          <w:rFonts w:ascii="Times New Roman" w:hAnsi="Times New Roman" w:cs="Times New Roman" w:eastAsia="Times New Roman" w:hint="default"/>
        </w:rPr>
        <w:t>2017-055</w:t>
      </w:r>
      <w:r>
        <w:rPr/>
        <w:t>）。</w:t>
      </w:r>
    </w:p>
    <w:p>
      <w:pPr>
        <w:pStyle w:val="BodyText"/>
        <w:spacing w:line="309" w:lineRule="auto" w:before="7"/>
        <w:ind w:right="189" w:firstLine="360"/>
        <w:jc w:val="both"/>
      </w:pP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日，公司召开</w:t>
      </w:r>
      <w:r>
        <w:rPr>
          <w:rFonts w:ascii="Times New Roman" w:hAnsi="Times New Roman" w:cs="Times New Roman" w:eastAsia="Times New Roman" w:hint="default"/>
          <w:spacing w:val="-2"/>
        </w:rPr>
        <w:t>2017</w:t>
      </w:r>
      <w:r>
        <w:rPr>
          <w:spacing w:val="-2"/>
        </w:rPr>
        <w:t>年第三次临时股东大会，审议通过了《关于新晨科技股份有限公司监事会换届选举的</w:t>
      </w:r>
      <w:r>
        <w:rPr/>
        <w:t> </w:t>
      </w:r>
      <w:r>
        <w:rPr>
          <w:spacing w:val="-2"/>
        </w:rPr>
        <w:t>议案》，同意选举邹琳女士、唐若梅女士为公司第九届监事会非职工代表监事，任期三年，自本次股东大会审议通过之日起</w:t>
      </w:r>
      <w:r>
        <w:rPr>
          <w:spacing w:val="-65"/>
        </w:rPr>
        <w:t> </w:t>
      </w:r>
      <w:r>
        <w:rPr>
          <w:spacing w:val="-65"/>
        </w:rPr>
      </w:r>
      <w:r>
        <w:rPr>
          <w:spacing w:val="-2"/>
        </w:rPr>
        <w:t>生效。第八届监事会非职工代表监事李亮先生在第八届监事会任期届满后不再担任非职工代表监事职务，也不担任公司任何</w:t>
      </w:r>
      <w:r>
        <w:rPr>
          <w:spacing w:val="-64"/>
        </w:rPr>
        <w:t> </w:t>
      </w:r>
      <w:r>
        <w:rPr>
          <w:spacing w:val="-64"/>
        </w:rPr>
      </w:r>
      <w:r>
        <w:rPr>
          <w:spacing w:val="-2"/>
        </w:rPr>
        <w:t>职务。具体内容详见公司于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日在巨潮资讯网（</w:t>
      </w:r>
      <w:hyperlink r:id="rId11">
        <w:r>
          <w:rPr>
            <w:rFonts w:ascii="Times New Roman" w:hAnsi="Times New Roman" w:cs="Times New Roman" w:eastAsia="Times New Roman" w:hint="default"/>
            <w:spacing w:val="-2"/>
          </w:rPr>
          <w:t>http://www.cninfo.com.cn</w:t>
        </w:r>
      </w:hyperlink>
      <w:r>
        <w:rPr>
          <w:spacing w:val="-2"/>
        </w:rPr>
        <w:t>）上刊登的《关于完成公司监事会换届选</w:t>
      </w:r>
      <w:r>
        <w:rPr>
          <w:spacing w:val="-45"/>
        </w:rPr>
        <w:t> </w:t>
      </w:r>
      <w:r>
        <w:rPr>
          <w:spacing w:val="-45"/>
        </w:rPr>
      </w:r>
      <w:r>
        <w:rPr/>
        <w:t>举的公告（</w:t>
      </w:r>
      <w:r>
        <w:rPr>
          <w:rFonts w:ascii="Times New Roman" w:hAnsi="Times New Roman" w:cs="Times New Roman" w:eastAsia="Times New Roman" w:hint="default"/>
        </w:rPr>
        <w:t>2017-056</w:t>
      </w:r>
      <w:r>
        <w:rPr/>
        <w:t>）。</w:t>
      </w:r>
    </w:p>
    <w:p>
      <w:pPr>
        <w:pStyle w:val="BodyText"/>
        <w:spacing w:line="300" w:lineRule="auto" w:before="5"/>
        <w:ind w:right="89" w:firstLine="360"/>
        <w:jc w:val="left"/>
      </w:pP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日，公司控股股东、实际控制人李福华先生、张燕生先生将所持有本公司的部分股份进行质押。具体内</w:t>
      </w:r>
      <w:r>
        <w:rPr/>
        <w:t> 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日在巨潮资讯网（</w:t>
      </w:r>
      <w:hyperlink r:id="rId11">
        <w:r>
          <w:rPr>
            <w:rFonts w:ascii="Times New Roman" w:hAnsi="Times New Roman" w:cs="Times New Roman" w:eastAsia="Times New Roman" w:hint="default"/>
          </w:rPr>
          <w:t>http://www.cninfo.com.cn</w:t>
        </w:r>
      </w:hyperlink>
      <w:r>
        <w:rPr/>
        <w:t>）上刊登的《控股股东、实际控制人股份质押的公告》</w:t>
      </w:r>
    </w:p>
    <w:p>
      <w:pPr>
        <w:pStyle w:val="BodyText"/>
        <w:spacing w:line="240" w:lineRule="auto" w:before="13"/>
        <w:ind w:right="93"/>
        <w:jc w:val="left"/>
      </w:pPr>
      <w:r>
        <w:rPr/>
        <w:t>（</w:t>
      </w:r>
      <w:r>
        <w:rPr>
          <w:rFonts w:ascii="Times New Roman" w:hAnsi="Times New Roman" w:cs="Times New Roman" w:eastAsia="Times New Roman" w:hint="default"/>
        </w:rPr>
        <w:t>2017-063</w:t>
      </w:r>
      <w:r>
        <w:rPr/>
        <w:t>）。</w:t>
      </w:r>
    </w:p>
    <w:p>
      <w:pPr>
        <w:pStyle w:val="BodyText"/>
        <w:spacing w:line="300" w:lineRule="auto" w:before="63"/>
        <w:ind w:right="191" w:firstLine="360"/>
        <w:jc w:val="both"/>
      </w:pPr>
      <w:r>
        <w:rPr>
          <w:rFonts w:ascii="Times New Roman" w:hAnsi="Times New Roman" w:cs="Times New Roman" w:eastAsia="Times New Roman" w:hint="default"/>
        </w:rPr>
        <w:t>10</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日，公司召开了第九届董事会第三次会议和第九届监事会第二次会议，审议通过了《关于公司会计政 </w:t>
      </w:r>
      <w:r>
        <w:rPr>
          <w:spacing w:val="-3"/>
        </w:rPr>
        <w:t>策变更的议案》。</w:t>
      </w:r>
      <w:r>
        <w:rPr>
          <w:rFonts w:ascii="Times New Roman" w:hAnsi="Times New Roman" w:cs="Times New Roman" w:eastAsia="Times New Roman" w:hint="default"/>
          <w:spacing w:val="-3"/>
        </w:rPr>
        <w:t>2017 </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10</w:t>
      </w:r>
      <w:r>
        <w:rPr/>
        <w:t>日，财政部修订了《企业会计准则第 </w:t>
      </w:r>
      <w:r>
        <w:rPr>
          <w:rFonts w:ascii="Times New Roman" w:hAnsi="Times New Roman" w:cs="Times New Roman" w:eastAsia="Times New Roman" w:hint="default"/>
        </w:rPr>
        <w:t>16 </w:t>
      </w:r>
      <w:r>
        <w:rPr/>
        <w:t>号</w:t>
      </w:r>
      <w:r>
        <w:rPr>
          <w:rFonts w:ascii="Times New Roman" w:hAnsi="Times New Roman" w:cs="Times New Roman" w:eastAsia="Times New Roman" w:hint="default"/>
        </w:rPr>
        <w:t>—</w:t>
      </w:r>
      <w:r>
        <w:rPr/>
        <w:t>政府补助》，要求自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41"/>
        </w:rPr>
        <w:t> </w:t>
      </w:r>
      <w:r>
        <w:rPr/>
        <w:t>月</w:t>
      </w:r>
      <w:r>
        <w:rPr>
          <w:rFonts w:ascii="Times New Roman" w:hAnsi="Times New Roman" w:cs="Times New Roman" w:eastAsia="Times New Roman" w:hint="default"/>
        </w:rPr>
        <w:t>12</w:t>
      </w:r>
      <w:r>
        <w:rPr/>
        <w:t>日起在所有 </w:t>
      </w:r>
      <w:r>
        <w:rPr>
          <w:spacing w:val="-3"/>
        </w:rPr>
        <w:t>执行企业会计准则的企业范围内施行。根据财政部的相关要求，公司对会计政策予以相应变更，以财政部于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 </w:t>
      </w:r>
      <w:r>
        <w:rPr/>
        <w:t>月</w:t>
      </w:r>
      <w:r>
        <w:rPr>
          <w:rFonts w:ascii="Times New Roman" w:hAnsi="Times New Roman" w:cs="Times New Roman" w:eastAsia="Times New Roman" w:hint="default"/>
        </w:rPr>
        <w:t>10</w:t>
      </w:r>
      <w:r>
        <w:rPr>
          <w:rFonts w:ascii="Times New Roman" w:hAnsi="Times New Roman" w:cs="Times New Roman" w:eastAsia="Times New Roman" w:hint="default"/>
          <w:spacing w:val="33"/>
        </w:rPr>
        <w:t> </w:t>
      </w:r>
      <w:r>
        <w:rPr/>
        <w:t>日 修订的《企业会计准则第 </w:t>
      </w:r>
      <w:r>
        <w:rPr>
          <w:rFonts w:ascii="Times New Roman" w:hAnsi="Times New Roman" w:cs="Times New Roman" w:eastAsia="Times New Roman" w:hint="default"/>
        </w:rPr>
        <w:t>16</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政府补助》规定的起始日开始执行。具体内容详见公司于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日在巨潮资讯网</w:t>
      </w:r>
    </w:p>
    <w:p>
      <w:pPr>
        <w:pStyle w:val="BodyText"/>
        <w:spacing w:line="240" w:lineRule="auto" w:before="13"/>
        <w:ind w:right="93"/>
        <w:jc w:val="left"/>
      </w:pPr>
      <w:r>
        <w:rPr/>
        <w:t>（</w:t>
      </w:r>
      <w:hyperlink r:id="rId11">
        <w:r>
          <w:rPr>
            <w:rFonts w:ascii="Times New Roman" w:hAnsi="Times New Roman" w:cs="Times New Roman" w:eastAsia="Times New Roman" w:hint="default"/>
          </w:rPr>
          <w:t>http://www.cninfo.com.cn</w:t>
        </w:r>
      </w:hyperlink>
      <w:r>
        <w:rPr/>
        <w:t>）上刊登的《关于公司会计政策变更的公告</w:t>
      </w:r>
      <w:r>
        <w:rPr>
          <w:spacing w:val="-23"/>
        </w:rPr>
        <w:t> </w:t>
      </w:r>
      <w:r>
        <w:rPr/>
        <w:t>》（</w:t>
      </w:r>
      <w:r>
        <w:rPr>
          <w:rFonts w:ascii="Times New Roman" w:hAnsi="Times New Roman" w:cs="Times New Roman" w:eastAsia="Times New Roman" w:hint="default"/>
        </w:rPr>
        <w:t>2017-075</w:t>
      </w:r>
      <w:r>
        <w:rPr/>
        <w:t>）。</w:t>
      </w:r>
    </w:p>
    <w:p>
      <w:pPr>
        <w:pStyle w:val="BodyText"/>
        <w:spacing w:line="307" w:lineRule="auto" w:before="63"/>
        <w:ind w:right="93" w:firstLine="360"/>
        <w:jc w:val="left"/>
      </w:pPr>
      <w:r>
        <w:rPr>
          <w:rFonts w:ascii="Times New Roman" w:hAnsi="Times New Roman" w:cs="Times New Roman" w:eastAsia="Times New Roman" w:hint="default"/>
          <w:spacing w:val="-2"/>
        </w:rPr>
        <w:t>11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日，公司召开了第九届董事会第四次会议和第九届监事会第三次会议，审议通过了《关于公司会计估</w:t>
      </w:r>
      <w:r>
        <w:rPr/>
        <w:t> 计变更的议案》。依照《企业会计准则》等相关规定并结合公司实际情况，公司拟于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日起对固定资产折旧年限 </w:t>
      </w:r>
      <w:r>
        <w:rPr>
          <w:spacing w:val="-4"/>
        </w:rPr>
        <w:t>进行变更。本次会计估计变更采用未来适用法进行会计处理，不需追溯调整，不会对以前年度财务状况和经营成果产生影响，</w:t>
      </w:r>
      <w:r>
        <w:rPr>
          <w:spacing w:val="-44"/>
        </w:rPr>
        <w:t> </w:t>
      </w:r>
      <w:r>
        <w:rPr>
          <w:spacing w:val="-44"/>
        </w:rPr>
      </w:r>
      <w:r>
        <w:rPr/>
        <w:t>本次会计估计变更无需对已披露的财务报告进行追溯调整。具体内容详见公司于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日在巨潮资讯网</w:t>
      </w:r>
    </w:p>
    <w:p>
      <w:pPr>
        <w:pStyle w:val="BodyText"/>
        <w:spacing w:line="240" w:lineRule="auto" w:before="7"/>
        <w:ind w:right="93"/>
        <w:jc w:val="left"/>
      </w:pPr>
      <w:r>
        <w:rPr/>
        <w:t>（</w:t>
      </w:r>
      <w:hyperlink r:id="rId11">
        <w:r>
          <w:rPr>
            <w:rFonts w:ascii="Times New Roman" w:hAnsi="Times New Roman" w:cs="Times New Roman" w:eastAsia="Times New Roman" w:hint="default"/>
          </w:rPr>
          <w:t>http://www.cninfo.com.cn</w:t>
        </w:r>
      </w:hyperlink>
      <w:r>
        <w:rPr/>
        <w:t>）上刊登的《关于会计估计变更的公告》（</w:t>
      </w:r>
      <w:r>
        <w:rPr>
          <w:rFonts w:ascii="Times New Roman" w:hAnsi="Times New Roman" w:cs="Times New Roman" w:eastAsia="Times New Roman" w:hint="default"/>
        </w:rPr>
        <w:t>2017-087</w:t>
      </w:r>
      <w:r>
        <w:rPr/>
        <w:t>）。</w:t>
      </w:r>
    </w:p>
    <w:p>
      <w:pPr>
        <w:pStyle w:val="BodyText"/>
        <w:spacing w:line="300" w:lineRule="auto" w:before="63"/>
        <w:ind w:right="143" w:firstLine="360"/>
        <w:jc w:val="left"/>
      </w:pPr>
      <w:r>
        <w:rPr>
          <w:rFonts w:ascii="Times New Roman" w:hAnsi="Times New Roman" w:cs="Times New Roman" w:eastAsia="Times New Roman" w:hint="default"/>
        </w:rPr>
        <w:t>12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日，公司控股股东、实际控制人李福华先生将所持有本公司的部分股份进行质押。具体内容详见公司 </w:t>
      </w:r>
      <w:r>
        <w:rPr>
          <w:spacing w:val="-5"/>
          <w:w w:val="99"/>
        </w:rPr>
        <w:t>于</w:t>
      </w:r>
      <w:r>
        <w:rPr>
          <w:rFonts w:ascii="Times New Roman" w:hAnsi="Times New Roman" w:cs="Times New Roman" w:eastAsia="Times New Roman" w:hint="default"/>
          <w:spacing w:val="-5"/>
          <w:w w:val="99"/>
        </w:rPr>
        <w:t>2017</w:t>
      </w:r>
      <w:r>
        <w:rPr>
          <w:spacing w:val="-5"/>
          <w:w w:val="99"/>
        </w:rPr>
        <w:t>年</w:t>
      </w:r>
      <w:r>
        <w:rPr>
          <w:rFonts w:ascii="Times New Roman" w:hAnsi="Times New Roman" w:cs="Times New Roman" w:eastAsia="Times New Roman" w:hint="default"/>
          <w:spacing w:val="-5"/>
          <w:w w:val="99"/>
        </w:rPr>
        <w:t>12</w:t>
      </w:r>
      <w:r>
        <w:rPr>
          <w:spacing w:val="-5"/>
          <w:w w:val="99"/>
        </w:rPr>
        <w:t>月</w:t>
      </w:r>
      <w:r>
        <w:rPr>
          <w:rFonts w:ascii="Times New Roman" w:hAnsi="Times New Roman" w:cs="Times New Roman" w:eastAsia="Times New Roman" w:hint="default"/>
          <w:spacing w:val="-5"/>
          <w:w w:val="99"/>
        </w:rPr>
        <w:t>5</w:t>
      </w:r>
      <w:r>
        <w:rPr>
          <w:spacing w:val="-5"/>
          <w:w w:val="99"/>
        </w:rPr>
        <w:t>日在巨潮资讯网（</w:t>
      </w:r>
      <w:hyperlink r:id="rId11">
        <w:r>
          <w:rPr>
            <w:rFonts w:ascii="Times New Roman" w:hAnsi="Times New Roman" w:cs="Times New Roman" w:eastAsia="Times New Roman" w:hint="default"/>
            <w:spacing w:val="-5"/>
            <w:w w:val="99"/>
          </w:rPr>
          <w:t>http://www.cninfo.com.cn</w:t>
        </w:r>
      </w:hyperlink>
      <w:r>
        <w:rPr>
          <w:spacing w:val="-5"/>
          <w:w w:val="99"/>
        </w:rPr>
        <w:t>）上刊登的《控股股东、实际控制人股份质押的公告》（</w:t>
      </w:r>
      <w:r>
        <w:rPr>
          <w:rFonts w:ascii="Times New Roman" w:hAnsi="Times New Roman" w:cs="Times New Roman" w:eastAsia="Times New Roman" w:hint="default"/>
          <w:spacing w:val="-5"/>
          <w:w w:val="99"/>
        </w:rPr>
        <w:t>2017-088</w:t>
      </w:r>
      <w:r>
        <w:rPr>
          <w:spacing w:val="-5"/>
          <w:w w:val="99"/>
        </w:rPr>
        <w:t>）。</w:t>
      </w:r>
      <w:r>
        <w:rPr>
          <w:w w:val="99"/>
        </w:rPr>
      </w:r>
    </w:p>
    <w:p>
      <w:pPr>
        <w:spacing w:line="240" w:lineRule="auto" w:before="5"/>
        <w:rPr>
          <w:rFonts w:ascii="宋体" w:hAnsi="宋体" w:cs="宋体" w:eastAsia="宋体" w:hint="default"/>
          <w:sz w:val="20"/>
          <w:szCs w:val="20"/>
        </w:rPr>
      </w:pPr>
    </w:p>
    <w:p>
      <w:pPr>
        <w:pStyle w:val="Heading2"/>
        <w:spacing w:line="240" w:lineRule="auto"/>
        <w:ind w:right="93"/>
        <w:jc w:val="left"/>
        <w:rPr>
          <w:b w:val="0"/>
          <w:bCs w:val="0"/>
        </w:rPr>
      </w:pPr>
      <w:r>
        <w:rPr/>
        <w:t>十九、公司子公司重大事项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93"/>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日，新晨科技股份有限公司二级控股子公司江苏点逸网络科技有限公司完成工商变更登记。因业务发展需</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要，江苏点逸网络科技有限公司的经营范围做出相应变更。具体内容详见公司于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日在巨潮资讯网</w:t>
      </w:r>
    </w:p>
    <w:p>
      <w:pPr>
        <w:pStyle w:val="BodyText"/>
        <w:spacing w:line="240" w:lineRule="auto" w:before="63"/>
        <w:ind w:right="153"/>
        <w:jc w:val="left"/>
      </w:pPr>
      <w:r>
        <w:rPr/>
        <w:t>（</w:t>
      </w:r>
      <w:hyperlink r:id="rId11">
        <w:r>
          <w:rPr>
            <w:rFonts w:ascii="Times New Roman" w:hAnsi="Times New Roman" w:cs="Times New Roman" w:eastAsia="Times New Roman" w:hint="default"/>
          </w:rPr>
          <w:t>http://www.cninfo.com.cn</w:t>
        </w:r>
      </w:hyperlink>
      <w:r>
        <w:rPr/>
        <w:t>）上刊登的《关于二级控股子公司完成工商变更登记的公告》（</w:t>
      </w:r>
      <w:r>
        <w:rPr>
          <w:rFonts w:ascii="Times New Roman" w:hAnsi="Times New Roman" w:cs="Times New Roman" w:eastAsia="Times New Roman" w:hint="default"/>
        </w:rPr>
        <w:t>2017-079</w:t>
      </w:r>
      <w:r>
        <w:rPr/>
        <w:t>）。</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93"/>
        <w:jc w:val="left"/>
        <w:rPr>
          <w:b w:val="0"/>
          <w:bCs w:val="0"/>
        </w:rPr>
      </w:pPr>
      <w:bookmarkStart w:name="_TOC_250006"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077"/>
        <w:gridCol w:w="823"/>
        <w:gridCol w:w="823"/>
        <w:gridCol w:w="548"/>
        <w:gridCol w:w="710"/>
        <w:gridCol w:w="991"/>
        <w:gridCol w:w="1040"/>
        <w:gridCol w:w="946"/>
        <w:gridCol w:w="641"/>
      </w:tblGrid>
      <w:tr>
        <w:trPr>
          <w:trHeight w:val="402"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72"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946"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0"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77"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548"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bottom w:val="nil" w:sz="6" w:space="0" w:color="auto"/>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946"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74.99%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1,041,500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-10,082,500</w:t>
            </w:r>
            <w:r>
              <w:rPr>
                <w:rFonts w:ascii="Times New Roman"/>
                <w:sz w:val="18"/>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-9,041,000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58,559,000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64.22%</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67,600,000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74.99%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1,041,500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-10,082,500</w:t>
            </w:r>
            <w:r>
              <w:rPr>
                <w:rFonts w:ascii="Times New Roman"/>
                <w:sz w:val="18"/>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-9,041,000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58,559,000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64.22%</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63,600,000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70.55%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1,041,500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-6,082,500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-5,041,000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58,559,000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64.22%</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22,550,000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25.01%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10,082,500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10,082,500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32,632,500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35.78%</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22,550,000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10,082,500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10,082,500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32,632,500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35.78%</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90,150,000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1,041,500</w:t>
            </w:r>
          </w:p>
        </w:tc>
        <w:tc>
          <w:tcPr>
            <w:tcW w:w="5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1,041,500</w:t>
            </w:r>
          </w:p>
        </w:tc>
        <w:tc>
          <w:tcPr>
            <w:tcW w:w="94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91,191,500</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19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7"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63"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7"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54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040"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93"/>
        <w:jc w:val="left"/>
      </w:pPr>
      <w:r>
        <w:rPr/>
        <w:t>股份变动的原因</w:t>
      </w:r>
    </w:p>
    <w:p>
      <w:pPr>
        <w:pStyle w:val="BodyText"/>
        <w:spacing w:line="240" w:lineRule="auto" w:before="115"/>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239" w:firstLine="360"/>
        <w:jc w:val="both"/>
      </w:pPr>
      <w:r>
        <w:rPr>
          <w:rFonts w:ascii="Times New Roman" w:hAnsi="Times New Roman" w:cs="Times New Roman" w:eastAsia="Times New Roman" w:hint="default"/>
        </w:rPr>
        <w:t>1</w:t>
      </w:r>
      <w:r>
        <w:rPr/>
        <w:t>、报告期内，公司实施</w:t>
      </w:r>
      <w:r>
        <w:rPr>
          <w:rFonts w:ascii="Times New Roman" w:hAnsi="Times New Roman" w:cs="Times New Roman" w:eastAsia="Times New Roman" w:hint="default"/>
        </w:rPr>
        <w:t>2017</w:t>
      </w:r>
      <w:r>
        <w:rPr/>
        <w:t>年限制性股票激励计划，授予的激励对象共</w:t>
      </w:r>
      <w:r>
        <w:rPr>
          <w:rFonts w:ascii="Times New Roman" w:hAnsi="Times New Roman" w:cs="Times New Roman" w:eastAsia="Times New Roman" w:hint="default"/>
        </w:rPr>
        <w:t>61</w:t>
      </w:r>
      <w:r>
        <w:rPr/>
        <w:t>人，授予的限制性股票数量为</w:t>
      </w:r>
      <w:r>
        <w:rPr>
          <w:rFonts w:ascii="Times New Roman" w:hAnsi="Times New Roman" w:cs="Times New Roman" w:eastAsia="Times New Roman" w:hint="default"/>
        </w:rPr>
        <w:t>104.15</w:t>
      </w:r>
      <w:r>
        <w:rPr/>
        <w:t>万股， 授予的限制性股票上市日期为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日。公司授予限制性股票后，公司总股本由</w:t>
      </w:r>
      <w:r>
        <w:rPr>
          <w:rFonts w:ascii="Times New Roman" w:hAnsi="Times New Roman" w:cs="Times New Roman" w:eastAsia="Times New Roman" w:hint="default"/>
        </w:rPr>
        <w:t>9,015</w:t>
      </w:r>
      <w:r>
        <w:rPr/>
        <w:t>万股增加至</w:t>
      </w:r>
      <w:r>
        <w:rPr>
          <w:rFonts w:ascii="Times New Roman" w:hAnsi="Times New Roman" w:cs="Times New Roman" w:eastAsia="Times New Roman" w:hint="default"/>
        </w:rPr>
        <w:t>9,119.15</w:t>
      </w:r>
      <w:r>
        <w:rPr/>
        <w:t>万股，注册 资本由人民币</w:t>
      </w:r>
      <w:r>
        <w:rPr>
          <w:rFonts w:ascii="Times New Roman" w:hAnsi="Times New Roman" w:cs="Times New Roman" w:eastAsia="Times New Roman" w:hint="default"/>
        </w:rPr>
        <w:t>9,015</w:t>
      </w:r>
      <w:r>
        <w:rPr/>
        <w:t>万元变更为人民币</w:t>
      </w:r>
      <w:r>
        <w:rPr>
          <w:spacing w:val="-19"/>
        </w:rPr>
        <w:t> </w:t>
      </w:r>
      <w:r>
        <w:rPr>
          <w:rFonts w:ascii="Times New Roman" w:hAnsi="Times New Roman" w:cs="Times New Roman" w:eastAsia="Times New Roman" w:hint="default"/>
        </w:rPr>
        <w:t>9,119.15</w:t>
      </w:r>
      <w:r>
        <w:rPr/>
        <w:t>万元。</w:t>
      </w:r>
    </w:p>
    <w:p>
      <w:pPr>
        <w:pStyle w:val="BodyText"/>
        <w:spacing w:line="304" w:lineRule="auto" w:before="13"/>
        <w:ind w:right="93" w:firstLine="360"/>
        <w:jc w:val="left"/>
      </w:pPr>
      <w:r>
        <w:rPr>
          <w:rFonts w:ascii="Times New Roman" w:hAnsi="Times New Roman" w:cs="Times New Roman" w:eastAsia="Times New Roman" w:hint="default"/>
          <w:spacing w:val="-2"/>
        </w:rPr>
        <w:t>2</w:t>
      </w:r>
      <w:r>
        <w:rPr>
          <w:spacing w:val="-2"/>
        </w:rPr>
        <w:t>、经中国证券监督管理委员会《关于核准新晨科技股份有限公司首次公开发行股票的批复》（证监许可</w:t>
      </w:r>
      <w:r>
        <w:rPr>
          <w:rFonts w:ascii="Times New Roman" w:hAnsi="Times New Roman" w:cs="Times New Roman" w:eastAsia="Times New Roman" w:hint="default"/>
          <w:spacing w:val="-2"/>
        </w:rPr>
        <w:t>[2016]1890</w:t>
      </w:r>
      <w:r>
        <w:rPr>
          <w:rFonts w:ascii="Times New Roman" w:hAnsi="Times New Roman" w:cs="Times New Roman" w:eastAsia="Times New Roman" w:hint="default"/>
          <w:spacing w:val="38"/>
        </w:rPr>
        <w:t> </w:t>
      </w:r>
      <w:r>
        <w:rPr/>
        <w:t>号） </w:t>
      </w:r>
      <w:r>
        <w:rPr>
          <w:spacing w:val="-2"/>
        </w:rPr>
        <w:t>核准，公司获准向社会公众公开发行人民币普通股（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2,255</w:t>
      </w:r>
      <w:r>
        <w:rPr>
          <w:spacing w:val="-2"/>
        </w:rPr>
        <w:t>万股，于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w:t>
      </w:r>
      <w:r>
        <w:rPr>
          <w:spacing w:val="-2"/>
        </w:rPr>
        <w:t>日在深圳证券交易所创业板上市交易。</w:t>
      </w:r>
      <w:r>
        <w:rPr>
          <w:spacing w:val="-53"/>
        </w:rPr>
        <w:t> </w:t>
      </w:r>
      <w:r>
        <w:rPr>
          <w:spacing w:val="-53"/>
        </w:rPr>
      </w:r>
      <w:r>
        <w:rPr>
          <w:spacing w:val="-2"/>
        </w:rPr>
        <w:t>根据公司《首次公开发行股票并在创业板上市招股说明书》中股东的承诺，公司首次公开发行前已发行的部分股份已解除限</w:t>
      </w:r>
      <w:r>
        <w:rPr>
          <w:spacing w:val="-62"/>
        </w:rPr>
        <w:t> </w:t>
      </w:r>
      <w:r>
        <w:rPr>
          <w:spacing w:val="-62"/>
        </w:rPr>
      </w:r>
      <w:r>
        <w:rPr/>
        <w:t>售并</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日起上市流通。同时根据《深圳证券交易所创业板上市公司规范运作指引》等相关规定，对董事、监事及 高级管理人员的解除限售的上述股份按比例进行锁定。</w:t>
      </w:r>
    </w:p>
    <w:p>
      <w:pPr>
        <w:spacing w:after="0" w:line="304"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pPr>
      <w:r>
        <w:rPr/>
        <w:t>股份变动的批准情况</w:t>
      </w:r>
    </w:p>
    <w:p>
      <w:pPr>
        <w:pStyle w:val="BodyText"/>
        <w:spacing w:line="240" w:lineRule="auto" w:before="117"/>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4" w:lineRule="auto" w:before="101"/>
        <w:ind w:right="172"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日，公司第八届董事会第二十四次会议和第八届监事会第十二次会议审议通过了《关于</w:t>
      </w:r>
      <w:r>
        <w:rPr>
          <w:rFonts w:ascii="Times New Roman" w:hAnsi="Times New Roman" w:cs="Times New Roman" w:eastAsia="Times New Roman" w:hint="default"/>
        </w:rPr>
        <w:t>&lt;</w:t>
      </w:r>
      <w:r>
        <w:rPr/>
        <w:t>新晨科技股份 有限公司</w:t>
      </w:r>
      <w:r>
        <w:rPr>
          <w:rFonts w:ascii="Times New Roman" w:hAnsi="Times New Roman" w:cs="Times New Roman" w:eastAsia="Times New Roman" w:hint="default"/>
        </w:rPr>
        <w:t>2017</w:t>
      </w:r>
      <w:r>
        <w:rPr/>
        <w:t>年限制性股票激励计划（草案）</w:t>
      </w:r>
      <w:r>
        <w:rPr>
          <w:rFonts w:ascii="Times New Roman" w:hAnsi="Times New Roman" w:cs="Times New Roman" w:eastAsia="Times New Roman" w:hint="default"/>
        </w:rPr>
        <w:t>&gt;</w:t>
      </w:r>
      <w:r>
        <w:rPr/>
        <w:t>及其摘要的议案》、《关于制定</w:t>
      </w:r>
      <w:r>
        <w:rPr>
          <w:rFonts w:ascii="Times New Roman" w:hAnsi="Times New Roman" w:cs="Times New Roman" w:eastAsia="Times New Roman" w:hint="default"/>
        </w:rPr>
        <w:t>&lt;</w:t>
      </w:r>
      <w:r>
        <w:rPr/>
        <w:t>新晨科技股份有限公司</w:t>
      </w:r>
      <w:r>
        <w:rPr>
          <w:rFonts w:ascii="Times New Roman" w:hAnsi="Times New Roman" w:cs="Times New Roman" w:eastAsia="Times New Roman" w:hint="default"/>
        </w:rPr>
        <w:t>2017</w:t>
      </w:r>
      <w:r>
        <w:rPr/>
        <w:t>年限制性股票 激励计划实施考核管理办法</w:t>
      </w:r>
      <w:r>
        <w:rPr>
          <w:rFonts w:ascii="Times New Roman" w:hAnsi="Times New Roman" w:cs="Times New Roman" w:eastAsia="Times New Roman" w:hint="default"/>
        </w:rPr>
        <w:t>&gt;</w:t>
      </w:r>
      <w:r>
        <w:rPr/>
        <w:t>的议案》，公司并对激励对象名单在公司内部进行公示，公示期满后，监事会对本次股权激励 </w:t>
      </w:r>
      <w:r>
        <w:rPr>
          <w:spacing w:val="-2"/>
        </w:rPr>
        <w:t>计划授予激励对象名单进行了核查并对公示情况进行了说明，公司独立董事就本次股权激励计划是否有利于公司的持续发展</w:t>
      </w:r>
      <w:r>
        <w:rPr>
          <w:spacing w:val="-64"/>
        </w:rPr>
        <w:t> </w:t>
      </w:r>
      <w:r>
        <w:rPr>
          <w:spacing w:val="-64"/>
        </w:rPr>
      </w:r>
      <w:r>
        <w:rPr/>
        <w:t>及是否存在损害公司及全体股东利益的情形发表了独立意见；</w:t>
      </w:r>
    </w:p>
    <w:p>
      <w:pPr>
        <w:pStyle w:val="BodyText"/>
        <w:spacing w:line="300" w:lineRule="auto" w:before="28"/>
        <w:ind w:right="196"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日，公司第八届董事会第二十七次会议审议通过了《关于提请公司股东大会授权董事会办理</w:t>
      </w:r>
      <w:r>
        <w:rPr>
          <w:rFonts w:ascii="Times New Roman" w:hAnsi="Times New Roman" w:cs="Times New Roman" w:eastAsia="Times New Roman" w:hint="default"/>
        </w:rPr>
        <w:t>2017</w:t>
      </w:r>
      <w:r>
        <w:rPr/>
        <w:t>年限制性 股票激励计划有关事项的议案》、《关于召开新晨科技股份有限公司</w:t>
      </w:r>
      <w:r>
        <w:rPr>
          <w:rFonts w:ascii="Times New Roman" w:hAnsi="Times New Roman" w:cs="Times New Roman" w:eastAsia="Times New Roman" w:hint="default"/>
        </w:rPr>
        <w:t>2017</w:t>
      </w:r>
      <w:r>
        <w:rPr/>
        <w:t>年第二次临时股东大会的议案》；</w:t>
      </w:r>
    </w:p>
    <w:p>
      <w:pPr>
        <w:pStyle w:val="BodyText"/>
        <w:spacing w:line="300" w:lineRule="auto" w:before="13"/>
        <w:ind w:right="10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w:t>
      </w:r>
      <w:r>
        <w:rPr>
          <w:rFonts w:ascii="Times New Roman" w:hAnsi="Times New Roman" w:cs="Times New Roman" w:eastAsia="Times New Roman" w:hint="default"/>
        </w:rPr>
        <w:t>2017</w:t>
      </w:r>
      <w:r>
        <w:rPr/>
        <w:t>年第二次临时股东大会审议并通过了《关于</w:t>
      </w:r>
      <w:r>
        <w:rPr>
          <w:rFonts w:ascii="Times New Roman" w:hAnsi="Times New Roman" w:cs="Times New Roman" w:eastAsia="Times New Roman" w:hint="default"/>
        </w:rPr>
        <w:t>&lt;</w:t>
      </w:r>
      <w:r>
        <w:rPr/>
        <w:t>新晨科技股份有限公司</w:t>
      </w:r>
      <w:r>
        <w:rPr>
          <w:rFonts w:ascii="Times New Roman" w:hAnsi="Times New Roman" w:cs="Times New Roman" w:eastAsia="Times New Roman" w:hint="default"/>
        </w:rPr>
        <w:t>2017</w:t>
      </w:r>
      <w:r>
        <w:rPr/>
        <w:t>年限制性股票激励计 </w:t>
      </w:r>
      <w:r>
        <w:rPr>
          <w:spacing w:val="-6"/>
        </w:rPr>
        <w:t>划（草案）</w:t>
      </w:r>
      <w:r>
        <w:rPr>
          <w:rFonts w:ascii="Times New Roman" w:hAnsi="Times New Roman" w:cs="Times New Roman" w:eastAsia="Times New Roman" w:hint="default"/>
          <w:spacing w:val="-6"/>
        </w:rPr>
        <w:t>&gt;</w:t>
      </w:r>
      <w:r>
        <w:rPr>
          <w:spacing w:val="-6"/>
        </w:rPr>
        <w:t>及其摘要的议案》、《关于制定</w:t>
      </w:r>
      <w:r>
        <w:rPr>
          <w:rFonts w:ascii="Times New Roman" w:hAnsi="Times New Roman" w:cs="Times New Roman" w:eastAsia="Times New Roman" w:hint="default"/>
          <w:spacing w:val="-6"/>
        </w:rPr>
        <w:t>&lt;</w:t>
      </w:r>
      <w:r>
        <w:rPr>
          <w:spacing w:val="-6"/>
        </w:rPr>
        <w:t>新晨科技股份有限公司</w:t>
      </w:r>
      <w:r>
        <w:rPr>
          <w:rFonts w:ascii="Times New Roman" w:hAnsi="Times New Roman" w:cs="Times New Roman" w:eastAsia="Times New Roman" w:hint="default"/>
          <w:spacing w:val="-6"/>
        </w:rPr>
        <w:t>2017</w:t>
      </w:r>
      <w:r>
        <w:rPr>
          <w:spacing w:val="-6"/>
        </w:rPr>
        <w:t>年限制性股票激励计划实施考核管理办法</w:t>
      </w:r>
      <w:r>
        <w:rPr>
          <w:rFonts w:ascii="Times New Roman" w:hAnsi="Times New Roman" w:cs="Times New Roman" w:eastAsia="Times New Roman" w:hint="default"/>
          <w:spacing w:val="-6"/>
        </w:rPr>
        <w:t>&gt;</w:t>
      </w:r>
      <w:r>
        <w:rPr>
          <w:spacing w:val="-6"/>
        </w:rPr>
        <w:t>的议案》、</w:t>
      </w:r>
    </w:p>
    <w:p>
      <w:pPr>
        <w:pStyle w:val="BodyText"/>
        <w:spacing w:line="300" w:lineRule="auto" w:before="13"/>
        <w:ind w:right="93"/>
        <w:jc w:val="left"/>
      </w:pPr>
      <w:r>
        <w:rPr>
          <w:spacing w:val="-2"/>
        </w:rPr>
        <w:t>《关于提请公司股东大会授权董事会办理</w:t>
      </w:r>
      <w:r>
        <w:rPr>
          <w:rFonts w:ascii="Times New Roman" w:hAnsi="Times New Roman" w:cs="Times New Roman" w:eastAsia="Times New Roman" w:hint="default"/>
          <w:spacing w:val="-2"/>
        </w:rPr>
        <w:t>2017</w:t>
      </w:r>
      <w:r>
        <w:rPr>
          <w:spacing w:val="-2"/>
        </w:rPr>
        <w:t>年限制性股票激励计划有关事项的议案》。公司实施</w:t>
      </w:r>
      <w:r>
        <w:rPr>
          <w:rFonts w:ascii="Times New Roman" w:hAnsi="Times New Roman" w:cs="Times New Roman" w:eastAsia="Times New Roman" w:hint="default"/>
          <w:spacing w:val="-2"/>
        </w:rPr>
        <w:t>2017</w:t>
      </w:r>
      <w:r>
        <w:rPr>
          <w:spacing w:val="-2"/>
        </w:rPr>
        <w:t>年限制性股票激励计</w:t>
      </w:r>
      <w:r>
        <w:rPr>
          <w:spacing w:val="-58"/>
        </w:rPr>
        <w:t> </w:t>
      </w:r>
      <w:r>
        <w:rPr>
          <w:spacing w:val="-58"/>
        </w:rPr>
      </w:r>
      <w:r>
        <w:rPr>
          <w:spacing w:val="-4"/>
        </w:rPr>
        <w:t>划获得批准，董事会被授权确定授予日、在激励对象符合条件时向激励对象授予限制性股票，并办理授予所必需的全部事宜；</w:t>
      </w:r>
    </w:p>
    <w:p>
      <w:pPr>
        <w:pStyle w:val="BodyText"/>
        <w:spacing w:line="309" w:lineRule="auto" w:before="32"/>
        <w:ind w:right="193"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日，公司第八届董事会第二十九次会议和第八届监事会第十六次会议审议通过了《关于调整</w:t>
      </w:r>
      <w:r>
        <w:rPr>
          <w:rFonts w:ascii="Times New Roman" w:hAnsi="Times New Roman" w:cs="Times New Roman" w:eastAsia="Times New Roman" w:hint="default"/>
        </w:rPr>
        <w:t>2017</w:t>
      </w:r>
      <w:r>
        <w:rPr/>
        <w:t>年限制性 </w:t>
      </w:r>
      <w:r>
        <w:rPr>
          <w:spacing w:val="-2"/>
        </w:rPr>
        <w:t>股票激励计划授予价格的议案》、《关于向激励对象授予限制性股票的议案》。公司独立董事对此发表了独立意见，认为激</w:t>
      </w:r>
      <w:r>
        <w:rPr>
          <w:spacing w:val="-67"/>
        </w:rPr>
        <w:t> </w:t>
      </w:r>
      <w:r>
        <w:rPr>
          <w:spacing w:val="-67"/>
        </w:rPr>
      </w:r>
      <w:r>
        <w:rPr/>
        <w:t>励对象主体资格合法、有效，确定的授予日符合相关规定。</w:t>
      </w:r>
    </w:p>
    <w:p>
      <w:pPr>
        <w:pStyle w:val="BodyText"/>
        <w:spacing w:line="300" w:lineRule="auto" w:before="24"/>
        <w:ind w:right="188" w:firstLine="360"/>
        <w:jc w:val="both"/>
      </w:pPr>
      <w:r>
        <w:rPr>
          <w:rFonts w:ascii="Times New Roman" w:hAnsi="Times New Roman" w:cs="Times New Roman" w:eastAsia="Times New Roman" w:hint="default"/>
          <w:spacing w:val="-2"/>
        </w:rPr>
        <w:t>2</w:t>
      </w:r>
      <w:r>
        <w:rPr>
          <w:spacing w:val="-2"/>
        </w:rPr>
        <w:t>、经中国证券监督委员会核准，公司首次公开发行人民币普通股（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2,255</w:t>
      </w:r>
      <w:r>
        <w:rPr>
          <w:spacing w:val="-2"/>
        </w:rPr>
        <w:t>万股，并于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w:t>
      </w:r>
      <w:r>
        <w:rPr>
          <w:spacing w:val="-2"/>
        </w:rPr>
        <w:t>日在深圳证券交</w:t>
      </w:r>
      <w:r>
        <w:rPr/>
        <w:t> 易所创业板上市。经公司申请，深圳证券交易所和中国证券登记结算有限责任公司深圳分公司同意，公司于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 顺利完成部分限售股解禁流通上市交易工作。</w:t>
      </w:r>
    </w:p>
    <w:p>
      <w:pPr>
        <w:spacing w:line="240" w:lineRule="auto" w:before="0"/>
        <w:rPr>
          <w:rFonts w:ascii="宋体" w:hAnsi="宋体" w:cs="宋体" w:eastAsia="宋体" w:hint="default"/>
          <w:sz w:val="18"/>
          <w:szCs w:val="18"/>
        </w:rPr>
      </w:pPr>
    </w:p>
    <w:p>
      <w:pPr>
        <w:pStyle w:val="BodyText"/>
        <w:spacing w:line="240" w:lineRule="auto" w:before="148"/>
        <w:ind w:right="93"/>
        <w:jc w:val="left"/>
      </w:pPr>
      <w:r>
        <w:rPr/>
        <w:t>股份变动的过户情况</w:t>
      </w:r>
    </w:p>
    <w:p>
      <w:pPr>
        <w:pStyle w:val="BodyText"/>
        <w:spacing w:line="338" w:lineRule="auto" w:before="117"/>
        <w:ind w:left="513" w:right="9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报告期内，公司实施</w:t>
      </w:r>
      <w:r>
        <w:rPr>
          <w:rFonts w:ascii="Times New Roman" w:hAnsi="Times New Roman" w:cs="Times New Roman" w:eastAsia="Times New Roman" w:hint="default"/>
          <w:spacing w:val="-1"/>
        </w:rPr>
        <w:t>2017</w:t>
      </w:r>
      <w:r>
        <w:rPr>
          <w:spacing w:val="-1"/>
        </w:rPr>
        <w:t>年限制性股票激励计划，授予的限制性股票</w:t>
      </w:r>
      <w:r>
        <w:rPr>
          <w:rFonts w:ascii="Times New Roman" w:hAnsi="Times New Roman" w:cs="Times New Roman" w:eastAsia="Times New Roman" w:hint="default"/>
          <w:spacing w:val="-1"/>
        </w:rPr>
        <w:t>104.15</w:t>
      </w:r>
      <w:r>
        <w:rPr>
          <w:spacing w:val="-1"/>
        </w:rPr>
        <w:t>万股新股股票已全部在中国证券登记结算有</w:t>
      </w:r>
    </w:p>
    <w:p>
      <w:pPr>
        <w:pStyle w:val="BodyText"/>
        <w:spacing w:line="217" w:lineRule="exact"/>
        <w:ind w:right="93"/>
        <w:jc w:val="left"/>
      </w:pPr>
      <w:r>
        <w:rPr/>
        <w:t>限责任公司深圳分公司办理了证券登记手续。</w:t>
      </w:r>
    </w:p>
    <w:p>
      <w:pPr>
        <w:pStyle w:val="BodyText"/>
        <w:spacing w:line="240" w:lineRule="auto" w:before="117"/>
        <w:ind w:right="93"/>
        <w:jc w:val="left"/>
      </w:pPr>
      <w:r>
        <w:rPr/>
        <w:t>股份变动对最近一年和最近一期基本每股收益和稀释每股收益、归属于公司普通股股东的每股净资产等财务指标的影响</w:t>
      </w:r>
    </w:p>
    <w:p>
      <w:pPr>
        <w:pStyle w:val="BodyText"/>
        <w:spacing w:line="338" w:lineRule="auto" w:before="117"/>
        <w:ind w:left="513" w:right="9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w:t>
      </w:r>
      <w:r>
        <w:rPr>
          <w:rFonts w:ascii="Times New Roman" w:hAnsi="Times New Roman" w:cs="Times New Roman" w:eastAsia="Times New Roman" w:hint="default"/>
          <w:spacing w:val="-2"/>
        </w:rPr>
        <w:t>2017</w:t>
      </w:r>
      <w:r>
        <w:rPr>
          <w:spacing w:val="-2"/>
        </w:rPr>
        <w:t>年年度股权激励方案实施后，公司的总股本由</w:t>
      </w:r>
      <w:r>
        <w:rPr>
          <w:rFonts w:ascii="Times New Roman" w:hAnsi="Times New Roman" w:cs="Times New Roman" w:eastAsia="Times New Roman" w:hint="default"/>
          <w:spacing w:val="-2"/>
        </w:rPr>
        <w:t>90,150,000</w:t>
      </w:r>
      <w:r>
        <w:rPr>
          <w:spacing w:val="-2"/>
        </w:rPr>
        <w:t>股增至</w:t>
      </w:r>
      <w:r>
        <w:rPr>
          <w:rFonts w:ascii="Times New Roman" w:hAnsi="Times New Roman" w:cs="Times New Roman" w:eastAsia="Times New Roman" w:hint="default"/>
          <w:spacing w:val="-2"/>
        </w:rPr>
        <w:t>91,191,500</w:t>
      </w:r>
      <w:r>
        <w:rPr>
          <w:spacing w:val="-2"/>
        </w:rPr>
        <w:t>股。本次变动对最近一年和最近一期</w:t>
      </w:r>
    </w:p>
    <w:p>
      <w:pPr>
        <w:pStyle w:val="BodyText"/>
        <w:spacing w:line="217" w:lineRule="exact"/>
        <w:ind w:right="93"/>
        <w:jc w:val="left"/>
      </w:pPr>
      <w:r>
        <w:rPr/>
        <w:t>基本每股收益和稀释每股收益、归属于公司普通股股东的每股净资产等财务指标的影响如下：</w:t>
      </w:r>
    </w:p>
    <w:p>
      <w:pPr>
        <w:pStyle w:val="BodyText"/>
        <w:spacing w:line="240" w:lineRule="auto" w:before="76"/>
        <w:ind w:left="513" w:right="93"/>
        <w:jc w:val="left"/>
      </w:pPr>
      <w:r>
        <w:rPr>
          <w:rFonts w:ascii="Times New Roman" w:hAnsi="Times New Roman" w:cs="Times New Roman" w:eastAsia="Times New Roman" w:hint="default"/>
        </w:rPr>
        <w:t>2016</w:t>
      </w:r>
      <w:r>
        <w:rPr/>
        <w:t>年，基本每股收益</w:t>
      </w:r>
      <w:r>
        <w:rPr>
          <w:rFonts w:ascii="Times New Roman" w:hAnsi="Times New Roman" w:cs="Times New Roman" w:eastAsia="Times New Roman" w:hint="default"/>
        </w:rPr>
        <w:t>0.47</w:t>
      </w:r>
      <w:r>
        <w:rPr/>
        <w:t>元，稀释每股收益</w:t>
      </w:r>
      <w:r>
        <w:rPr>
          <w:rFonts w:ascii="Times New Roman" w:hAnsi="Times New Roman" w:cs="Times New Roman" w:eastAsia="Times New Roman" w:hint="default"/>
        </w:rPr>
        <w:t>0.47</w:t>
      </w:r>
      <w:r>
        <w:rPr/>
        <w:t>元，</w:t>
      </w:r>
      <w:r>
        <w:rPr>
          <w:rFonts w:ascii="Times New Roman" w:hAnsi="Times New Roman" w:cs="Times New Roman" w:eastAsia="Times New Roman" w:hint="default"/>
        </w:rPr>
        <w:t>2016</w:t>
      </w:r>
      <w:r>
        <w:rPr/>
        <w:t>年末归属于公司普通股股东的每股净资产</w:t>
      </w:r>
      <w:r>
        <w:rPr>
          <w:rFonts w:ascii="Times New Roman" w:hAnsi="Times New Roman" w:cs="Times New Roman" w:eastAsia="Times New Roman" w:hint="default"/>
        </w:rPr>
        <w:t>6.25</w:t>
      </w:r>
      <w:r>
        <w:rPr/>
        <w:t>元；</w:t>
      </w:r>
    </w:p>
    <w:p>
      <w:pPr>
        <w:pStyle w:val="BodyText"/>
        <w:spacing w:line="300" w:lineRule="auto" w:before="63"/>
        <w:ind w:right="188" w:firstLine="360"/>
        <w:jc w:val="both"/>
      </w:pPr>
      <w:r>
        <w:rPr>
          <w:rFonts w:ascii="Times New Roman" w:hAnsi="Times New Roman" w:cs="Times New Roman" w:eastAsia="Times New Roman" w:hint="default"/>
          <w:spacing w:val="-1"/>
        </w:rPr>
        <w:t>2017</w:t>
      </w:r>
      <w:r>
        <w:rPr>
          <w:spacing w:val="-1"/>
        </w:rPr>
        <w:t>年，基本每股收益</w:t>
      </w:r>
      <w:r>
        <w:rPr>
          <w:rFonts w:ascii="Times New Roman" w:hAnsi="Times New Roman" w:cs="Times New Roman" w:eastAsia="Times New Roman" w:hint="default"/>
          <w:spacing w:val="-1"/>
        </w:rPr>
        <w:t>0.40</w:t>
      </w:r>
      <w:r>
        <w:rPr>
          <w:spacing w:val="-1"/>
        </w:rPr>
        <w:t>元，比上年同期下降</w:t>
      </w:r>
      <w:r>
        <w:rPr>
          <w:rFonts w:ascii="Times New Roman" w:hAnsi="Times New Roman" w:cs="Times New Roman" w:eastAsia="Times New Roman" w:hint="default"/>
          <w:spacing w:val="-1"/>
        </w:rPr>
        <w:t>14.89%</w:t>
      </w:r>
      <w:r>
        <w:rPr>
          <w:spacing w:val="-1"/>
        </w:rPr>
        <w:t>，稀释每股收益</w:t>
      </w:r>
      <w:r>
        <w:rPr>
          <w:rFonts w:ascii="Times New Roman" w:hAnsi="Times New Roman" w:cs="Times New Roman" w:eastAsia="Times New Roman" w:hint="default"/>
          <w:spacing w:val="-1"/>
        </w:rPr>
        <w:t>0.40</w:t>
      </w:r>
      <w:r>
        <w:rPr>
          <w:spacing w:val="-1"/>
        </w:rPr>
        <w:t>元，比上年同期下降</w:t>
      </w:r>
      <w:r>
        <w:rPr>
          <w:rFonts w:ascii="Times New Roman" w:hAnsi="Times New Roman" w:cs="Times New Roman" w:eastAsia="Times New Roman" w:hint="default"/>
          <w:spacing w:val="-1"/>
        </w:rPr>
        <w:t>14.89%</w:t>
      </w:r>
      <w:r>
        <w:rPr>
          <w:spacing w:val="-1"/>
        </w:rPr>
        <w:t>；</w:t>
      </w:r>
      <w:r>
        <w:rPr>
          <w:rFonts w:ascii="Times New Roman" w:hAnsi="Times New Roman" w:cs="Times New Roman" w:eastAsia="Times New Roman" w:hint="default"/>
          <w:spacing w:val="-1"/>
        </w:rPr>
        <w:t>2017</w:t>
      </w:r>
      <w:r>
        <w:rPr>
          <w:spacing w:val="-1"/>
        </w:rPr>
        <w:t>年末归属</w:t>
      </w:r>
      <w:r>
        <w:rPr/>
        <w:t> 于公司普通股股东的每股净资产</w:t>
      </w:r>
      <w:r>
        <w:rPr>
          <w:rFonts w:ascii="Times New Roman" w:hAnsi="Times New Roman" w:cs="Times New Roman" w:eastAsia="Times New Roman" w:hint="default"/>
        </w:rPr>
        <w:t>6.53</w:t>
      </w:r>
      <w:r>
        <w:rPr/>
        <w:t>元，比上年同期上升</w:t>
      </w:r>
      <w:r>
        <w:rPr>
          <w:rFonts w:ascii="Times New Roman" w:hAnsi="Times New Roman" w:cs="Times New Roman" w:eastAsia="Times New Roman" w:hint="default"/>
        </w:rPr>
        <w:t>4.48%</w:t>
      </w:r>
      <w:r>
        <w:rPr/>
        <w:t>。</w:t>
      </w:r>
    </w:p>
    <w:p>
      <w:pPr>
        <w:pStyle w:val="BodyText"/>
        <w:spacing w:line="240" w:lineRule="auto" w:before="53"/>
        <w:ind w:right="93"/>
        <w:jc w:val="left"/>
      </w:pPr>
      <w:r>
        <w:rPr/>
        <w:t>公司认为必要或证券监管机构要求披露的其他内容</w:t>
      </w:r>
    </w:p>
    <w:p>
      <w:pPr>
        <w:pStyle w:val="BodyText"/>
        <w:spacing w:line="240" w:lineRule="auto" w:before="117"/>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9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188"/>
        <w:gridCol w:w="1561"/>
        <w:gridCol w:w="1560"/>
        <w:gridCol w:w="1166"/>
        <w:gridCol w:w="1371"/>
        <w:gridCol w:w="1361"/>
      </w:tblGrid>
      <w:tr>
        <w:trPr>
          <w:trHeight w:val="40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北京方壶天地创 业投资中心（有 限合伙）</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4"/>
        <w:gridCol w:w="1188"/>
        <w:gridCol w:w="1561"/>
        <w:gridCol w:w="1560"/>
        <w:gridCol w:w="1166"/>
        <w:gridCol w:w="1371"/>
        <w:gridCol w:w="1361"/>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姚国宁</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程希庆</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北京仓源启航投 资管理中心（有 限合伙）</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耿亚琴</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唐若梅</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门大卫</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杨汉杰</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梁彦英</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高云燕</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张立纯等</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名股 东</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何育松等</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名股 权激励对象</w:t>
            </w:r>
          </w:p>
        </w:tc>
        <w:tc>
          <w:tcPr>
            <w:tcW w:w="118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1,041,500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1,041,500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根据股权激励计 划约定解锁</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1,041,500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1,041,500</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20"/>
          <w:szCs w:val="20"/>
        </w:rPr>
      </w:pPr>
    </w:p>
    <w:p>
      <w:pPr>
        <w:pStyle w:val="BodyText"/>
        <w:spacing w:line="240" w:lineRule="auto" w:before="44"/>
        <w:ind w:left="2243" w:right="3146"/>
        <w:jc w:val="center"/>
      </w:pPr>
      <w:r>
        <w:rPr/>
        <w:pict>
          <v:shape style="position:absolute;margin-left:56.400002pt;margin-top:-8.528317pt;width:479.3pt;height:132.2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2"/>
                    <w:gridCol w:w="1424"/>
                    <w:gridCol w:w="1560"/>
                    <w:gridCol w:w="77"/>
                    <w:gridCol w:w="824"/>
                    <w:gridCol w:w="1510"/>
                    <w:gridCol w:w="1561"/>
                    <w:gridCol w:w="1205"/>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7"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发行价格（或利率</w:t>
                        </w:r>
                      </w:p>
                    </w:tc>
                    <w:tc>
                      <w:tcPr>
                        <w:tcW w:w="77" w:type="dxa"/>
                        <w:tcBorders>
                          <w:top w:val="single" w:sz="4" w:space="0" w:color="000000"/>
                          <w:left w:val="single" w:sz="4" w:space="0" w:color="000000"/>
                          <w:bottom w:val="single" w:sz="4" w:space="0" w:color="000000"/>
                          <w:right w:val="nil" w:sz="6" w:space="0" w:color="auto"/>
                        </w:tcBorders>
                        <w:shd w:val="clear" w:color="auto" w:fill="D2D2D2"/>
                      </w:tcPr>
                      <w:p>
                        <w:pPr/>
                      </w:p>
                    </w:tc>
                    <w:tc>
                      <w:tcPr>
                        <w:tcW w:w="8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获准上市交易数量</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限制性股票激励 计划</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23.29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1,041,500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1,041,500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357" w:lineRule="auto" w:before="44"/>
        <w:ind w:left="513" w:right="0" w:hanging="361"/>
        <w:jc w:val="left"/>
      </w:pPr>
      <w:r>
        <w:rPr/>
        <w:t>报告期内证券发行（不含优先股）情况的说明 </w:t>
      </w:r>
      <w:r>
        <w:rPr>
          <w:spacing w:val="-1"/>
        </w:rPr>
        <w:t>报告期内，公司实施</w:t>
      </w:r>
      <w:r>
        <w:rPr>
          <w:rFonts w:ascii="Times New Roman" w:hAnsi="Times New Roman" w:cs="Times New Roman" w:eastAsia="Times New Roman" w:hint="default"/>
          <w:spacing w:val="-1"/>
        </w:rPr>
        <w:t>2017</w:t>
      </w:r>
      <w:r>
        <w:rPr>
          <w:spacing w:val="-1"/>
        </w:rPr>
        <w:t>年限制性股票激励计划，授予的激励对象共</w:t>
      </w:r>
      <w:r>
        <w:rPr>
          <w:rFonts w:ascii="Times New Roman" w:hAnsi="Times New Roman" w:cs="Times New Roman" w:eastAsia="Times New Roman" w:hint="default"/>
          <w:spacing w:val="-1"/>
        </w:rPr>
        <w:t>61</w:t>
      </w:r>
      <w:r>
        <w:rPr>
          <w:spacing w:val="-1"/>
        </w:rPr>
        <w:t>人，授予的限制性股票数量为</w:t>
      </w:r>
      <w:r>
        <w:rPr>
          <w:rFonts w:ascii="Times New Roman" w:hAnsi="Times New Roman" w:cs="Times New Roman" w:eastAsia="Times New Roman" w:hint="default"/>
          <w:spacing w:val="-1"/>
        </w:rPr>
        <w:t>104.15</w:t>
      </w:r>
      <w:r>
        <w:rPr>
          <w:spacing w:val="-1"/>
        </w:rPr>
        <w:t>万股，授予</w:t>
      </w:r>
    </w:p>
    <w:p>
      <w:pPr>
        <w:spacing w:after="0" w:line="357"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的限制性股票上市日期为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报告期内，公司实施</w:t>
      </w:r>
      <w:r>
        <w:rPr>
          <w:rFonts w:ascii="Times New Roman" w:hAnsi="Times New Roman" w:cs="Times New Roman" w:eastAsia="Times New Roman" w:hint="default"/>
          <w:spacing w:val="-1"/>
        </w:rPr>
        <w:t>2017</w:t>
      </w:r>
      <w:r>
        <w:rPr>
          <w:spacing w:val="-1"/>
        </w:rPr>
        <w:t>年限制性股票激励计划，授予激励对象共</w:t>
      </w:r>
      <w:r>
        <w:rPr>
          <w:rFonts w:ascii="Times New Roman" w:hAnsi="Times New Roman" w:cs="Times New Roman" w:eastAsia="Times New Roman" w:hint="default"/>
          <w:spacing w:val="-1"/>
        </w:rPr>
        <w:t>61</w:t>
      </w:r>
      <w:r>
        <w:rPr>
          <w:spacing w:val="-1"/>
        </w:rPr>
        <w:t>人，授予的限制性股票数量为</w:t>
      </w:r>
      <w:r>
        <w:rPr>
          <w:rFonts w:ascii="Times New Roman" w:hAnsi="Times New Roman" w:cs="Times New Roman" w:eastAsia="Times New Roman" w:hint="default"/>
          <w:spacing w:val="-1"/>
        </w:rPr>
        <w:t>104.15</w:t>
      </w:r>
      <w:r>
        <w:rPr>
          <w:spacing w:val="-1"/>
        </w:rPr>
        <w:t>万股。公司授</w:t>
      </w:r>
    </w:p>
    <w:p>
      <w:pPr>
        <w:pStyle w:val="BodyText"/>
        <w:spacing w:line="230" w:lineRule="exact"/>
        <w:ind w:right="0"/>
        <w:jc w:val="left"/>
      </w:pPr>
      <w:r>
        <w:rPr>
          <w:spacing w:val="-1"/>
        </w:rPr>
        <w:t>予限制性股票后，总股本由</w:t>
      </w:r>
      <w:r>
        <w:rPr>
          <w:rFonts w:ascii="Times New Roman" w:hAnsi="Times New Roman" w:cs="Times New Roman" w:eastAsia="Times New Roman" w:hint="default"/>
          <w:spacing w:val="-1"/>
        </w:rPr>
        <w:t>9,015</w:t>
      </w:r>
      <w:r>
        <w:rPr>
          <w:spacing w:val="-1"/>
        </w:rPr>
        <w:t>万股增加至</w:t>
      </w:r>
      <w:r>
        <w:rPr>
          <w:rFonts w:ascii="Times New Roman" w:hAnsi="Times New Roman" w:cs="Times New Roman" w:eastAsia="Times New Roman" w:hint="default"/>
          <w:spacing w:val="-1"/>
        </w:rPr>
        <w:t>9,119.15</w:t>
      </w:r>
      <w:r>
        <w:rPr>
          <w:spacing w:val="-1"/>
        </w:rPr>
        <w:t>万股，注册资本由人民币</w:t>
      </w:r>
      <w:r>
        <w:rPr>
          <w:rFonts w:ascii="Times New Roman" w:hAnsi="Times New Roman" w:cs="Times New Roman" w:eastAsia="Times New Roman" w:hint="default"/>
          <w:spacing w:val="-1"/>
        </w:rPr>
        <w:t>9,015</w:t>
      </w:r>
      <w:r>
        <w:rPr>
          <w:spacing w:val="-1"/>
        </w:rPr>
        <w:t>万元变更为人民币</w:t>
      </w:r>
      <w:r>
        <w:rPr>
          <w:spacing w:val="-13"/>
        </w:rPr>
        <w:t> </w:t>
      </w:r>
      <w:r>
        <w:rPr>
          <w:rFonts w:ascii="Times New Roman" w:hAnsi="Times New Roman" w:cs="Times New Roman" w:eastAsia="Times New Roman" w:hint="default"/>
          <w:spacing w:val="-2"/>
        </w:rPr>
        <w:t>9,119.15</w:t>
      </w:r>
      <w:r>
        <w:rPr>
          <w:spacing w:val="-2"/>
        </w:rPr>
        <w:t>万元，导致股</w:t>
      </w:r>
    </w:p>
    <w:p>
      <w:pPr>
        <w:pStyle w:val="BodyText"/>
        <w:spacing w:line="240" w:lineRule="auto" w:before="63"/>
        <w:ind w:right="153"/>
        <w:jc w:val="left"/>
      </w:pPr>
      <w:r>
        <w:rPr/>
        <w:t>本和净资产增加，资产负债率下降。</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5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pict>
          <v:shape style="position:absolute;margin-left:449.22699pt;margin-top:68.471733pt;width:85.75pt;height:31.2pt;mso-position-horizontal-relative:page;mso-position-vertical-relative:paragraph;z-index:-833008" type="#_x0000_t202" filled="false" stroked="false">
            <v:textbox inset="0,0,0,0">
              <w:txbxContent>
                <w:p>
                  <w:pPr>
                    <w:pStyle w:val="BodyText"/>
                    <w:spacing w:line="203" w:lineRule="exact"/>
                    <w:ind w:left="0" w:right="0"/>
                    <w:jc w:val="left"/>
                  </w:pPr>
                  <w:r>
                    <w:rPr/>
                    <w:t>（如有）</w:t>
                  </w:r>
                </w:p>
              </w:txbxContent>
            </v:textbox>
            <w10:wrap type="none"/>
          </v:shape>
        </w:pict>
      </w:r>
      <w:r>
        <w:rPr/>
        <w:pict>
          <v:group style="position:absolute;margin-left:482.5pt;margin-top:68.471733pt;width:52.45pt;height:31.2pt;mso-position-horizontal-relative:page;mso-position-vertical-relative:paragraph;z-index:-832984" coordorigin="9650,1369" coordsize="1049,624">
            <v:shape style="position:absolute;left:9650;top:1369;width:1049;height:624" coordorigin="9650,1369" coordsize="1049,624" path="m9650,1993l10699,1993,10699,1369,9650,1369,9650,1993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74"/>
        <w:gridCol w:w="737"/>
        <w:gridCol w:w="744"/>
        <w:gridCol w:w="912"/>
        <w:gridCol w:w="264"/>
        <w:gridCol w:w="588"/>
        <w:gridCol w:w="716"/>
        <w:gridCol w:w="275"/>
        <w:gridCol w:w="832"/>
        <w:gridCol w:w="1154"/>
        <w:gridCol w:w="133"/>
        <w:gridCol w:w="512"/>
        <w:gridCol w:w="557"/>
      </w:tblGrid>
      <w:tr>
        <w:trPr>
          <w:trHeight w:val="163"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9"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12,667</w:t>
            </w:r>
          </w:p>
        </w:tc>
        <w:tc>
          <w:tcPr>
            <w:tcW w:w="1481" w:type="dxa"/>
            <w:gridSpan w:val="2"/>
            <w:vMerge w:val="restart"/>
            <w:tcBorders>
              <w:top w:val="single" w:sz="4" w:space="0" w:color="000000"/>
              <w:left w:val="single" w:sz="4" w:space="0" w:color="000000"/>
              <w:right w:val="single" w:sz="4" w:space="0" w:color="000000"/>
            </w:tcBorders>
            <w:shd w:val="clear" w:color="auto" w:fill="D2D2D2"/>
          </w:tcPr>
          <w:p>
            <w:pPr/>
          </w:p>
        </w:tc>
        <w:tc>
          <w:tcPr>
            <w:tcW w:w="1176"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17,401</w:t>
            </w:r>
          </w:p>
        </w:tc>
        <w:tc>
          <w:tcPr>
            <w:tcW w:w="13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06"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z w:val="18"/>
              </w:rPr>
              <w:t>0</w:t>
            </w:r>
          </w:p>
        </w:tc>
        <w:tc>
          <w:tcPr>
            <w:tcW w:w="12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9"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2" w:type="dxa"/>
            <w:vMerge w:val="restart"/>
            <w:tcBorders>
              <w:top w:val="single" w:sz="4" w:space="0" w:color="000000"/>
              <w:left w:val="single" w:sz="12" w:space="0" w:color="D2D2D2"/>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3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21"/>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6" w:type="dxa"/>
            <w:gridSpan w:val="2"/>
            <w:vMerge/>
            <w:tcBorders>
              <w:left w:val="single" w:sz="10" w:space="0" w:color="D2D2D2"/>
              <w:right w:val="single" w:sz="13" w:space="0" w:color="D2D2D2"/>
            </w:tcBorders>
          </w:tcPr>
          <w:p>
            <w:pPr/>
          </w:p>
        </w:tc>
        <w:tc>
          <w:tcPr>
            <w:tcW w:w="128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9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6" w:type="dxa"/>
            <w:gridSpan w:val="2"/>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106" w:type="dxa"/>
            <w:gridSpan w:val="2"/>
            <w:vMerge/>
            <w:tcBorders>
              <w:left w:val="single" w:sz="10" w:space="0" w:color="D2D2D2"/>
              <w:right w:val="single" w:sz="13" w:space="0" w:color="D2D2D2"/>
            </w:tcBorders>
          </w:tcPr>
          <w:p>
            <w:pPr/>
          </w:p>
        </w:tc>
        <w:tc>
          <w:tcPr>
            <w:tcW w:w="128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106" w:type="dxa"/>
            <w:gridSpan w:val="2"/>
            <w:vMerge/>
            <w:tcBorders>
              <w:left w:val="single" w:sz="10" w:space="0" w:color="D2D2D2"/>
              <w:right w:val="single" w:sz="13" w:space="0" w:color="D2D2D2"/>
            </w:tcBorders>
          </w:tcPr>
          <w:p>
            <w:pPr/>
          </w:p>
        </w:tc>
        <w:tc>
          <w:tcPr>
            <w:tcW w:w="128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106" w:type="dxa"/>
            <w:gridSpan w:val="2"/>
            <w:vMerge/>
            <w:tcBorders>
              <w:left w:val="single" w:sz="10" w:space="0" w:color="D2D2D2"/>
              <w:right w:val="single" w:sz="13" w:space="0" w:color="D2D2D2"/>
            </w:tcBorders>
          </w:tcPr>
          <w:p>
            <w:pPr/>
          </w:p>
        </w:tc>
        <w:tc>
          <w:tcPr>
            <w:tcW w:w="128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305" w:type="dxa"/>
            <w:gridSpan w:val="2"/>
            <w:vMerge/>
            <w:tcBorders>
              <w:left w:val="single" w:sz="4" w:space="0" w:color="000000"/>
              <w:bottom w:val="nil" w:sz="6" w:space="0" w:color="auto"/>
              <w:right w:val="single" w:sz="4" w:space="0" w:color="000000"/>
            </w:tcBorders>
            <w:shd w:val="clear" w:color="auto" w:fill="D2D2D2"/>
          </w:tcPr>
          <w:p>
            <w:pPr/>
          </w:p>
        </w:tc>
        <w:tc>
          <w:tcPr>
            <w:tcW w:w="1106" w:type="dxa"/>
            <w:gridSpan w:val="2"/>
            <w:vMerge/>
            <w:tcBorders>
              <w:left w:val="single" w:sz="10" w:space="0" w:color="D2D2D2"/>
              <w:right w:val="single" w:sz="13" w:space="0" w:color="D2D2D2"/>
            </w:tcBorders>
          </w:tcPr>
          <w:p>
            <w:pPr/>
          </w:p>
        </w:tc>
        <w:tc>
          <w:tcPr>
            <w:tcW w:w="128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9" w:type="dxa"/>
            <w:gridSpan w:val="2"/>
            <w:vMerge/>
            <w:tcBorders>
              <w:left w:val="single" w:sz="9" w:space="0" w:color="D2D2D2"/>
              <w:bottom w:val="single" w:sz="4" w:space="0" w:color="000000"/>
              <w:right w:val="single" w:sz="10" w:space="0" w:color="D2D2D2"/>
            </w:tcBorders>
          </w:tcPr>
          <w:p>
            <w:pPr/>
          </w:p>
        </w:tc>
        <w:tc>
          <w:tcPr>
            <w:tcW w:w="1481" w:type="dxa"/>
            <w:gridSpan w:val="2"/>
            <w:vMerge/>
            <w:tcBorders>
              <w:left w:val="single" w:sz="4" w:space="0" w:color="000000"/>
              <w:bottom w:val="single" w:sz="4" w:space="0" w:color="000000"/>
              <w:right w:val="single" w:sz="4" w:space="0" w:color="000000"/>
            </w:tcBorders>
            <w:shd w:val="clear" w:color="auto" w:fill="D2D2D2"/>
          </w:tcPr>
          <w:p>
            <w:pPr/>
          </w:p>
        </w:tc>
        <w:tc>
          <w:tcPr>
            <w:tcW w:w="1176" w:type="dxa"/>
            <w:gridSpan w:val="2"/>
            <w:vMerge/>
            <w:tcBorders>
              <w:left w:val="single" w:sz="10" w:space="0" w:color="D2D2D2"/>
              <w:bottom w:val="single" w:sz="4" w:space="0" w:color="000000"/>
              <w:right w:val="single" w:sz="10" w:space="0" w:color="D2D2D2"/>
            </w:tcBorders>
          </w:tcPr>
          <w:p>
            <w:pPr/>
          </w:p>
        </w:tc>
        <w:tc>
          <w:tcPr>
            <w:tcW w:w="13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06" w:type="dxa"/>
            <w:gridSpan w:val="2"/>
            <w:vMerge/>
            <w:tcBorders>
              <w:left w:val="single" w:sz="10" w:space="0" w:color="D2D2D2"/>
              <w:bottom w:val="single" w:sz="4" w:space="0" w:color="000000"/>
              <w:right w:val="single" w:sz="13" w:space="0" w:color="D2D2D2"/>
            </w:tcBorders>
          </w:tcPr>
          <w:p>
            <w:pPr/>
          </w:p>
        </w:tc>
        <w:tc>
          <w:tcPr>
            <w:tcW w:w="1287" w:type="dxa"/>
            <w:gridSpan w:val="2"/>
            <w:vMerge/>
            <w:tcBorders>
              <w:left w:val="single" w:sz="4" w:space="0" w:color="000000"/>
              <w:bottom w:val="single" w:sz="4" w:space="0" w:color="000000"/>
              <w:right w:val="single" w:sz="4" w:space="0" w:color="000000"/>
            </w:tcBorders>
            <w:shd w:val="clear" w:color="auto" w:fill="D2D2D2"/>
          </w:tcPr>
          <w:p>
            <w:pPr/>
          </w:p>
        </w:tc>
        <w:tc>
          <w:tcPr>
            <w:tcW w:w="512" w:type="dxa"/>
            <w:vMerge/>
            <w:tcBorders>
              <w:left w:val="single" w:sz="12" w:space="0" w:color="D2D2D2"/>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8"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FFFFFF"/>
            </w:tcBorders>
            <w:shd w:val="clear" w:color="auto" w:fill="D2D2D2"/>
          </w:tcPr>
          <w:p>
            <w:pPr/>
          </w:p>
        </w:tc>
        <w:tc>
          <w:tcPr>
            <w:tcW w:w="912" w:type="dxa"/>
            <w:tcBorders>
              <w:top w:val="single" w:sz="4" w:space="0" w:color="000000"/>
              <w:left w:val="single" w:sz="4" w:space="0" w:color="FFFFFF"/>
              <w:bottom w:val="nil" w:sz="6" w:space="0" w:color="auto"/>
              <w:right w:val="single" w:sz="4" w:space="0" w:color="000000"/>
            </w:tcBorders>
            <w:shd w:val="clear" w:color="auto" w:fill="D2D2D2"/>
          </w:tcPr>
          <w:p>
            <w:pP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0" w:right="6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9" w:right="40"/>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35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FFFFFF"/>
            </w:tcBorders>
            <w:shd w:val="clear" w:color="auto" w:fill="D2D2D2"/>
          </w:tcPr>
          <w:p>
            <w:pPr/>
          </w:p>
        </w:tc>
        <w:tc>
          <w:tcPr>
            <w:tcW w:w="912" w:type="dxa"/>
            <w:vMerge w:val="restart"/>
            <w:tcBorders>
              <w:top w:val="nil" w:sz="6" w:space="0" w:color="auto"/>
              <w:left w:val="single" w:sz="4" w:space="0" w:color="FFFFFF"/>
              <w:right w:val="single" w:sz="4" w:space="0" w:color="000000"/>
            </w:tcBorders>
            <w:shd w:val="clear" w:color="auto" w:fill="D2D2D2"/>
          </w:tcPr>
          <w:p>
            <w:pPr>
              <w:pStyle w:val="TableParagraph"/>
              <w:spacing w:line="314" w:lineRule="auto" w:before="49"/>
              <w:ind w:left="112" w:right="6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5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832" w:type="dxa"/>
            <w:vMerge/>
            <w:tcBorders>
              <w:left w:val="single" w:sz="4" w:space="0" w:color="000000"/>
              <w:right w:val="single" w:sz="4" w:space="0" w:color="000000"/>
            </w:tcBorders>
            <w:shd w:val="clear" w:color="auto" w:fill="D2D2D2"/>
          </w:tcPr>
          <w:p>
            <w:pPr/>
          </w:p>
        </w:tc>
        <w:tc>
          <w:tcPr>
            <w:tcW w:w="2356" w:type="dxa"/>
            <w:gridSpan w:val="4"/>
            <w:vMerge/>
            <w:tcBorders>
              <w:left w:val="single" w:sz="4" w:space="0" w:color="000000"/>
              <w:right w:val="single" w:sz="4" w:space="0" w:color="000000"/>
            </w:tcBorders>
            <w:shd w:val="clear" w:color="auto" w:fill="D2D2D2"/>
          </w:tcPr>
          <w:p>
            <w:pPr/>
          </w:p>
        </w:tc>
      </w:tr>
      <w:tr>
        <w:trPr>
          <w:trHeight w:val="139"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12" w:type="dxa"/>
            <w:vMerge/>
            <w:tcBorders>
              <w:left w:val="single" w:sz="4" w:space="0" w:color="FFFFFF"/>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832" w:type="dxa"/>
            <w:vMerge/>
            <w:tcBorders>
              <w:left w:val="single" w:sz="4" w:space="0" w:color="000000"/>
              <w:right w:val="single" w:sz="4" w:space="0" w:color="000000"/>
            </w:tcBorders>
            <w:shd w:val="clear" w:color="auto" w:fill="D2D2D2"/>
          </w:tcPr>
          <w:p>
            <w:pPr/>
          </w:p>
        </w:tc>
        <w:tc>
          <w:tcPr>
            <w:tcW w:w="2356"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FFFFFF"/>
            </w:tcBorders>
            <w:shd w:val="clear" w:color="auto" w:fill="D2D2D2"/>
          </w:tcPr>
          <w:p>
            <w:pPr/>
          </w:p>
        </w:tc>
        <w:tc>
          <w:tcPr>
            <w:tcW w:w="912" w:type="dxa"/>
            <w:vMerge/>
            <w:tcBorders>
              <w:left w:val="single" w:sz="4" w:space="0" w:color="FFFFFF"/>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832" w:type="dxa"/>
            <w:vMerge/>
            <w:tcBorders>
              <w:left w:val="single" w:sz="4" w:space="0" w:color="000000"/>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2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FFFFFF"/>
            </w:tcBorders>
            <w:shd w:val="clear" w:color="auto" w:fill="D2D2D2"/>
          </w:tcPr>
          <w:p>
            <w:pPr/>
          </w:p>
        </w:tc>
        <w:tc>
          <w:tcPr>
            <w:tcW w:w="912" w:type="dxa"/>
            <w:vMerge/>
            <w:tcBorders>
              <w:left w:val="single" w:sz="4" w:space="0" w:color="FFFFFF"/>
              <w:bottom w:val="nil" w:sz="6" w:space="0" w:color="auto"/>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832" w:type="dxa"/>
            <w:vMerge/>
            <w:tcBorders>
              <w:left w:val="single" w:sz="4" w:space="0" w:color="000000"/>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202"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FFFFFF"/>
            </w:tcBorders>
            <w:shd w:val="clear" w:color="auto" w:fill="D2D2D2"/>
          </w:tcPr>
          <w:p>
            <w:pPr/>
          </w:p>
        </w:tc>
        <w:tc>
          <w:tcPr>
            <w:tcW w:w="912" w:type="dxa"/>
            <w:tcBorders>
              <w:top w:val="nil" w:sz="6" w:space="0" w:color="auto"/>
              <w:left w:val="single" w:sz="4" w:space="0" w:color="FFFFFF"/>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832"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202" w:type="dxa"/>
            <w:gridSpan w:val="3"/>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14.42%</w:t>
            </w:r>
          </w:p>
        </w:tc>
        <w:tc>
          <w:tcPr>
            <w:tcW w:w="91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13,150,000</w:t>
            </w:r>
          </w:p>
        </w:tc>
        <w:tc>
          <w:tcPr>
            <w:tcW w:w="83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4" w:space="0" w:color="D2D2D2"/>
              <w:left w:val="single" w:sz="4" w:space="0" w:color="000000"/>
              <w:bottom w:val="single" w:sz="4" w:space="0" w:color="000000"/>
              <w:right w:val="single" w:sz="4" w:space="0" w:color="000000"/>
            </w:tcBorders>
          </w:tcPr>
          <w:p>
            <w:pPr>
              <w:pStyle w:val="TableParagraph"/>
              <w:spacing w:line="234" w:lineRule="exact"/>
              <w:ind w:left="4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2" w:type="dxa"/>
            <w:gridSpan w:val="3"/>
            <w:tcBorders>
              <w:top w:val="single" w:sz="44" w:space="0" w:color="D2D2D2"/>
              <w:left w:val="single" w:sz="4" w:space="0" w:color="000000"/>
              <w:bottom w:val="single" w:sz="4" w:space="0" w:color="000000"/>
              <w:right w:val="single" w:sz="4" w:space="0" w:color="000000"/>
            </w:tcBorders>
          </w:tcPr>
          <w:p>
            <w:pPr>
              <w:pStyle w:val="TableParagraph"/>
              <w:spacing w:line="240" w:lineRule="auto" w:before="40"/>
              <w:ind w:left="451" w:right="0"/>
              <w:jc w:val="left"/>
              <w:rPr>
                <w:rFonts w:ascii="Times New Roman" w:hAnsi="Times New Roman" w:cs="Times New Roman" w:eastAsia="Times New Roman" w:hint="default"/>
                <w:sz w:val="18"/>
                <w:szCs w:val="18"/>
              </w:rPr>
            </w:pPr>
            <w:r>
              <w:rPr>
                <w:rFonts w:ascii="Times New Roman"/>
                <w:sz w:val="18"/>
              </w:rPr>
              <w:t>6,015,000</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z w:val="18"/>
              </w:rPr>
              <w:t>12.99%</w:t>
            </w:r>
          </w:p>
        </w:tc>
        <w:tc>
          <w:tcPr>
            <w:tcW w:w="91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11,850,000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11,850,000</w:t>
            </w:r>
          </w:p>
        </w:tc>
        <w:tc>
          <w:tcPr>
            <w:tcW w:w="83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02"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徐连平</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11.79%</w:t>
            </w:r>
          </w:p>
        </w:tc>
        <w:tc>
          <w:tcPr>
            <w:tcW w:w="91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10,750,000</w:t>
            </w:r>
          </w:p>
        </w:tc>
        <w:tc>
          <w:tcPr>
            <w:tcW w:w="83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02"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蒋琳华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11.79%</w:t>
            </w:r>
          </w:p>
        </w:tc>
        <w:tc>
          <w:tcPr>
            <w:tcW w:w="91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10,750,000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10,750,000</w:t>
            </w:r>
          </w:p>
        </w:tc>
        <w:tc>
          <w:tcPr>
            <w:tcW w:w="83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02"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11.29%</w:t>
            </w:r>
          </w:p>
        </w:tc>
        <w:tc>
          <w:tcPr>
            <w:tcW w:w="91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10,300,000</w:t>
            </w:r>
          </w:p>
        </w:tc>
        <w:tc>
          <w:tcPr>
            <w:tcW w:w="83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1,603,000</w:t>
            </w: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北京方壶天地创 </w:t>
            </w:r>
            <w:r>
              <w:rPr>
                <w:rFonts w:ascii="宋体" w:hAnsi="宋体" w:cs="宋体" w:eastAsia="宋体" w:hint="default"/>
                <w:spacing w:val="-4"/>
                <w:sz w:val="18"/>
                <w:szCs w:val="18"/>
              </w:rPr>
              <w:t>业投资中心（有限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3.29%</w:t>
            </w:r>
          </w:p>
        </w:tc>
        <w:tc>
          <w:tcPr>
            <w:tcW w:w="91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02"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姚国宁</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2.19%</w:t>
            </w:r>
          </w:p>
        </w:tc>
        <w:tc>
          <w:tcPr>
            <w:tcW w:w="91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2,000,000</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程希庆</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1.10%</w:t>
            </w:r>
          </w:p>
        </w:tc>
        <w:tc>
          <w:tcPr>
            <w:tcW w:w="91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1,000,000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02" w:type="dxa"/>
            <w:gridSpan w:val="3"/>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北京仓源启航投 </w:t>
            </w:r>
            <w:r>
              <w:rPr>
                <w:rFonts w:ascii="宋体" w:hAnsi="宋体" w:cs="宋体" w:eastAsia="宋体" w:hint="default"/>
                <w:spacing w:val="-4"/>
                <w:sz w:val="18"/>
                <w:szCs w:val="18"/>
              </w:rPr>
              <w:t>资管理中心（有限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0.73%</w:t>
            </w:r>
          </w:p>
        </w:tc>
        <w:tc>
          <w:tcPr>
            <w:tcW w:w="91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670,000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02"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240"/>
        <w:gridCol w:w="547"/>
        <w:gridCol w:w="869"/>
        <w:gridCol w:w="852"/>
        <w:gridCol w:w="991"/>
        <w:gridCol w:w="490"/>
        <w:gridCol w:w="362"/>
        <w:gridCol w:w="987"/>
        <w:gridCol w:w="146"/>
        <w:gridCol w:w="1202"/>
      </w:tblGrid>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姚真明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0.73%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9" w:right="0"/>
              <w:jc w:val="left"/>
              <w:rPr>
                <w:rFonts w:ascii="Times New Roman" w:hAnsi="Times New Roman" w:cs="Times New Roman" w:eastAsia="Times New Roman" w:hint="default"/>
                <w:sz w:val="18"/>
                <w:szCs w:val="18"/>
              </w:rPr>
            </w:pPr>
            <w:r>
              <w:rPr>
                <w:rFonts w:ascii="Times New Roman"/>
                <w:sz w:val="18"/>
              </w:rPr>
              <w:t>663,700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663,700</w:t>
            </w: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164"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10"/>
            <w:vMerge w:val="restart"/>
            <w:tcBorders>
              <w:top w:val="single" w:sz="4" w:space="0" w:color="000000"/>
              <w:left w:val="single" w:sz="9" w:space="0" w:color="D2D2D2"/>
              <w:right w:val="single" w:sz="4" w:space="0" w:color="000000"/>
            </w:tcBorders>
          </w:tcPr>
          <w:p>
            <w:pPr>
              <w:pStyle w:val="TableParagraph"/>
              <w:spacing w:line="316" w:lineRule="auto" w:before="51"/>
              <w:ind w:left="17" w:right="19"/>
              <w:jc w:val="left"/>
              <w:rPr>
                <w:rFonts w:ascii="宋体" w:hAnsi="宋体" w:cs="宋体" w:eastAsia="宋体" w:hint="default"/>
                <w:sz w:val="18"/>
                <w:szCs w:val="18"/>
              </w:rPr>
            </w:pPr>
            <w:r>
              <w:rPr>
                <w:rFonts w:ascii="宋体" w:hAnsi="宋体" w:cs="宋体" w:eastAsia="宋体" w:hint="default"/>
                <w:spacing w:val="-3"/>
                <w:sz w:val="18"/>
                <w:szCs w:val="18"/>
              </w:rPr>
              <w:t>上述股东李福华、康路、张燕生三人共同签署《共同控制及一致行动人协议》，约定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在涉及公司经营管理等相关事项时，三人作为一致行动人共同行使股东的召集权、提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案权、表决权等股东权利。</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0"/>
            <w:vMerge/>
            <w:tcBorders>
              <w:left w:val="single" w:sz="9" w:space="0" w:color="D2D2D2"/>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10"/>
            <w:vMerge/>
            <w:tcBorders>
              <w:left w:val="single" w:sz="9" w:space="0" w:color="D2D2D2"/>
              <w:bottom w:val="single" w:sz="4" w:space="0" w:color="000000"/>
              <w:right w:val="single" w:sz="4" w:space="0" w:color="000000"/>
            </w:tcBorders>
          </w:tcPr>
          <w:p>
            <w:pPr/>
          </w:p>
        </w:tc>
      </w:tr>
      <w:tr>
        <w:trPr>
          <w:trHeight w:val="402" w:hRule="exact"/>
        </w:trPr>
        <w:tc>
          <w:tcPr>
            <w:tcW w:w="956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312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312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74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121" w:type="dxa"/>
            <w:gridSpan w:val="3"/>
            <w:vMerge/>
            <w:tcBorders>
              <w:left w:val="single" w:sz="4" w:space="0" w:color="000000"/>
              <w:bottom w:val="nil" w:sz="6" w:space="0" w:color="auto"/>
              <w:right w:val="single" w:sz="4" w:space="0" w:color="000000"/>
            </w:tcBorders>
            <w:shd w:val="clear" w:color="auto" w:fill="D2D2D2"/>
          </w:tcPr>
          <w:p>
            <w:pPr/>
          </w:p>
        </w:tc>
        <w:tc>
          <w:tcPr>
            <w:tcW w:w="3749"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312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74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北京方壶天地创业投资中</w:t>
            </w:r>
            <w:r>
              <w:rPr>
                <w:rFonts w:ascii="宋体" w:hAnsi="宋体" w:cs="宋体" w:eastAsia="宋体" w:hint="default"/>
                <w:spacing w:val="-87"/>
                <w:sz w:val="18"/>
                <w:szCs w:val="18"/>
              </w:rPr>
              <w:t>心</w:t>
            </w:r>
            <w:r>
              <w:rPr>
                <w:rFonts w:ascii="宋体" w:hAnsi="宋体" w:cs="宋体" w:eastAsia="宋体" w:hint="default"/>
                <w:sz w:val="18"/>
                <w:szCs w:val="18"/>
              </w:rPr>
              <w:t>（有限合伙</w:t>
            </w:r>
          </w:p>
        </w:tc>
        <w:tc>
          <w:tcPr>
            <w:tcW w:w="5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nil" w:sz="6" w:space="0" w:color="auto"/>
              <w:bottom w:val="single" w:sz="4" w:space="0" w:color="000000"/>
              <w:right w:val="nil" w:sz="6" w:space="0" w:color="auto"/>
            </w:tcBorders>
          </w:tcPr>
          <w:p>
            <w:pPr/>
          </w:p>
        </w:tc>
        <w:tc>
          <w:tcPr>
            <w:tcW w:w="852" w:type="dxa"/>
            <w:tcBorders>
              <w:top w:val="single" w:sz="4" w:space="0" w:color="000000"/>
              <w:left w:val="nil" w:sz="6" w:space="0" w:color="auto"/>
              <w:bottom w:val="single" w:sz="4" w:space="0" w:color="000000"/>
              <w:right w:val="nil" w:sz="6" w:space="0" w:color="auto"/>
            </w:tcBorders>
          </w:tcPr>
          <w:p>
            <w:pPr/>
          </w:p>
        </w:tc>
        <w:tc>
          <w:tcPr>
            <w:tcW w:w="148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734" w:right="0"/>
              <w:jc w:val="left"/>
              <w:rPr>
                <w:rFonts w:ascii="Times New Roman" w:hAnsi="Times New Roman" w:cs="Times New Roman" w:eastAsia="Times New Roman" w:hint="default"/>
                <w:sz w:val="18"/>
                <w:szCs w:val="18"/>
              </w:rPr>
            </w:pPr>
            <w:r>
              <w:rPr>
                <w:rFonts w:ascii="Times New Roman"/>
                <w:sz w:val="18"/>
              </w:rPr>
              <w:t>3,000,000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3,000,000</w:t>
            </w:r>
          </w:p>
        </w:tc>
      </w:tr>
      <w:tr>
        <w:trPr>
          <w:trHeight w:val="401"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姚国宁</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2,000,000</w:t>
            </w:r>
          </w:p>
        </w:tc>
      </w:tr>
      <w:tr>
        <w:trPr>
          <w:trHeight w:val="403"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程希庆</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1,000,000</w:t>
            </w:r>
          </w:p>
        </w:tc>
      </w:tr>
      <w:tr>
        <w:trPr>
          <w:trHeight w:val="401"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北京仓源启航投资管理中</w:t>
            </w:r>
            <w:r>
              <w:rPr>
                <w:rFonts w:ascii="宋体" w:hAnsi="宋体" w:cs="宋体" w:eastAsia="宋体" w:hint="default"/>
                <w:spacing w:val="-87"/>
                <w:sz w:val="18"/>
                <w:szCs w:val="18"/>
              </w:rPr>
              <w:t>心</w:t>
            </w:r>
            <w:r>
              <w:rPr>
                <w:rFonts w:ascii="宋体" w:hAnsi="宋体" w:cs="宋体" w:eastAsia="宋体" w:hint="default"/>
                <w:sz w:val="18"/>
                <w:szCs w:val="18"/>
              </w:rPr>
              <w:t>（有限合伙</w:t>
            </w:r>
          </w:p>
        </w:tc>
        <w:tc>
          <w:tcPr>
            <w:tcW w:w="5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nil" w:sz="6" w:space="0" w:color="auto"/>
              <w:bottom w:val="single" w:sz="4" w:space="0" w:color="000000"/>
              <w:right w:val="nil" w:sz="6" w:space="0" w:color="auto"/>
            </w:tcBorders>
          </w:tcPr>
          <w:p>
            <w:pPr/>
          </w:p>
        </w:tc>
        <w:tc>
          <w:tcPr>
            <w:tcW w:w="852" w:type="dxa"/>
            <w:tcBorders>
              <w:top w:val="single" w:sz="4" w:space="0" w:color="000000"/>
              <w:left w:val="nil" w:sz="6" w:space="0" w:color="auto"/>
              <w:bottom w:val="single" w:sz="4" w:space="0" w:color="000000"/>
              <w:right w:val="nil" w:sz="6" w:space="0" w:color="auto"/>
            </w:tcBorders>
          </w:tcPr>
          <w:p>
            <w:pPr/>
          </w:p>
        </w:tc>
        <w:tc>
          <w:tcPr>
            <w:tcW w:w="148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670,000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1" w:right="0"/>
              <w:jc w:val="left"/>
              <w:rPr>
                <w:rFonts w:ascii="Times New Roman" w:hAnsi="Times New Roman" w:cs="Times New Roman" w:eastAsia="Times New Roman" w:hint="default"/>
                <w:sz w:val="18"/>
                <w:szCs w:val="18"/>
              </w:rPr>
            </w:pPr>
            <w:r>
              <w:rPr>
                <w:rFonts w:ascii="Times New Roman"/>
                <w:sz w:val="18"/>
              </w:rPr>
              <w:t>670,000</w:t>
            </w:r>
          </w:p>
        </w:tc>
      </w:tr>
      <w:tr>
        <w:trPr>
          <w:trHeight w:val="403"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姚真明</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663,700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1" w:right="0"/>
              <w:jc w:val="left"/>
              <w:rPr>
                <w:rFonts w:ascii="Times New Roman" w:hAnsi="Times New Roman" w:cs="Times New Roman" w:eastAsia="Times New Roman" w:hint="default"/>
                <w:sz w:val="18"/>
                <w:szCs w:val="18"/>
              </w:rPr>
            </w:pPr>
            <w:r>
              <w:rPr>
                <w:rFonts w:ascii="Times New Roman"/>
                <w:sz w:val="18"/>
              </w:rPr>
              <w:t>663,700</w:t>
            </w:r>
          </w:p>
        </w:tc>
      </w:tr>
      <w:tr>
        <w:trPr>
          <w:trHeight w:val="401"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耿亚琴</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1" w:right="0"/>
              <w:jc w:val="left"/>
              <w:rPr>
                <w:rFonts w:ascii="Times New Roman" w:hAnsi="Times New Roman" w:cs="Times New Roman" w:eastAsia="Times New Roman" w:hint="default"/>
                <w:sz w:val="18"/>
                <w:szCs w:val="18"/>
              </w:rPr>
            </w:pPr>
            <w:r>
              <w:rPr>
                <w:rFonts w:ascii="Times New Roman"/>
                <w:sz w:val="18"/>
              </w:rPr>
              <w:t>574,000</w:t>
            </w:r>
          </w:p>
        </w:tc>
      </w:tr>
      <w:tr>
        <w:trPr>
          <w:trHeight w:val="403"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门大卫</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1" w:right="0"/>
              <w:jc w:val="left"/>
              <w:rPr>
                <w:rFonts w:ascii="Times New Roman" w:hAnsi="Times New Roman" w:cs="Times New Roman" w:eastAsia="Times New Roman" w:hint="default"/>
                <w:sz w:val="18"/>
                <w:szCs w:val="18"/>
              </w:rPr>
            </w:pPr>
            <w:r>
              <w:rPr>
                <w:rFonts w:ascii="Times New Roman"/>
                <w:sz w:val="18"/>
              </w:rPr>
              <w:t>300,000</w:t>
            </w:r>
          </w:p>
        </w:tc>
      </w:tr>
      <w:tr>
        <w:trPr>
          <w:trHeight w:val="401"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梁彦英</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1" w:right="0"/>
              <w:jc w:val="left"/>
              <w:rPr>
                <w:rFonts w:ascii="Times New Roman" w:hAnsi="Times New Roman" w:cs="Times New Roman" w:eastAsia="Times New Roman" w:hint="default"/>
                <w:sz w:val="18"/>
                <w:szCs w:val="18"/>
              </w:rPr>
            </w:pPr>
            <w:r>
              <w:rPr>
                <w:rFonts w:ascii="Times New Roman"/>
                <w:sz w:val="18"/>
              </w:rPr>
              <w:t>200,000</w:t>
            </w:r>
          </w:p>
        </w:tc>
      </w:tr>
      <w:tr>
        <w:trPr>
          <w:trHeight w:val="403"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魏大庆</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1" w:right="0"/>
              <w:jc w:val="left"/>
              <w:rPr>
                <w:rFonts w:ascii="Times New Roman" w:hAnsi="Times New Roman" w:cs="Times New Roman" w:eastAsia="Times New Roman" w:hint="default"/>
                <w:sz w:val="18"/>
                <w:szCs w:val="18"/>
              </w:rPr>
            </w:pPr>
            <w:r>
              <w:rPr>
                <w:rFonts w:ascii="Times New Roman"/>
                <w:sz w:val="18"/>
              </w:rPr>
              <w:t>185,000</w:t>
            </w:r>
          </w:p>
        </w:tc>
      </w:tr>
      <w:tr>
        <w:trPr>
          <w:trHeight w:val="401"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刘振来</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1" w:right="0"/>
              <w:jc w:val="left"/>
              <w:rPr>
                <w:rFonts w:ascii="Times New Roman" w:hAnsi="Times New Roman" w:cs="Times New Roman" w:eastAsia="Times New Roman" w:hint="default"/>
                <w:sz w:val="18"/>
                <w:szCs w:val="18"/>
              </w:rPr>
            </w:pPr>
            <w:r>
              <w:rPr>
                <w:rFonts w:ascii="Times New Roman"/>
                <w:sz w:val="18"/>
              </w:rPr>
              <w:t>168,000</w:t>
            </w:r>
          </w:p>
        </w:tc>
      </w:tr>
      <w:tr>
        <w:trPr>
          <w:trHeight w:val="1027" w:hRule="exact"/>
        </w:trPr>
        <w:tc>
          <w:tcPr>
            <w:tcW w:w="31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r>
              <w:rPr>
                <w:rFonts w:ascii="宋体" w:hAnsi="宋体" w:cs="宋体" w:eastAsia="宋体" w:hint="default"/>
                <w:spacing w:val="-3"/>
                <w:sz w:val="18"/>
                <w:szCs w:val="18"/>
              </w:rPr>
              <w:t>间</w:t>
            </w:r>
            <w:r>
              <w:rPr>
                <w:rFonts w:ascii="宋体" w:hAnsi="宋体" w:cs="宋体" w:eastAsia="宋体" w:hint="default"/>
                <w:spacing w:val="-87"/>
                <w:sz w:val="18"/>
                <w:szCs w:val="18"/>
              </w:rPr>
              <w:t>，</w:t>
            </w:r>
            <w:r>
              <w:rPr>
                <w:rFonts w:ascii="宋体" w:hAnsi="宋体" w:cs="宋体" w:eastAsia="宋体" w:hint="default"/>
                <w:sz w:val="18"/>
                <w:szCs w:val="18"/>
              </w:rPr>
              <w:t>以及前</w:t>
            </w:r>
          </w:p>
          <w:p>
            <w:pPr>
              <w:pStyle w:val="TableParagraph"/>
              <w:spacing w:line="300" w:lineRule="auto" w:before="60"/>
              <w:ind w:left="24"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 之间关联关系或一致行动的说明</w:t>
            </w:r>
          </w:p>
        </w:tc>
        <w:tc>
          <w:tcPr>
            <w:tcW w:w="644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pacing w:val="-3"/>
                <w:sz w:val="18"/>
                <w:szCs w:val="18"/>
              </w:rPr>
              <w:t>公司未知上述股东之间是否存在关联关系，也未知是否属于《上市公司收购管理办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法》规定的一致行动人。</w:t>
            </w:r>
          </w:p>
        </w:tc>
      </w:tr>
    </w:tbl>
    <w:p>
      <w:pPr>
        <w:pStyle w:val="BodyText"/>
        <w:spacing w:line="240" w:lineRule="auto" w:before="49"/>
        <w:ind w:right="15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5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1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宋体" w:hAnsi="宋体" w:cs="宋体" w:eastAsia="宋体" w:hint="default"/>
                <w:sz w:val="18"/>
                <w:szCs w:val="18"/>
              </w:rPr>
            </w:pPr>
            <w:r>
              <w:rPr>
                <w:rFonts w:ascii="宋体" w:hAnsi="宋体" w:cs="宋体" w:eastAsia="宋体" w:hint="default"/>
                <w:spacing w:val="-1"/>
                <w:sz w:val="18"/>
                <w:szCs w:val="18"/>
              </w:rPr>
              <w:t>康路为新晨科技董事长、李福华为新晨科技董事、张燕生为新晨科技董事及总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经理</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53"/>
        <w:jc w:val="left"/>
      </w:pPr>
      <w:r>
        <w:rPr/>
        <w:t>控股股东报告期内变更</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40" w:lineRule="auto" w:before="44"/>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3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康路为新晨科技董事长、李福华为新晨科技董事、张燕生为新晨科技董事及总 经理</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53"/>
        <w:jc w:val="left"/>
      </w:pPr>
      <w:r>
        <w:rPr/>
        <w:t>实际控制人报告期内变更</w:t>
      </w:r>
    </w:p>
    <w:p>
      <w:pPr>
        <w:pStyle w:val="BodyText"/>
        <w:spacing w:line="348"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5"/>
        <w:rPr>
          <w:rFonts w:ascii="宋体" w:hAnsi="宋体" w:cs="宋体" w:eastAsia="宋体" w:hint="default"/>
          <w:sz w:val="20"/>
          <w:szCs w:val="20"/>
        </w:rPr>
      </w:pPr>
    </w:p>
    <w:p>
      <w:pPr>
        <w:spacing w:line="3585" w:lineRule="exact"/>
        <w:ind w:left="1355"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4592309" cy="22764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4592309" cy="2276475"/>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3"/>
        <w:rPr>
          <w:rFonts w:ascii="宋体" w:hAnsi="宋体" w:cs="宋体" w:eastAsia="宋体" w:hint="default"/>
          <w:sz w:val="22"/>
          <w:szCs w:val="22"/>
        </w:rPr>
      </w:pPr>
    </w:p>
    <w:p>
      <w:pPr>
        <w:pStyle w:val="BodyText"/>
        <w:spacing w:line="240" w:lineRule="auto"/>
        <w:ind w:right="153"/>
        <w:jc w:val="left"/>
      </w:pPr>
      <w:r>
        <w:rPr/>
        <w:t>实际控制人通过信托或其他资产管理方式控制公司</w:t>
      </w:r>
    </w:p>
    <w:p>
      <w:pPr>
        <w:spacing w:line="240" w:lineRule="auto" w:before="12"/>
        <w:rPr>
          <w:rFonts w:ascii="宋体" w:hAnsi="宋体" w:cs="宋体" w:eastAsia="宋体" w:hint="default"/>
          <w:sz w:val="20"/>
          <w:szCs w:val="20"/>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53"/>
        <w:jc w:val="left"/>
        <w:rPr>
          <w:b w:val="0"/>
          <w:bCs w:val="0"/>
        </w:rPr>
      </w:pPr>
      <w:bookmarkStart w:name="_TOC_250005"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53"/>
        <w:jc w:val="left"/>
        <w:rPr>
          <w:b w:val="0"/>
          <w:bCs w:val="0"/>
        </w:rPr>
      </w:pPr>
      <w:bookmarkStart w:name="_TOC_250004" w:id="8"/>
      <w:r>
        <w:rPr/>
        <w:t>第八节</w:t>
      </w:r>
      <w:r>
        <w:rPr>
          <w:spacing w:val="-8"/>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1044"/>
        <w:gridCol w:w="550"/>
        <w:gridCol w:w="442"/>
        <w:gridCol w:w="569"/>
        <w:gridCol w:w="991"/>
        <w:gridCol w:w="994"/>
        <w:gridCol w:w="991"/>
        <w:gridCol w:w="799"/>
        <w:gridCol w:w="797"/>
        <w:gridCol w:w="672"/>
        <w:gridCol w:w="924"/>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0"/>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8" w:right="95"/>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11,850,000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13,150,000</w:t>
            </w:r>
          </w:p>
        </w:tc>
      </w:tr>
      <w:tr>
        <w:trPr>
          <w:trHeight w:val="75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3" w:right="468"/>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10,300,000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杨汉杰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高冠江</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李晓枫</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邹琳</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纪昕</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唐若梅</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张大新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周嘉嘉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何育松</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1044"/>
        <w:gridCol w:w="550"/>
        <w:gridCol w:w="442"/>
        <w:gridCol w:w="569"/>
        <w:gridCol w:w="991"/>
        <w:gridCol w:w="994"/>
        <w:gridCol w:w="991"/>
        <w:gridCol w:w="799"/>
        <w:gridCol w:w="797"/>
        <w:gridCol w:w="672"/>
        <w:gridCol w:w="924"/>
      </w:tblGrid>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汤金资</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36,250,000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9" w:right="0"/>
              <w:jc w:val="left"/>
              <w:rPr>
                <w:rFonts w:ascii="Times New Roman" w:hAnsi="Times New Roman" w:cs="Times New Roman" w:eastAsia="Times New Roman" w:hint="default"/>
                <w:sz w:val="18"/>
                <w:szCs w:val="18"/>
              </w:rPr>
            </w:pPr>
            <w:r>
              <w:rPr>
                <w:rFonts w:ascii="Times New Roman"/>
                <w:sz w:val="18"/>
              </w:rPr>
              <w:t>270,000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36,520,000</w:t>
            </w:r>
          </w:p>
        </w:tc>
      </w:tr>
    </w:tbl>
    <w:p>
      <w:pPr>
        <w:spacing w:line="240" w:lineRule="auto" w:before="1"/>
        <w:rPr>
          <w:rFonts w:ascii="宋体" w:hAnsi="宋体" w:cs="宋体" w:eastAsia="宋体" w:hint="default"/>
          <w:b/>
          <w:bCs/>
          <w:sz w:val="18"/>
          <w:szCs w:val="18"/>
        </w:rPr>
      </w:pPr>
    </w:p>
    <w:p>
      <w:pPr>
        <w:pStyle w:val="Heading2"/>
        <w:spacing w:line="240" w:lineRule="auto" w:before="26"/>
        <w:ind w:right="93"/>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2108"/>
        <w:gridCol w:w="3471"/>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周嘉嘉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何育松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汤金资</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李亮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240" w:lineRule="auto" w:before="115"/>
        <w:ind w:left="513" w:right="93"/>
        <w:jc w:val="left"/>
      </w:pPr>
      <w:r>
        <w:rPr/>
        <w:t>（一）公司董事主要工作经历</w:t>
      </w:r>
    </w:p>
    <w:p>
      <w:pPr>
        <w:pStyle w:val="BodyText"/>
        <w:spacing w:line="300" w:lineRule="auto" w:before="76"/>
        <w:ind w:right="102" w:firstLine="360"/>
        <w:jc w:val="left"/>
      </w:pPr>
      <w:r>
        <w:rPr>
          <w:rFonts w:ascii="Times New Roman" w:hAnsi="Times New Roman" w:cs="Times New Roman" w:eastAsia="Times New Roman" w:hint="default"/>
          <w:spacing w:val="-2"/>
        </w:rPr>
        <w:t>1</w:t>
      </w:r>
      <w:r>
        <w:rPr>
          <w:spacing w:val="-2"/>
        </w:rPr>
        <w:t>、康路，男，</w:t>
      </w:r>
      <w:r>
        <w:rPr>
          <w:rFonts w:ascii="Times New Roman" w:hAnsi="Times New Roman" w:cs="Times New Roman" w:eastAsia="Times New Roman" w:hint="default"/>
          <w:spacing w:val="-2"/>
        </w:rPr>
        <w:t>1957</w:t>
      </w:r>
      <w:r>
        <w:rPr>
          <w:spacing w:val="-2"/>
        </w:rPr>
        <w:t>年</w:t>
      </w:r>
      <w:r>
        <w:rPr>
          <w:rFonts w:ascii="Times New Roman" w:hAnsi="Times New Roman" w:cs="Times New Roman" w:eastAsia="Times New Roman" w:hint="default"/>
          <w:spacing w:val="-2"/>
        </w:rPr>
        <w:t>9</w:t>
      </w:r>
      <w:r>
        <w:rPr>
          <w:spacing w:val="-2"/>
        </w:rPr>
        <w:t>月出生，中国籍，无境外永久居留权，毕业于北京工业大学软件工程专业，大学本科学历，工程</w:t>
      </w:r>
      <w:r>
        <w:rPr/>
        <w:t> </w:t>
      </w:r>
      <w:r>
        <w:rPr>
          <w:spacing w:val="-1"/>
        </w:rPr>
        <w:t>师职称。</w:t>
      </w:r>
      <w:r>
        <w:rPr>
          <w:rFonts w:ascii="Times New Roman" w:hAnsi="Times New Roman" w:cs="Times New Roman" w:eastAsia="Times New Roman" w:hint="default"/>
          <w:spacing w:val="-1"/>
        </w:rPr>
        <w:t>1983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7</w:t>
      </w:r>
      <w:r>
        <w:rPr>
          <w:spacing w:val="-1"/>
        </w:rPr>
        <w:t>月，先后在中国银行总行电脑部、澳门分行电脑部、总行科技部工作；</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12</w:t>
      </w:r>
      <w:r>
        <w:rPr>
          <w:spacing w:val="-1"/>
        </w:rPr>
        <w:t>月，</w:t>
      </w:r>
      <w:r>
        <w:rPr>
          <w:spacing w:val="-57"/>
        </w:rPr>
        <w:t> </w:t>
      </w:r>
      <w:r>
        <w:rPr/>
        <w:t>在北京新晨世纪电脑产业有限公司任职；</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月，任北京迅通达科技发展有限公司监事；</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月至今， 历任北京新晨计算机技术有限公司、新晨科技董事、董事长、总经理，现任新晨科技董事长。</w:t>
      </w:r>
    </w:p>
    <w:p>
      <w:pPr>
        <w:pStyle w:val="BodyText"/>
        <w:spacing w:line="300" w:lineRule="auto" w:before="31"/>
        <w:ind w:right="188" w:firstLine="360"/>
        <w:jc w:val="both"/>
      </w:pPr>
      <w:r>
        <w:rPr>
          <w:rFonts w:ascii="Times New Roman" w:hAnsi="Times New Roman" w:cs="Times New Roman" w:eastAsia="Times New Roman" w:hint="default"/>
          <w:spacing w:val="-5"/>
        </w:rPr>
        <w:t>2</w:t>
      </w:r>
      <w:r>
        <w:rPr>
          <w:spacing w:val="-5"/>
        </w:rPr>
        <w:t>、李福华，男，</w:t>
      </w:r>
      <w:r>
        <w:rPr>
          <w:rFonts w:ascii="Times New Roman" w:hAnsi="Times New Roman" w:cs="Times New Roman" w:eastAsia="Times New Roman" w:hint="default"/>
          <w:spacing w:val="-5"/>
        </w:rPr>
        <w:t>1957</w:t>
      </w:r>
      <w:r>
        <w:rPr>
          <w:spacing w:val="-5"/>
        </w:rPr>
        <w:t>年</w:t>
      </w:r>
      <w:r>
        <w:rPr>
          <w:rFonts w:ascii="Times New Roman" w:hAnsi="Times New Roman" w:cs="Times New Roman" w:eastAsia="Times New Roman" w:hint="default"/>
          <w:spacing w:val="-5"/>
        </w:rPr>
        <w:t>4</w:t>
      </w:r>
      <w:r>
        <w:rPr>
          <w:spacing w:val="-5"/>
        </w:rPr>
        <w:t>月出生，中国籍，无境外永久居留权，毕业于北京工业大学软件工程专业，大学本科学历。</w:t>
      </w:r>
      <w:r>
        <w:rPr>
          <w:rFonts w:ascii="Times New Roman" w:hAnsi="Times New Roman" w:cs="Times New Roman" w:eastAsia="Times New Roman" w:hint="default"/>
          <w:spacing w:val="-5"/>
        </w:rPr>
        <w:t>1983</w:t>
      </w:r>
      <w:r>
        <w:rPr>
          <w:rFonts w:ascii="Times New Roman" w:hAnsi="Times New Roman" w:cs="Times New Roman" w:eastAsia="Times New Roman" w:hint="default"/>
          <w:spacing w:val="1"/>
        </w:rPr>
        <w:t> </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7</w:t>
      </w:r>
      <w:r>
        <w:rPr>
          <w:spacing w:val="-1"/>
        </w:rPr>
        <w:t>月，在中国银行总行科技部工作；</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12</w:t>
      </w:r>
      <w:r>
        <w:rPr>
          <w:spacing w:val="-1"/>
        </w:rPr>
        <w:t>月，在北京新晨世纪电脑产业有限公司任职；</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0"/>
        </w:rPr>
        <w:t> </w:t>
      </w:r>
      <w:r>
        <w:rPr/>
        <w:t>月至今，历任北京新晨计算机技术有限公司、新晨科技董事长、总经理，现任新晨科技董事。</w:t>
      </w:r>
    </w:p>
    <w:p>
      <w:pPr>
        <w:pStyle w:val="BodyText"/>
        <w:spacing w:line="300" w:lineRule="auto" w:before="31"/>
        <w:ind w:right="188" w:firstLine="360"/>
        <w:jc w:val="left"/>
      </w:pPr>
      <w:r>
        <w:rPr>
          <w:rFonts w:ascii="Times New Roman" w:hAnsi="Times New Roman" w:cs="Times New Roman" w:eastAsia="Times New Roman" w:hint="default"/>
          <w:spacing w:val="-5"/>
        </w:rPr>
        <w:t>3</w:t>
      </w:r>
      <w:r>
        <w:rPr>
          <w:spacing w:val="-5"/>
        </w:rPr>
        <w:t>、张燕生，男，</w:t>
      </w:r>
      <w:r>
        <w:rPr>
          <w:rFonts w:ascii="Times New Roman" w:hAnsi="Times New Roman" w:cs="Times New Roman" w:eastAsia="Times New Roman" w:hint="default"/>
          <w:spacing w:val="-5"/>
        </w:rPr>
        <w:t>1958</w:t>
      </w:r>
      <w:r>
        <w:rPr>
          <w:spacing w:val="-5"/>
        </w:rPr>
        <w:t>年</w:t>
      </w:r>
      <w:r>
        <w:rPr>
          <w:rFonts w:ascii="Times New Roman" w:hAnsi="Times New Roman" w:cs="Times New Roman" w:eastAsia="Times New Roman" w:hint="default"/>
          <w:spacing w:val="-5"/>
        </w:rPr>
        <w:t>2</w:t>
      </w:r>
      <w:r>
        <w:rPr>
          <w:spacing w:val="-5"/>
        </w:rPr>
        <w:t>月出生，中国籍，无境外永久居留权，毕业于北京工业大学软件工程专业，大学本科学历。</w:t>
      </w:r>
      <w:r>
        <w:rPr>
          <w:rFonts w:ascii="Times New Roman" w:hAnsi="Times New Roman" w:cs="Times New Roman" w:eastAsia="Times New Roman" w:hint="default"/>
          <w:spacing w:val="-5"/>
        </w:rPr>
        <w:t>1983</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7</w:t>
      </w:r>
      <w:r>
        <w:rPr/>
        <w:t>月，任职于中国对外贸易经济合作部计算中心；</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月，在北京新晨世纪电脑产业有限公司 任职；</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月至今，历任北京新晨计算机技术有限公司、新晨科技董事、副总经理，现任新晨科技董事、总经理。</w:t>
      </w:r>
    </w:p>
    <w:p>
      <w:pPr>
        <w:pStyle w:val="BodyText"/>
        <w:spacing w:line="240" w:lineRule="auto" w:before="13"/>
        <w:ind w:left="513" w:right="93"/>
        <w:jc w:val="left"/>
      </w:pPr>
      <w:r>
        <w:rPr>
          <w:rFonts w:ascii="Times New Roman" w:hAnsi="Times New Roman" w:cs="Times New Roman" w:eastAsia="Times New Roman" w:hint="default"/>
          <w:spacing w:val="-4"/>
        </w:rPr>
        <w:t>4</w:t>
      </w:r>
      <w:r>
        <w:rPr>
          <w:spacing w:val="-4"/>
        </w:rPr>
        <w:t>、杨汉杰，男，</w:t>
      </w:r>
      <w:r>
        <w:rPr>
          <w:rFonts w:ascii="Times New Roman" w:hAnsi="Times New Roman" w:cs="Times New Roman" w:eastAsia="Times New Roman" w:hint="default"/>
          <w:spacing w:val="-4"/>
        </w:rPr>
        <w:t>1974</w:t>
      </w:r>
      <w:r>
        <w:rPr>
          <w:spacing w:val="-4"/>
        </w:rPr>
        <w:t>年</w:t>
      </w:r>
      <w:r>
        <w:rPr>
          <w:rFonts w:ascii="Times New Roman" w:hAnsi="Times New Roman" w:cs="Times New Roman" w:eastAsia="Times New Roman" w:hint="default"/>
          <w:spacing w:val="-4"/>
        </w:rPr>
        <w:t>9</w:t>
      </w:r>
      <w:r>
        <w:rPr>
          <w:spacing w:val="-4"/>
        </w:rPr>
        <w:t>月出生，中国籍，无境外永久居留权，毕业于英国卡迪夫大学工商管理专业，硕士研究生学历。</w:t>
      </w:r>
    </w:p>
    <w:p>
      <w:pPr>
        <w:pStyle w:val="BodyText"/>
        <w:spacing w:line="309" w:lineRule="auto" w:before="63"/>
        <w:ind w:right="191"/>
        <w:jc w:val="both"/>
      </w:pPr>
      <w:r>
        <w:rPr>
          <w:rFonts w:ascii="Times New Roman" w:hAnsi="Times New Roman" w:cs="Times New Roman" w:eastAsia="Times New Roman" w:hint="default"/>
        </w:rPr>
        <w:t>1996</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11</w:t>
      </w:r>
      <w:r>
        <w:rPr/>
        <w:t>月，历任南京同创信息产业集团有限公司北京代表处销售代表、经销商部经理、大客户部经理；</w:t>
      </w:r>
      <w:r>
        <w:rPr>
          <w:rFonts w:ascii="Times New Roman" w:hAnsi="Times New Roman" w:cs="Times New Roman" w:eastAsia="Times New Roman" w:hint="default"/>
        </w:rPr>
        <w:t>1999 </w:t>
      </w:r>
      <w:r>
        <w:rPr>
          <w:spacing w:val="-2"/>
        </w:rPr>
        <w:t>年至今，历任北京新晨计算机技术有限公司、新晨科技市场部副总经理、金融贸易软件事业部总经理，现任新晨科技金融市</w:t>
      </w:r>
      <w:r>
        <w:rPr>
          <w:spacing w:val="-65"/>
        </w:rPr>
        <w:t> </w:t>
      </w:r>
      <w:r>
        <w:rPr>
          <w:spacing w:val="-65"/>
        </w:rPr>
      </w:r>
      <w:r>
        <w:rPr/>
        <w:t>场二部总经理、董事。</w:t>
      </w:r>
    </w:p>
    <w:p>
      <w:pPr>
        <w:pStyle w:val="BodyText"/>
        <w:spacing w:line="300" w:lineRule="auto" w:before="24"/>
        <w:ind w:right="195" w:firstLine="360"/>
        <w:jc w:val="both"/>
      </w:pPr>
      <w:r>
        <w:rPr>
          <w:rFonts w:ascii="Times New Roman" w:hAnsi="Times New Roman" w:cs="Times New Roman" w:eastAsia="Times New Roman" w:hint="default"/>
          <w:spacing w:val="-2"/>
        </w:rPr>
        <w:t>5</w:t>
      </w:r>
      <w:r>
        <w:rPr>
          <w:spacing w:val="-2"/>
        </w:rPr>
        <w:t>、高冠江，男，</w:t>
      </w:r>
      <w:r>
        <w:rPr>
          <w:rFonts w:ascii="Times New Roman" w:hAnsi="Times New Roman" w:cs="Times New Roman" w:eastAsia="Times New Roman" w:hint="default"/>
          <w:spacing w:val="-2"/>
        </w:rPr>
        <w:t>1952</w:t>
      </w:r>
      <w:r>
        <w:rPr>
          <w:spacing w:val="-2"/>
        </w:rPr>
        <w:t>年</w:t>
      </w:r>
      <w:r>
        <w:rPr>
          <w:rFonts w:ascii="Times New Roman" w:hAnsi="Times New Roman" w:cs="Times New Roman" w:eastAsia="Times New Roman" w:hint="default"/>
          <w:spacing w:val="-2"/>
        </w:rPr>
        <w:t>8</w:t>
      </w:r>
      <w:r>
        <w:rPr>
          <w:spacing w:val="-2"/>
        </w:rPr>
        <w:t>月出生，中国籍，无境外永久居留权，毕业于武汉大学经济与管理学院国际金融专业，博士研</w:t>
      </w:r>
      <w:r>
        <w:rPr/>
        <w:t> 究生学历，研究员。</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10</w:t>
      </w:r>
      <w:r>
        <w:rPr/>
        <w:t>月在国务院发展研究中心，先后任研究员、对外经济研究部副部长；</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10</w:t>
      </w:r>
      <w:r>
        <w:rPr/>
        <w:t>月 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4</w:t>
      </w:r>
      <w:r>
        <w:rPr/>
        <w:t>月，在中国建设银行，任委托代理部副总经理；</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月，先后在中国信达资产管理公司、宏源证 券股份有限公司、信达证券股份有限公司任职；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月至今，任新晨科技独立董事。</w:t>
      </w:r>
    </w:p>
    <w:p>
      <w:pPr>
        <w:pStyle w:val="BodyText"/>
        <w:spacing w:line="300" w:lineRule="auto" w:before="13"/>
        <w:ind w:right="111" w:firstLine="360"/>
        <w:jc w:val="left"/>
      </w:pPr>
      <w:r>
        <w:rPr>
          <w:rFonts w:ascii="Times New Roman" w:hAnsi="Times New Roman" w:cs="Times New Roman" w:eastAsia="Times New Roman" w:hint="default"/>
        </w:rPr>
        <w:t>6</w:t>
      </w:r>
      <w:r>
        <w:rPr/>
        <w:t>、李晓枫，男，</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2</w:t>
      </w:r>
      <w:r>
        <w:rPr/>
        <w:t>月出生，中国籍，无境外永久居留权，毕业于北京科技大学系统工程专业，博士研究生学历， 高级工程师（教授级）。</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6</w:t>
      </w:r>
      <w:r>
        <w:rPr/>
        <w:t>月在联想集团，先后担任工程师、经理、部门总经理；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spacing w:val="-2"/>
        </w:rPr>
        <w:t>月在中国人民银行金融信息管理中心，先后担任副主任、主任；</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月在中国人民银行科技司，任职副司</w:t>
      </w:r>
      <w:r>
        <w:rPr>
          <w:spacing w:val="-56"/>
        </w:rPr>
        <w:t> </w:t>
      </w:r>
      <w:r>
        <w:rPr>
          <w:spacing w:val="-56"/>
        </w:rPr>
      </w:r>
      <w:r>
        <w:rPr/>
        <w:t>长、巡视员；</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月在中国人民银行金融信息中心，任职主任；</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月在中国金融电子化 公司担任董事，在金融信息化研究所担任所长；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月退休。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月至今，任新晨科技独立董事。</w:t>
      </w:r>
    </w:p>
    <w:p>
      <w:pPr>
        <w:pStyle w:val="BodyText"/>
        <w:spacing w:line="300" w:lineRule="auto" w:before="13"/>
        <w:ind w:right="184" w:firstLine="360"/>
        <w:jc w:val="left"/>
      </w:pPr>
      <w:r>
        <w:rPr>
          <w:rFonts w:ascii="Times New Roman" w:hAnsi="Times New Roman" w:cs="Times New Roman" w:eastAsia="Times New Roman" w:hint="default"/>
          <w:spacing w:val="-2"/>
        </w:rPr>
        <w:t>7</w:t>
      </w:r>
      <w:r>
        <w:rPr>
          <w:spacing w:val="-2"/>
        </w:rPr>
        <w:t>、罗炜，男，</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4</w:t>
      </w:r>
      <w:r>
        <w:rPr>
          <w:spacing w:val="-2"/>
        </w:rPr>
        <w:t>月出生，中国籍，无境外永久居留权，毕业于美国匹兹堡大学会计学专业，博士研究生学历，副</w:t>
      </w:r>
      <w:r>
        <w:rPr>
          <w:spacing w:val="-10"/>
        </w:rPr>
        <w:t> </w:t>
      </w:r>
      <w:r>
        <w:rPr/>
        <w:t>教授。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月任中南财经大学会计学院助教；</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月至今历任北京大学光华管理学院会计系助理教授、</w:t>
      </w:r>
    </w:p>
    <w:p>
      <w:pPr>
        <w:spacing w:after="0" w:line="30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pPr>
      <w:r>
        <w:rPr/>
        <w:t>副教授；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月至今，任新晨科技独立董事。</w:t>
      </w:r>
    </w:p>
    <w:p>
      <w:pPr>
        <w:pStyle w:val="BodyText"/>
        <w:spacing w:line="240" w:lineRule="auto" w:before="63"/>
        <w:ind w:left="513" w:right="93"/>
        <w:jc w:val="left"/>
      </w:pPr>
      <w:r>
        <w:rPr/>
        <w:t>（二）公司监事主要工作经历</w:t>
      </w:r>
    </w:p>
    <w:p>
      <w:pPr>
        <w:pStyle w:val="BodyText"/>
        <w:spacing w:line="300" w:lineRule="auto" w:before="76"/>
        <w:ind w:right="94" w:firstLine="360"/>
        <w:jc w:val="left"/>
      </w:pPr>
      <w:r>
        <w:rPr>
          <w:rFonts w:ascii="Times New Roman" w:hAnsi="Times New Roman" w:cs="Times New Roman" w:eastAsia="Times New Roman" w:hint="default"/>
        </w:rPr>
        <w:t>1</w:t>
      </w:r>
      <w:r>
        <w:rPr/>
        <w:t>、邹琳，女，</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9</w:t>
      </w:r>
      <w:r>
        <w:rPr/>
        <w:t>月出生，中国籍，无境外永久居留权，毕业于中央民族大学管理学院工商管理专业，硕士学位， </w:t>
      </w:r>
      <w:r>
        <w:rPr>
          <w:spacing w:val="-2"/>
        </w:rPr>
        <w:t>研究生学历。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7</w:t>
      </w:r>
      <w:r>
        <w:rPr>
          <w:spacing w:val="-2"/>
        </w:rPr>
        <w:t>月，北京大学高级经理人培训中心，任职教务主任；</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月，蒙代尔国</w:t>
      </w:r>
      <w:r>
        <w:rPr>
          <w:spacing w:val="-51"/>
        </w:rPr>
        <w:t> </w:t>
      </w:r>
      <w:r>
        <w:rPr>
          <w:spacing w:val="-51"/>
        </w:rPr>
      </w:r>
      <w:r>
        <w:rPr>
          <w:spacing w:val="-2"/>
        </w:rPr>
        <w:t>际企业家大学，任职教学管理中心主任；</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月，北京联合智业认证集团，担任培训中心主任；</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6"/>
        </w:rPr>
        <w:t> </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月，北京恒勤咨询有限公司培训部门负责人；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月至今，任新晨科技招聘及培训专员；</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月至今， 任新晨科技监事、监事会主席。</w:t>
      </w:r>
    </w:p>
    <w:p>
      <w:pPr>
        <w:pStyle w:val="BodyText"/>
        <w:spacing w:line="300" w:lineRule="auto" w:before="31"/>
        <w:ind w:right="103" w:firstLine="360"/>
        <w:jc w:val="left"/>
      </w:pPr>
      <w:r>
        <w:rPr>
          <w:rFonts w:ascii="Times New Roman" w:hAnsi="Times New Roman" w:cs="Times New Roman" w:eastAsia="Times New Roman" w:hint="default"/>
          <w:spacing w:val="-4"/>
        </w:rPr>
        <w:t>2</w:t>
      </w:r>
      <w:r>
        <w:rPr>
          <w:spacing w:val="-4"/>
        </w:rPr>
        <w:t>、唐若梅，女，</w:t>
      </w:r>
      <w:r>
        <w:rPr>
          <w:rFonts w:ascii="Times New Roman" w:hAnsi="Times New Roman" w:cs="Times New Roman" w:eastAsia="Times New Roman" w:hint="default"/>
          <w:spacing w:val="-4"/>
        </w:rPr>
        <w:t>1954</w:t>
      </w:r>
      <w:r>
        <w:rPr>
          <w:spacing w:val="-4"/>
        </w:rPr>
        <w:t>年</w:t>
      </w:r>
      <w:r>
        <w:rPr>
          <w:rFonts w:ascii="Times New Roman" w:hAnsi="Times New Roman" w:cs="Times New Roman" w:eastAsia="Times New Roman" w:hint="default"/>
          <w:spacing w:val="-4"/>
        </w:rPr>
        <w:t>3</w:t>
      </w:r>
      <w:r>
        <w:rPr>
          <w:spacing w:val="-4"/>
        </w:rPr>
        <w:t>月出生，中国籍，无境外永久居留权，毕业于北京广播电视大学工业会计专业，大学专科学历，</w:t>
      </w:r>
      <w:r>
        <w:rPr/>
        <w:t> 会计师职称。</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12</w:t>
      </w:r>
      <w:r>
        <w:rPr/>
        <w:t>月，先后在北京变压器厂、北京岭南饭店、北京新晨世纪电脑产业有限公司从事统计、会 </w:t>
      </w:r>
      <w:r>
        <w:rPr>
          <w:spacing w:val="-4"/>
        </w:rPr>
        <w:t>计工作；</w:t>
      </w:r>
      <w:r>
        <w:rPr>
          <w:rFonts w:ascii="Times New Roman" w:hAnsi="Times New Roman" w:cs="Times New Roman" w:eastAsia="Times New Roman" w:hint="default"/>
          <w:spacing w:val="-4"/>
        </w:rPr>
        <w:t>1998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2</w:t>
      </w:r>
      <w:r>
        <w:rPr>
          <w:spacing w:val="-4"/>
        </w:rPr>
        <w:t>月，历任北京新晨计算机技术有限公司、新晨科技财务总监、董事、监事，</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2</w:t>
      </w:r>
      <w:r>
        <w:rPr>
          <w:spacing w:val="-4"/>
        </w:rPr>
        <w:t>月退休。</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w:t>
      </w:r>
      <w:r>
        <w:rPr>
          <w:rFonts w:ascii="Times New Roman" w:hAnsi="Times New Roman" w:cs="Times New Roman" w:eastAsia="Times New Roman" w:hint="default"/>
        </w:rPr>
        <w:t>6</w:t>
      </w:r>
      <w:r>
        <w:rPr/>
        <w:t>月至今，任新晨科技监事。</w:t>
      </w:r>
    </w:p>
    <w:p>
      <w:pPr>
        <w:pStyle w:val="BodyText"/>
        <w:spacing w:line="240" w:lineRule="auto" w:before="13"/>
        <w:ind w:left="513" w:right="93"/>
        <w:jc w:val="left"/>
      </w:pPr>
      <w:r>
        <w:rPr>
          <w:rFonts w:ascii="Times New Roman" w:hAnsi="Times New Roman" w:cs="Times New Roman" w:eastAsia="Times New Roman" w:hint="default"/>
        </w:rPr>
        <w:t>3</w:t>
      </w:r>
      <w:r>
        <w:rPr/>
        <w:t>、纪昕，男，</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5</w:t>
      </w:r>
      <w:r>
        <w:rPr/>
        <w:t>月出生，中国籍，无境外永久居留权，毕业于西安电子科技大学，大学专科学历。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p>
    <w:p>
      <w:pPr>
        <w:pStyle w:val="BodyText"/>
        <w:spacing w:line="300" w:lineRule="auto" w:before="63"/>
        <w:ind w:right="93"/>
        <w:jc w:val="left"/>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月，任职于新晨科技股份有限公司系统集成事业部，担任网络工程师；</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月至今，任新晨科技政府企业市场二</w:t>
      </w:r>
      <w:r>
        <w:rPr>
          <w:spacing w:val="-57"/>
        </w:rPr>
        <w:t> </w:t>
      </w:r>
      <w:r>
        <w:rPr>
          <w:spacing w:val="-57"/>
        </w:rPr>
      </w:r>
      <w:r>
        <w:rPr/>
        <w:t>部高级销售经理；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月至今，任新晨科技监事。</w:t>
      </w:r>
    </w:p>
    <w:p>
      <w:pPr>
        <w:pStyle w:val="BodyText"/>
        <w:spacing w:line="240" w:lineRule="auto" w:before="13"/>
        <w:ind w:left="513" w:right="93"/>
        <w:jc w:val="left"/>
      </w:pPr>
      <w:r>
        <w:rPr/>
        <w:t>（三）公司高级管理人员主要工作经历</w:t>
      </w:r>
    </w:p>
    <w:p>
      <w:pPr>
        <w:pStyle w:val="BodyText"/>
        <w:spacing w:line="240" w:lineRule="auto" w:before="76"/>
        <w:ind w:left="513" w:right="93"/>
        <w:jc w:val="left"/>
      </w:pPr>
      <w:r>
        <w:rPr>
          <w:rFonts w:ascii="Times New Roman" w:hAnsi="Times New Roman" w:cs="Times New Roman" w:eastAsia="Times New Roman" w:hint="default"/>
        </w:rPr>
        <w:t>1</w:t>
      </w:r>
      <w:r>
        <w:rPr/>
        <w:t>、张燕生，现任本公司董事、总经理，请参见董事部分简介。</w:t>
      </w:r>
    </w:p>
    <w:p>
      <w:pPr>
        <w:pStyle w:val="BodyText"/>
        <w:spacing w:line="300" w:lineRule="auto" w:before="63"/>
        <w:ind w:right="198" w:firstLine="360"/>
        <w:jc w:val="both"/>
      </w:pPr>
      <w:r>
        <w:rPr>
          <w:rFonts w:ascii="Times New Roman" w:hAnsi="Times New Roman" w:cs="Times New Roman" w:eastAsia="Times New Roman" w:hint="default"/>
        </w:rPr>
        <w:t>2</w:t>
      </w:r>
      <w:r>
        <w:rPr/>
        <w:t>、张大新，女，</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9</w:t>
      </w:r>
      <w:r>
        <w:rPr/>
        <w:t>月出生，中国籍，无境外永久居留权，硕士学位。</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月，先后在中国电力企 业联合会、深圳市英业电讯有限公司、深圳市中银泰实业有限公司任职；</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月至今，历任北京新晨计算机技术有限公 司、新晨科技投资发展部副总经理、董事会秘书、公司监事，现任新晨科技副总经理、董事会秘书。</w:t>
      </w:r>
    </w:p>
    <w:p>
      <w:pPr>
        <w:pStyle w:val="BodyText"/>
        <w:spacing w:line="300" w:lineRule="auto" w:before="31"/>
        <w:ind w:right="111" w:firstLine="360"/>
        <w:jc w:val="left"/>
      </w:pPr>
      <w:r>
        <w:rPr>
          <w:rFonts w:ascii="Times New Roman" w:hAnsi="Times New Roman" w:cs="Times New Roman" w:eastAsia="Times New Roman" w:hint="default"/>
        </w:rPr>
        <w:t>3</w:t>
      </w:r>
      <w:r>
        <w:rPr/>
        <w:t>、余克俭，女，</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3</w:t>
      </w:r>
      <w:r>
        <w:rPr/>
        <w:t>月出生，中国籍，无境外永久居留权，毕业于中国人民大学金融学专业，硕士学位，工程师、 会计师职称，注册会计师资格。</w:t>
      </w:r>
      <w:r>
        <w:rPr>
          <w:rFonts w:ascii="Times New Roman" w:hAnsi="Times New Roman" w:cs="Times New Roman" w:eastAsia="Times New Roman" w:hint="default"/>
        </w:rPr>
        <w:t>1987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10</w:t>
      </w:r>
      <w:r>
        <w:rPr/>
        <w:t>月，在对外贸易经济合作部计算中心任职；</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月，在 中国国际信托投资公司信息中心任职；</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至今，历任新晨科技财务经理、财务总监，现任新晨科技财务总监。</w:t>
      </w:r>
    </w:p>
    <w:p>
      <w:pPr>
        <w:pStyle w:val="BodyText"/>
        <w:spacing w:line="240" w:lineRule="auto" w:before="53"/>
        <w:ind w:right="93"/>
        <w:jc w:val="left"/>
      </w:pPr>
      <w:r>
        <w:rPr/>
        <w:t>在股东单位任职情况</w:t>
      </w:r>
    </w:p>
    <w:p>
      <w:pPr>
        <w:pStyle w:val="BodyText"/>
        <w:spacing w:line="340" w:lineRule="auto" w:before="115"/>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2"/>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08"/>
        <w:gridCol w:w="3262"/>
        <w:gridCol w:w="1133"/>
        <w:gridCol w:w="1560"/>
        <w:gridCol w:w="1561"/>
        <w:gridCol w:w="1346"/>
      </w:tblGrid>
      <w:tr>
        <w:trPr>
          <w:trHeight w:val="715"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08"/>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北京金世通投资有限公司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上海新晨信息集成系统有限公司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江苏新晨信息科技发展有限公司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北京金世通投资有限公司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上海点逸网络科技有限公司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天津时代怡诺科技股份有限公司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北京金世通投资有限公司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上海新晨信息集成系统有限公司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杨汉杰</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广州新晨信息系统工程有限公司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高冠江</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甘肃酒钢集团宏兴钢铁股份有限公司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高冠江</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中储发展股份有限公司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北京数字认证股份有限公司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08"/>
        <w:gridCol w:w="3262"/>
        <w:gridCol w:w="1133"/>
        <w:gridCol w:w="1560"/>
        <w:gridCol w:w="1561"/>
        <w:gridCol w:w="1346"/>
      </w:tblGrid>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北京汇冠新技术股份有限公司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华油惠博普科技股份有限公司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北京新晨科技发展有限公司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江苏新晨信息科技发展有限公司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上海新晨信息集成系统有限公司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武汉新晨信息产业有限公司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广州新晨信息系统工程有限公司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上海点逸网络科技有限公司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江苏点逸网络科技有限公司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0"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在其他 单位任 职情况 的说明</w:t>
            </w:r>
          </w:p>
        </w:tc>
        <w:tc>
          <w:tcPr>
            <w:tcW w:w="88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53"/>
        <w:jc w:val="left"/>
      </w:pPr>
      <w:r>
        <w:rPr/>
        <w:t>公司现任及报告期内离任董事、监事和高级管理人员近三年证券监管机构处罚的情况</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董事、监事、高级管理人员报酬的决策程序、确定依据、实际支付情况</w:t>
      </w:r>
    </w:p>
    <w:p>
      <w:pPr>
        <w:pStyle w:val="BodyText"/>
        <w:spacing w:line="240" w:lineRule="auto" w:before="115"/>
        <w:ind w:left="513" w:right="153"/>
        <w:jc w:val="left"/>
      </w:pPr>
      <w:r>
        <w:rPr/>
        <w:t>（一）董事、监事、高级管理人员报酬的决策依据</w:t>
      </w:r>
    </w:p>
    <w:p>
      <w:pPr>
        <w:spacing w:line="240" w:lineRule="auto" w:before="3"/>
        <w:rPr>
          <w:rFonts w:ascii="宋体" w:hAnsi="宋体" w:cs="宋体" w:eastAsia="宋体" w:hint="default"/>
          <w:sz w:val="15"/>
          <w:szCs w:val="15"/>
        </w:rPr>
      </w:pPr>
    </w:p>
    <w:p>
      <w:pPr>
        <w:pStyle w:val="BodyText"/>
        <w:spacing w:line="316" w:lineRule="auto"/>
        <w:ind w:right="150" w:firstLine="360"/>
        <w:jc w:val="both"/>
      </w:pPr>
      <w:r>
        <w:rPr>
          <w:spacing w:val="-2"/>
        </w:rPr>
        <w:t>公司董事会下设薪酬与考核委员会，负责制定、审查公司董事及高级管理人员的薪酬政策与方案。薪酬与考核委员会提</w:t>
      </w:r>
      <w:r>
        <w:rPr/>
        <w:t> </w:t>
      </w:r>
      <w:r>
        <w:rPr>
          <w:spacing w:val="-2"/>
        </w:rPr>
        <w:t>出的公司董事的薪酬计划，须报经董事会同意后，提交股东大会审议通过后方可实施；公司高级管理人员的薪酬分配方案须</w:t>
      </w:r>
      <w:r>
        <w:rPr>
          <w:spacing w:val="-63"/>
        </w:rPr>
        <w:t> </w:t>
      </w:r>
      <w:r>
        <w:rPr>
          <w:spacing w:val="-63"/>
        </w:rPr>
      </w:r>
      <w:r>
        <w:rPr>
          <w:spacing w:val="-2"/>
        </w:rPr>
        <w:t>报董事会批准，决策程序符合《董事会议事规则》和《董事会薪酬与考核委员会工作细则》等相关规定。公司监事的薪酬方</w:t>
      </w:r>
      <w:r>
        <w:rPr>
          <w:spacing w:val="-67"/>
        </w:rPr>
        <w:t> </w:t>
      </w:r>
      <w:r>
        <w:rPr>
          <w:spacing w:val="-67"/>
        </w:rPr>
      </w:r>
      <w:r>
        <w:rPr/>
        <w:t>案由监事会提出拟订，经股东大会审议批准后实施。</w:t>
      </w:r>
    </w:p>
    <w:p>
      <w:pPr>
        <w:pStyle w:val="BodyText"/>
        <w:spacing w:line="441" w:lineRule="auto" w:before="139"/>
        <w:ind w:left="513" w:right="1493"/>
        <w:jc w:val="left"/>
      </w:pPr>
      <w:r>
        <w:rPr/>
        <w:t>（二）董事、监事、高级管理人员报酬的确定依据 依据公司盈利水平及董事、监事、高级管理人员的职责履行情况并结合年度绩效完成情况综合确定。</w:t>
      </w:r>
    </w:p>
    <w:p>
      <w:pPr>
        <w:pStyle w:val="BodyText"/>
        <w:spacing w:line="360" w:lineRule="auto" w:before="43"/>
        <w:ind w:left="513" w:right="5453"/>
        <w:jc w:val="left"/>
      </w:pPr>
      <w:r>
        <w:rPr/>
        <w:t>（三）董事、监事、高级管理人员报酬按月发放。 公司报告期内董事、监事和高级管理人员报酬情况</w:t>
      </w:r>
    </w:p>
    <w:p>
      <w:pPr>
        <w:spacing w:line="240" w:lineRule="auto" w:before="8"/>
        <w:rPr>
          <w:rFonts w:ascii="宋体" w:hAnsi="宋体" w:cs="宋体" w:eastAsia="宋体" w:hint="default"/>
          <w:sz w:val="25"/>
          <w:szCs w:val="25"/>
        </w:rPr>
      </w:pPr>
    </w:p>
    <w:p>
      <w:pPr>
        <w:pStyle w:val="BodyText"/>
        <w:spacing w:line="240" w:lineRule="auto" w:before="44"/>
        <w:ind w:right="153"/>
        <w:jc w:val="left"/>
      </w:pPr>
      <w:r>
        <w:rPr/>
        <w:t>公司报告期内董事、监事和高级管理人员报酬情况</w:t>
      </w:r>
    </w:p>
    <w:p>
      <w:pPr>
        <w:pStyle w:val="BodyText"/>
        <w:spacing w:line="240" w:lineRule="auto" w:before="115"/>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2744"/>
        <w:gridCol w:w="992"/>
        <w:gridCol w:w="852"/>
        <w:gridCol w:w="883"/>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2744"/>
        <w:gridCol w:w="992"/>
        <w:gridCol w:w="852"/>
        <w:gridCol w:w="883"/>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杨汉杰</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高冠江</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65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李晓枫</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邹琳</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纪昕</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唐若梅</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张大新</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周嘉嘉</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何育松</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李亮</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汤金资</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207.45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980"/>
          <w:cols w:num="2" w:equalWidth="0">
            <w:col w:w="4653" w:space="426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1121"/>
        <w:gridCol w:w="711"/>
        <w:gridCol w:w="708"/>
        <w:gridCol w:w="850"/>
        <w:gridCol w:w="710"/>
        <w:gridCol w:w="850"/>
        <w:gridCol w:w="708"/>
        <w:gridCol w:w="1136"/>
        <w:gridCol w:w="1037"/>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80"/>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59" w:firstLine="3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3"/>
                <w:sz w:val="18"/>
                <w:szCs w:val="18"/>
              </w:rPr>
              <w:t>格（元</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9"/>
              <w:jc w:val="left"/>
              <w:rPr>
                <w:rFonts w:ascii="宋体" w:hAnsi="宋体" w:cs="宋体" w:eastAsia="宋体" w:hint="default"/>
                <w:sz w:val="18"/>
                <w:szCs w:val="18"/>
              </w:rPr>
            </w:pPr>
            <w:r>
              <w:rPr>
                <w:rFonts w:ascii="宋体" w:hAnsi="宋体" w:cs="宋体" w:eastAsia="宋体" w:hint="default"/>
                <w:sz w:val="18"/>
                <w:szCs w:val="18"/>
              </w:rPr>
              <w:t>报告期 末市价</w:t>
            </w:r>
          </w:p>
          <w:p>
            <w:pPr>
              <w:pStyle w:val="TableParagraph"/>
              <w:spacing w:line="240" w:lineRule="auto" w:before="19"/>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240" w:lineRule="auto" w:before="63"/>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0"/>
                <w:sz w:val="18"/>
                <w:szCs w:val="18"/>
              </w:rPr>
              <w:t> </w:t>
            </w: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 w:right="5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本期已 解锁股 份数量</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2" w:right="111"/>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0"/>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19"/>
              <w:ind w:left="129"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杨汉杰</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28.78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23.29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张大新</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3"/>
                <w:sz w:val="18"/>
                <w:szCs w:val="18"/>
              </w:rPr>
              <w:t>副总经理、董</w:t>
            </w:r>
            <w:r>
              <w:rPr>
                <w:rFonts w:ascii="宋体" w:hAnsi="宋体" w:cs="宋体" w:eastAsia="宋体" w:hint="default"/>
                <w:sz w:val="18"/>
                <w:szCs w:val="18"/>
              </w:rPr>
              <w:t> 事会秘书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28.78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23.29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28.78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23.29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1,181</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7"/>
        <w:gridCol w:w="4792"/>
      </w:tblGrid>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978</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1,181</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925</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1,181</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firstLine="360"/>
        <w:jc w:val="both"/>
      </w:pPr>
      <w:r>
        <w:rPr>
          <w:spacing w:val="-2"/>
        </w:rPr>
        <w:t>公司员工薪酬政策本着体现与公司收益分享、风险共担的价值理念；体现激励性、公平性和竞争性的原则，意在促进员</w:t>
      </w:r>
      <w:r>
        <w:rPr/>
        <w:t> </w:t>
      </w:r>
      <w:r>
        <w:rPr>
          <w:spacing w:val="-2"/>
        </w:rPr>
        <w:t>工价值观念的凝合，促进公司稳健地发展。通过建立以岗位价值为基础的、结合行业市场薪酬水平的，科学系统化的薪酬管</w:t>
      </w:r>
      <w:r>
        <w:rPr>
          <w:spacing w:val="-64"/>
        </w:rPr>
        <w:t> </w:t>
      </w:r>
      <w:r>
        <w:rPr>
          <w:spacing w:val="-64"/>
        </w:rPr>
      </w:r>
      <w:r>
        <w:rPr/>
        <w:t>理体系，以更好地保留和激励人才，推进公司发展战略的实现。</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52" w:firstLine="360"/>
        <w:jc w:val="both"/>
      </w:pPr>
      <w:r>
        <w:rPr/>
        <w:t>（</w:t>
      </w:r>
      <w:r>
        <w:rPr>
          <w:rFonts w:ascii="Times New Roman" w:hAnsi="Times New Roman" w:cs="Times New Roman" w:eastAsia="Times New Roman" w:hint="default"/>
        </w:rPr>
        <w:t>1</w:t>
      </w:r>
      <w:r>
        <w:rPr/>
        <w:t>）依据公司中期战略目标、</w:t>
      </w:r>
      <w:r>
        <w:rPr>
          <w:rFonts w:ascii="Times New Roman" w:hAnsi="Times New Roman" w:cs="Times New Roman" w:eastAsia="Times New Roman" w:hint="default"/>
        </w:rPr>
        <w:t>2018</w:t>
      </w:r>
      <w:r>
        <w:rPr/>
        <w:t>年公司年度经营目标、重点项目与各层级员工实际培训需求相结合，制定符合公司 阶段性发展要求的《年度培训计划》，报公司总经理审批后执行；</w:t>
      </w:r>
    </w:p>
    <w:p>
      <w:pPr>
        <w:pStyle w:val="BodyText"/>
        <w:spacing w:line="300" w:lineRule="auto" w:before="70"/>
        <w:ind w:right="151"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年贯彻</w:t>
      </w:r>
      <w:r>
        <w:rPr>
          <w:rFonts w:ascii="Times New Roman" w:hAnsi="Times New Roman" w:cs="Times New Roman" w:eastAsia="Times New Roman" w:hint="default"/>
          <w:spacing w:val="-2"/>
        </w:rPr>
        <w:t>“</w:t>
      </w:r>
      <w:r>
        <w:rPr>
          <w:spacing w:val="-2"/>
        </w:rPr>
        <w:t>线上为主，线下为辅</w:t>
      </w:r>
      <w:r>
        <w:rPr>
          <w:rFonts w:ascii="Times New Roman" w:hAnsi="Times New Roman" w:cs="Times New Roman" w:eastAsia="Times New Roman" w:hint="default"/>
          <w:spacing w:val="-2"/>
        </w:rPr>
        <w:t>”</w:t>
      </w:r>
      <w:r>
        <w:rPr>
          <w:spacing w:val="-2"/>
        </w:rPr>
        <w:t>的培训方针，将核心培训内容全部转移到线上（</w:t>
      </w:r>
      <w:r>
        <w:rPr>
          <w:rFonts w:ascii="Times New Roman" w:hAnsi="Times New Roman" w:cs="Times New Roman" w:eastAsia="Times New Roman" w:hint="default"/>
          <w:spacing w:val="-2"/>
        </w:rPr>
        <w:t>E-Learning</w:t>
      </w:r>
      <w:r>
        <w:rPr>
          <w:spacing w:val="-2"/>
        </w:rPr>
        <w:t>）完成，线下则以内</w:t>
      </w:r>
      <w:r>
        <w:rPr/>
        <w:t> 部员工的分享课程为主；</w:t>
      </w:r>
    </w:p>
    <w:p>
      <w:pPr>
        <w:pStyle w:val="BodyText"/>
        <w:spacing w:line="300" w:lineRule="auto" w:before="72"/>
        <w:ind w:right="154" w:firstLine="360"/>
        <w:jc w:val="both"/>
      </w:pPr>
      <w:r>
        <w:rPr/>
        <w:t>（</w:t>
      </w:r>
      <w:r>
        <w:rPr>
          <w:rFonts w:ascii="Times New Roman" w:hAnsi="Times New Roman" w:cs="Times New Roman" w:eastAsia="Times New Roman" w:hint="default"/>
        </w:rPr>
        <w:t>3</w:t>
      </w:r>
      <w:r>
        <w:rPr/>
        <w:t>）厂商合作方面，组织华为认证、思科渠道、</w:t>
      </w:r>
      <w:r>
        <w:rPr>
          <w:rFonts w:ascii="Times New Roman" w:hAnsi="Times New Roman" w:cs="Times New Roman" w:eastAsia="Times New Roman" w:hint="default"/>
        </w:rPr>
        <w:t>IBM</w:t>
      </w:r>
      <w:r>
        <w:rPr/>
        <w:t>认证、</w:t>
      </w:r>
      <w:r>
        <w:rPr>
          <w:rFonts w:ascii="Times New Roman" w:hAnsi="Times New Roman" w:cs="Times New Roman" w:eastAsia="Times New Roman" w:hint="default"/>
        </w:rPr>
        <w:t>ORACLE</w:t>
      </w:r>
      <w:r>
        <w:rPr/>
        <w:t>合规、深信服全线产品等厂商培训，根据业务需 要，组织厂商相关产品培训；</w:t>
      </w:r>
    </w:p>
    <w:p>
      <w:pPr>
        <w:pStyle w:val="BodyText"/>
        <w:spacing w:line="300" w:lineRule="auto" w:before="72"/>
        <w:ind w:right="154" w:firstLine="36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年培训工作的核心内容：初步构建</w:t>
      </w:r>
      <w:r>
        <w:rPr>
          <w:rFonts w:ascii="Times New Roman" w:hAnsi="Times New Roman" w:cs="Times New Roman" w:eastAsia="Times New Roman" w:hint="default"/>
        </w:rPr>
        <w:t>“</w:t>
      </w:r>
      <w:r>
        <w:rPr/>
        <w:t>新晨干部培养训练营</w:t>
      </w:r>
      <w:r>
        <w:rPr>
          <w:rFonts w:ascii="Times New Roman" w:hAnsi="Times New Roman" w:cs="Times New Roman" w:eastAsia="Times New Roman" w:hint="default"/>
        </w:rPr>
        <w:t>”</w:t>
      </w:r>
      <w:r>
        <w:rPr/>
        <w:t>的运作模式，对公司及子公司的中层管理人员定期 进行封闭式培训，引入外部的沙盘推演、虚拟运营等先进的管理工具及课程，助力公司管理的全面提升。</w:t>
      </w:r>
    </w:p>
    <w:p>
      <w:pPr>
        <w:spacing w:line="240" w:lineRule="auto" w:before="7"/>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531"/>
        <w:jc w:val="center"/>
        <w:rPr>
          <w:b w:val="0"/>
          <w:bCs w:val="0"/>
        </w:rPr>
      </w:pPr>
      <w:bookmarkStart w:name="_TOC_250003"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3"/>
        <w:jc w:val="left"/>
      </w:pPr>
      <w:r>
        <w:rPr>
          <w:spacing w:val="-4"/>
        </w:rPr>
        <w:t>报告期内，公司严格按照《公司法》、《证券法》、《上市公司治理准则》、《深圳证券交易所创业板股票上市规则》、</w:t>
      </w:r>
    </w:p>
    <w:p>
      <w:pPr>
        <w:pStyle w:val="BodyText"/>
        <w:spacing w:line="316" w:lineRule="auto" w:before="76"/>
        <w:ind w:right="191"/>
        <w:jc w:val="both"/>
      </w:pPr>
      <w:r>
        <w:rPr>
          <w:spacing w:val="-2"/>
        </w:rPr>
        <w:t>《深圳证券交易所创业板上市公司规范运作指引》等相关法律、法规的要求，结合公司实际情况，不断完善公司的法人治理</w:t>
      </w:r>
      <w:r>
        <w:rPr>
          <w:spacing w:val="-64"/>
        </w:rPr>
        <w:t> </w:t>
      </w:r>
      <w:r>
        <w:rPr>
          <w:spacing w:val="-64"/>
        </w:rPr>
      </w:r>
      <w:r>
        <w:rPr>
          <w:spacing w:val="-2"/>
        </w:rPr>
        <w:t>结构，建立健全公司内部管理和控制制度，进一步规范公司运作，提高公司治理水平。截至报告期末，公司治理的实际状况</w:t>
      </w:r>
      <w:r>
        <w:rPr>
          <w:spacing w:val="-67"/>
        </w:rPr>
        <w:t> </w:t>
      </w:r>
      <w:r>
        <w:rPr>
          <w:spacing w:val="-67"/>
        </w:rPr>
      </w:r>
      <w:r>
        <w:rPr/>
        <w:t>符合《上市公司治理准则》和《深圳证券交易所创业板上市公司规范运作指引》的要求。</w:t>
      </w:r>
    </w:p>
    <w:p>
      <w:pPr>
        <w:pStyle w:val="BodyText"/>
        <w:spacing w:line="432" w:lineRule="exact" w:before="3"/>
        <w:ind w:left="513" w:right="93"/>
        <w:jc w:val="left"/>
      </w:pPr>
      <w:r>
        <w:rPr>
          <w:rFonts w:ascii="Times New Roman" w:hAnsi="Times New Roman" w:cs="Times New Roman" w:eastAsia="Times New Roman" w:hint="default"/>
        </w:rPr>
        <w:t>1</w:t>
      </w:r>
      <w:r>
        <w:rPr/>
        <w:t>、关于股东与股东大会 </w:t>
      </w:r>
      <w:r>
        <w:rPr>
          <w:spacing w:val="-2"/>
        </w:rPr>
        <w:t>公司股东按照《公司章程》、《上市公司股东大会规则》的规定按其所持股份享有平等权利，并承担相应义务。公司在</w:t>
      </w:r>
    </w:p>
    <w:p>
      <w:pPr>
        <w:pStyle w:val="BodyText"/>
        <w:spacing w:line="312" w:lineRule="auto" w:before="16"/>
        <w:ind w:right="190"/>
        <w:jc w:val="both"/>
      </w:pPr>
      <w:r>
        <w:rPr>
          <w:spacing w:val="-2"/>
        </w:rPr>
        <w:t>《公司章程》、《公司股东大会议事规则》框架下，规范股东大会的召集、召开，确保股东依法行使权利，保证了股东对公</w:t>
      </w:r>
      <w:r>
        <w:rPr>
          <w:spacing w:val="-65"/>
        </w:rPr>
        <w:t> </w:t>
      </w:r>
      <w:r>
        <w:rPr>
          <w:spacing w:val="-65"/>
        </w:rPr>
      </w:r>
      <w:r>
        <w:rPr>
          <w:spacing w:val="-2"/>
        </w:rPr>
        <w:t>司重大事项的知情权、参与权、表决权，相关程序及决议合法有效。公司治理结构能够保证所有股东，特别是中小股东享有</w:t>
      </w:r>
      <w:r>
        <w:rPr>
          <w:spacing w:val="-67"/>
        </w:rPr>
        <w:t> </w:t>
      </w:r>
      <w:r>
        <w:rPr>
          <w:spacing w:val="-67"/>
        </w:rPr>
      </w:r>
      <w:r>
        <w:rPr/>
        <w:t>平等地位。报告期内，公司共召开股东大会</w:t>
      </w:r>
      <w:r>
        <w:rPr>
          <w:rFonts w:ascii="Times New Roman" w:hAnsi="Times New Roman" w:cs="Times New Roman" w:eastAsia="Times New Roman" w:hint="default"/>
        </w:rPr>
        <w:t>5</w:t>
      </w:r>
      <w:r>
        <w:rPr/>
        <w:t>次，均由董事会召集召开，同时公司聘请了专业律师见证股东大会，确保会议</w:t>
      </w:r>
      <w:r>
        <w:rPr>
          <w:spacing w:val="-83"/>
        </w:rPr>
        <w:t> </w:t>
      </w:r>
      <w:r>
        <w:rPr>
          <w:spacing w:val="-83"/>
        </w:rPr>
      </w:r>
      <w:r>
        <w:rPr/>
        <w:t>召集、召开以及表决程序符合相关法律规定，从而保障全体股东的合法权益。</w:t>
      </w:r>
    </w:p>
    <w:p>
      <w:pPr>
        <w:pStyle w:val="BodyText"/>
        <w:spacing w:line="432" w:lineRule="exact" w:before="7"/>
        <w:ind w:left="513" w:right="93"/>
        <w:jc w:val="left"/>
      </w:pPr>
      <w:r>
        <w:rPr>
          <w:rFonts w:ascii="Times New Roman" w:hAnsi="Times New Roman" w:cs="Times New Roman" w:eastAsia="Times New Roman" w:hint="default"/>
        </w:rPr>
        <w:t>2</w:t>
      </w:r>
      <w:r>
        <w:rPr/>
        <w:t>、关于公司与控股股东 </w:t>
      </w:r>
      <w:r>
        <w:rPr>
          <w:spacing w:val="-2"/>
        </w:rPr>
        <w:t>公司控股股东积极维护上市公司利益，履行控股股东的相关承诺与职责，有效保障了中小股东的利益。公司具有独立的</w:t>
      </w:r>
    </w:p>
    <w:p>
      <w:pPr>
        <w:pStyle w:val="BodyText"/>
        <w:spacing w:line="316" w:lineRule="auto" w:before="15"/>
        <w:ind w:right="190"/>
        <w:jc w:val="both"/>
      </w:pPr>
      <w:r>
        <w:rPr>
          <w:spacing w:val="-2"/>
        </w:rPr>
        <w:t>业务经营能力及完备的运营体系，在业务、人员、资产、机构、财务上均独立于控股股东，公司董事会、监事会和管理层根</w:t>
      </w:r>
      <w:r>
        <w:rPr>
          <w:spacing w:val="-71"/>
        </w:rPr>
        <w:t> </w:t>
      </w:r>
      <w:r>
        <w:rPr>
          <w:spacing w:val="-71"/>
        </w:rPr>
      </w:r>
      <w:r>
        <w:rPr>
          <w:spacing w:val="-2"/>
        </w:rPr>
        <w:t>据其议事规则及公司制度独立运作。公司控股股东能严格规范自己的行为，通过股东大会依法行使其权利并承担义务，没有</w:t>
      </w:r>
      <w:r>
        <w:rPr>
          <w:spacing w:val="-63"/>
        </w:rPr>
        <w:t> </w:t>
      </w:r>
      <w:r>
        <w:rPr>
          <w:spacing w:val="-63"/>
        </w:rPr>
      </w:r>
      <w:r>
        <w:rPr/>
        <w:t>超越股东大会直接或间接干预公司经营活动。</w:t>
      </w:r>
    </w:p>
    <w:p>
      <w:pPr>
        <w:pStyle w:val="BodyText"/>
        <w:spacing w:line="432" w:lineRule="exact" w:before="3"/>
        <w:ind w:left="513" w:right="93"/>
        <w:jc w:val="left"/>
      </w:pPr>
      <w:r>
        <w:rPr>
          <w:rFonts w:ascii="Times New Roman" w:hAnsi="Times New Roman" w:cs="Times New Roman" w:eastAsia="Times New Roman" w:hint="default"/>
        </w:rPr>
        <w:t>3</w:t>
      </w:r>
      <w:r>
        <w:rPr/>
        <w:t>、关于董事和董事会 </w:t>
      </w:r>
      <w:r>
        <w:rPr>
          <w:spacing w:val="-4"/>
        </w:rPr>
        <w:t>董事会由</w:t>
      </w:r>
      <w:r>
        <w:rPr>
          <w:rFonts w:ascii="Times New Roman" w:hAnsi="Times New Roman" w:cs="Times New Roman" w:eastAsia="Times New Roman" w:hint="default"/>
          <w:spacing w:val="-4"/>
        </w:rPr>
        <w:t>7</w:t>
      </w:r>
      <w:r>
        <w:rPr>
          <w:spacing w:val="-4"/>
        </w:rPr>
        <w:t>名董事组成，其中独立董事</w:t>
      </w:r>
      <w:r>
        <w:rPr>
          <w:rFonts w:ascii="Times New Roman" w:hAnsi="Times New Roman" w:cs="Times New Roman" w:eastAsia="Times New Roman" w:hint="default"/>
          <w:spacing w:val="-4"/>
        </w:rPr>
        <w:t>3</w:t>
      </w:r>
      <w:r>
        <w:rPr>
          <w:spacing w:val="-4"/>
        </w:rPr>
        <w:t>名。董事会的人数、人员资格、人员构成均符合有关法律、法规以及《公司章程》</w:t>
      </w:r>
    </w:p>
    <w:p>
      <w:pPr>
        <w:pStyle w:val="BodyText"/>
        <w:spacing w:line="307" w:lineRule="auto" w:before="15"/>
        <w:ind w:right="93"/>
        <w:jc w:val="left"/>
      </w:pPr>
      <w:r>
        <w:rPr>
          <w:spacing w:val="-2"/>
        </w:rPr>
        <w:t>的要求。各位董事能够以认真负责的态度出席董事会和股东大会，依法行使职权，勤勉尽责地履行职责和义务，能够持续关</w:t>
      </w:r>
      <w:r>
        <w:rPr>
          <w:spacing w:val="-64"/>
        </w:rPr>
        <w:t> </w:t>
      </w:r>
      <w:r>
        <w:rPr>
          <w:spacing w:val="-64"/>
        </w:rPr>
      </w:r>
      <w:r>
        <w:rPr>
          <w:spacing w:val="-2"/>
        </w:rPr>
        <w:t>注公司经营状况。公司董事会的召开符合《公司法》、《公司章程》及《董事会议事规则》等的规定，履行了必要的法律程</w:t>
      </w:r>
      <w:r>
        <w:rPr>
          <w:spacing w:val="-70"/>
        </w:rPr>
        <w:t> </w:t>
      </w:r>
      <w:r>
        <w:rPr>
          <w:spacing w:val="-70"/>
        </w:rPr>
      </w:r>
      <w:r>
        <w:rPr>
          <w:spacing w:val="-5"/>
        </w:rPr>
        <w:t>序，会议召开及决议内容均合法有效，不存在董事会或高级管理人员违反《公司法》及其他规定行使职权的情形。公司于</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0"/>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日召开</w:t>
      </w:r>
      <w:r>
        <w:rPr>
          <w:rFonts w:ascii="Times New Roman" w:hAnsi="Times New Roman" w:cs="Times New Roman" w:eastAsia="Times New Roman" w:hint="default"/>
        </w:rPr>
        <w:t>2017</w:t>
      </w:r>
      <w:r>
        <w:rPr/>
        <w:t>年第三次临时股东大会，选举产生了新一届董事会（第九届董事会）。报告期内，公司董事会共召开了</w:t>
      </w:r>
      <w:r>
        <w:rPr>
          <w:spacing w:val="-86"/>
        </w:rPr>
        <w:t> </w:t>
      </w:r>
      <w:r>
        <w:rPr>
          <w:spacing w:val="-86"/>
        </w:rPr>
      </w:r>
      <w:r>
        <w:rPr>
          <w:rFonts w:ascii="Times New Roman" w:hAnsi="Times New Roman" w:cs="Times New Roman" w:eastAsia="Times New Roman" w:hint="default"/>
          <w:spacing w:val="-4"/>
        </w:rPr>
        <w:t>11</w:t>
      </w:r>
      <w:r>
        <w:rPr>
          <w:spacing w:val="-4"/>
        </w:rPr>
        <w:t>次董事会会议，其中第八届董事会会议</w:t>
      </w:r>
      <w:r>
        <w:rPr>
          <w:rFonts w:ascii="Times New Roman" w:hAnsi="Times New Roman" w:cs="Times New Roman" w:eastAsia="Times New Roman" w:hint="default"/>
          <w:spacing w:val="-4"/>
        </w:rPr>
        <w:t>7</w:t>
      </w:r>
      <w:r>
        <w:rPr>
          <w:spacing w:val="-4"/>
        </w:rPr>
        <w:t>次，第九届董事会会议</w:t>
      </w:r>
      <w:r>
        <w:rPr>
          <w:rFonts w:ascii="Times New Roman" w:hAnsi="Times New Roman" w:cs="Times New Roman" w:eastAsia="Times New Roman" w:hint="default"/>
          <w:spacing w:val="-4"/>
        </w:rPr>
        <w:t>4</w:t>
      </w:r>
      <w:r>
        <w:rPr>
          <w:spacing w:val="-4"/>
        </w:rPr>
        <w:t>次。公司董事会下设战略发展委员会、薪酬与考核委员会、</w:t>
      </w:r>
      <w:r>
        <w:rPr>
          <w:spacing w:val="-37"/>
        </w:rPr>
        <w:t> </w:t>
      </w:r>
      <w:r>
        <w:rPr>
          <w:spacing w:val="-37"/>
        </w:rPr>
      </w:r>
      <w:r>
        <w:rPr/>
        <w:t>提名委员会与审计委员会四个专门委员会。各委员会根据《公司章程》和各委员会工作细则的规定履行职权。</w:t>
      </w:r>
    </w:p>
    <w:p>
      <w:pPr>
        <w:pStyle w:val="BodyText"/>
        <w:spacing w:line="432" w:lineRule="exact" w:before="10"/>
        <w:ind w:left="513" w:right="183"/>
        <w:jc w:val="left"/>
      </w:pPr>
      <w:r>
        <w:rPr>
          <w:rFonts w:ascii="Times New Roman" w:hAnsi="Times New Roman" w:cs="Times New Roman" w:eastAsia="Times New Roman" w:hint="default"/>
        </w:rPr>
        <w:t>4</w:t>
      </w:r>
      <w:r>
        <w:rPr/>
        <w:t>、关于监事和监事会 监事会由</w:t>
      </w:r>
      <w:r>
        <w:rPr>
          <w:rFonts w:ascii="Times New Roman" w:hAnsi="Times New Roman" w:cs="Times New Roman" w:eastAsia="Times New Roman" w:hint="default"/>
        </w:rPr>
        <w:t>3</w:t>
      </w:r>
      <w:r>
        <w:rPr/>
        <w:t>名监事组成，其中职工代表监事</w:t>
      </w:r>
      <w:r>
        <w:rPr>
          <w:rFonts w:ascii="Times New Roman" w:hAnsi="Times New Roman" w:cs="Times New Roman" w:eastAsia="Times New Roman" w:hint="default"/>
        </w:rPr>
        <w:t>1</w:t>
      </w:r>
      <w:r>
        <w:rPr/>
        <w:t>名，设监事会主席</w:t>
      </w:r>
      <w:r>
        <w:rPr>
          <w:rFonts w:ascii="Times New Roman" w:hAnsi="Times New Roman" w:cs="Times New Roman" w:eastAsia="Times New Roman" w:hint="default"/>
        </w:rPr>
        <w:t>1</w:t>
      </w:r>
      <w:r>
        <w:rPr/>
        <w:t>名，监事会的人数、人员资格以及人员构成均符合相关</w:t>
      </w:r>
    </w:p>
    <w:p>
      <w:pPr>
        <w:pStyle w:val="BodyText"/>
        <w:spacing w:line="312" w:lineRule="auto" w:before="15"/>
        <w:ind w:right="93"/>
        <w:jc w:val="left"/>
      </w:pPr>
      <w:r>
        <w:rPr>
          <w:spacing w:val="-2"/>
        </w:rPr>
        <w:t>法律、法规和《公司章程》的要求。公司已建立起《监事会议事规则》等制度，监事会会议的召开、提案的审议和表决符合</w:t>
      </w:r>
      <w:r>
        <w:rPr>
          <w:spacing w:val="-65"/>
        </w:rPr>
        <w:t> </w:t>
      </w:r>
      <w:r>
        <w:rPr>
          <w:spacing w:val="-65"/>
        </w:rPr>
      </w:r>
      <w:r>
        <w:rPr>
          <w:spacing w:val="-2"/>
        </w:rPr>
        <w:t>程序，监事能够按照法律法规和相关制度的要求，认真履行自己的职责，对公司的重大经营事项、财务状况、董事和高级管</w:t>
      </w:r>
      <w:r>
        <w:rPr>
          <w:spacing w:val="-67"/>
        </w:rPr>
        <w:t> </w:t>
      </w:r>
      <w:r>
        <w:rPr>
          <w:spacing w:val="-67"/>
        </w:rPr>
      </w:r>
      <w:r>
        <w:rPr>
          <w:spacing w:val="-2"/>
        </w:rPr>
        <w:t>理人员履行职责情况进行监督，从而维护了公司及股东的合法权益。公司于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日召开</w:t>
      </w:r>
      <w:r>
        <w:rPr>
          <w:rFonts w:ascii="Times New Roman" w:hAnsi="Times New Roman" w:cs="Times New Roman" w:eastAsia="Times New Roman" w:hint="default"/>
          <w:spacing w:val="-2"/>
        </w:rPr>
        <w:t>2017</w:t>
      </w:r>
      <w:r>
        <w:rPr>
          <w:spacing w:val="-2"/>
        </w:rPr>
        <w:t>年第三次临时股东大会，</w:t>
      </w:r>
      <w:r>
        <w:rPr>
          <w:spacing w:val="-58"/>
        </w:rPr>
        <w:t> </w:t>
      </w:r>
      <w:r>
        <w:rPr>
          <w:spacing w:val="-58"/>
        </w:rPr>
      </w:r>
      <w:r>
        <w:rPr>
          <w:spacing w:val="-2"/>
        </w:rPr>
        <w:t>选举产生新一届非职工代表监事，与公司职工代表大会选举的职工代表监事共同组成第九届监事会。报告期内，公司监事会</w:t>
      </w:r>
      <w:r>
        <w:rPr>
          <w:spacing w:val="-65"/>
        </w:rPr>
        <w:t> </w:t>
      </w:r>
      <w:r>
        <w:rPr>
          <w:spacing w:val="-65"/>
        </w:rPr>
      </w:r>
      <w:r>
        <w:rPr/>
        <w:t>共召开了</w:t>
      </w:r>
      <w:r>
        <w:rPr>
          <w:rFonts w:ascii="Times New Roman" w:hAnsi="Times New Roman" w:cs="Times New Roman" w:eastAsia="Times New Roman" w:hint="default"/>
        </w:rPr>
        <w:t>9</w:t>
      </w:r>
      <w:r>
        <w:rPr/>
        <w:t>次监事会会议，其中第八届监事会会议</w:t>
      </w:r>
      <w:r>
        <w:rPr>
          <w:rFonts w:ascii="Times New Roman" w:hAnsi="Times New Roman" w:cs="Times New Roman" w:eastAsia="Times New Roman" w:hint="default"/>
        </w:rPr>
        <w:t>6</w:t>
      </w:r>
      <w:r>
        <w:rPr/>
        <w:t>次，第九届监事会会议</w:t>
      </w:r>
      <w:r>
        <w:rPr>
          <w:rFonts w:ascii="Times New Roman" w:hAnsi="Times New Roman" w:cs="Times New Roman" w:eastAsia="Times New Roman" w:hint="default"/>
        </w:rPr>
        <w:t>3</w:t>
      </w:r>
      <w:r>
        <w:rPr/>
        <w:t>次。会议的召集召开程序符合法律法规、《公司</w:t>
      </w:r>
      <w:r>
        <w:rPr>
          <w:spacing w:val="-87"/>
        </w:rPr>
        <w:t> </w:t>
      </w:r>
      <w:r>
        <w:rPr/>
        <w:t>章程》及《监事会议事规则》的相关规定。</w:t>
      </w:r>
    </w:p>
    <w:p>
      <w:pPr>
        <w:pStyle w:val="BodyText"/>
        <w:spacing w:line="432" w:lineRule="exact" w:before="7"/>
        <w:ind w:left="513" w:right="93"/>
        <w:jc w:val="left"/>
      </w:pPr>
      <w:r>
        <w:rPr>
          <w:rFonts w:ascii="Times New Roman" w:hAnsi="Times New Roman" w:cs="Times New Roman" w:eastAsia="Times New Roman" w:hint="default"/>
        </w:rPr>
        <w:t>5</w:t>
      </w:r>
      <w:r>
        <w:rPr/>
        <w:t>、关于信息披露与透明度 公司已制定《信息披露管理制度》、《董事会秘书工作制度》、《重大信息内部报告制度》、《投资者关系管理制度》</w:t>
      </w:r>
    </w:p>
    <w:p>
      <w:pPr>
        <w:pStyle w:val="BodyText"/>
        <w:spacing w:line="240" w:lineRule="auto" w:before="15"/>
        <w:ind w:right="0"/>
        <w:jc w:val="both"/>
      </w:pPr>
      <w:r>
        <w:rPr>
          <w:spacing w:val="-4"/>
        </w:rPr>
        <w:t>等，指定董事会秘书和证券事务部负责公司的信息披露和投资者关系管理，接待股东的来访和咨询。公司严格按照有关法律、</w:t>
      </w:r>
    </w:p>
    <w:p>
      <w:pPr>
        <w:spacing w:after="0" w:line="24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法规和公司制度的要求，加强信息披露事务管理、履行信息披露义务，加强与投资者的信息沟通，公司指定《证券时报》、</w:t>
      </w:r>
    </w:p>
    <w:p>
      <w:pPr>
        <w:pStyle w:val="BodyText"/>
        <w:spacing w:line="300" w:lineRule="auto" w:before="77"/>
        <w:ind w:right="93"/>
        <w:jc w:val="left"/>
      </w:pPr>
      <w:r>
        <w:rPr/>
        <w:t>《上海证券报》和巨潮网（</w:t>
      </w:r>
      <w:hyperlink r:id="rId11">
        <w:r>
          <w:rPr>
            <w:rFonts w:ascii="Times New Roman" w:hAnsi="Times New Roman" w:cs="Times New Roman" w:eastAsia="Times New Roman" w:hint="default"/>
          </w:rPr>
          <w:t>www.cninfo.com.cn</w:t>
        </w:r>
      </w:hyperlink>
      <w:r>
        <w:rPr/>
        <w:t>）为公司信息披露的指定报纸和网站，真实、准确、及时、公平、完整地披</w:t>
      </w:r>
      <w:r>
        <w:rPr>
          <w:spacing w:val="-30"/>
        </w:rPr>
        <w:t> </w:t>
      </w:r>
      <w:r>
        <w:rPr>
          <w:spacing w:val="-30"/>
        </w:rPr>
      </w:r>
      <w:r>
        <w:rPr/>
        <w:t>露有关信息。</w:t>
      </w:r>
    </w:p>
    <w:p>
      <w:pPr>
        <w:pStyle w:val="BodyText"/>
        <w:spacing w:line="240" w:lineRule="auto" w:before="151"/>
        <w:ind w:right="93"/>
        <w:jc w:val="left"/>
      </w:pPr>
      <w:r>
        <w:rPr/>
        <w:t>公司治理的实际状况与中国证监会发布的有关上市公司治理的规范性文件是否存在重大差异</w:t>
      </w:r>
    </w:p>
    <w:p>
      <w:pPr>
        <w:pStyle w:val="BodyText"/>
        <w:spacing w:line="338" w:lineRule="auto" w:before="117"/>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9"/>
          <w:szCs w:val="19"/>
        </w:rPr>
      </w:pPr>
    </w:p>
    <w:p>
      <w:pPr>
        <w:pStyle w:val="Heading2"/>
        <w:spacing w:line="240" w:lineRule="auto"/>
        <w:ind w:right="93"/>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0" w:firstLine="360"/>
        <w:jc w:val="both"/>
      </w:pPr>
      <w:r>
        <w:rPr/>
        <w:t>公司严格按照《公司法》、《证券法》等有关法律、法规和《公司章程》的要求规范运作，与控股股东在业务、人员、 资产、机构、财务等方面完全独立，具有独立完整的业务及自主经营能力。</w:t>
      </w:r>
    </w:p>
    <w:p>
      <w:pPr>
        <w:pStyle w:val="BodyText"/>
        <w:spacing w:line="240" w:lineRule="auto" w:before="139"/>
        <w:ind w:left="513" w:right="93"/>
        <w:jc w:val="left"/>
      </w:pPr>
      <w:r>
        <w:rPr>
          <w:rFonts w:ascii="Times New Roman" w:hAnsi="Times New Roman" w:cs="Times New Roman" w:eastAsia="Times New Roman" w:hint="default"/>
        </w:rPr>
        <w:t>1</w:t>
      </w:r>
      <w:r>
        <w:rPr/>
        <w:t>、资产完整方面：公司具备与经营有关的业务体系及主要相关资产；</w:t>
      </w:r>
    </w:p>
    <w:p>
      <w:pPr>
        <w:spacing w:line="240" w:lineRule="auto" w:before="0"/>
        <w:rPr>
          <w:rFonts w:ascii="宋体" w:hAnsi="宋体" w:cs="宋体" w:eastAsia="宋体" w:hint="default"/>
          <w:sz w:val="14"/>
          <w:szCs w:val="14"/>
        </w:rPr>
      </w:pPr>
    </w:p>
    <w:p>
      <w:pPr>
        <w:pStyle w:val="BodyText"/>
        <w:spacing w:line="309" w:lineRule="auto"/>
        <w:ind w:right="191" w:firstLine="360"/>
        <w:jc w:val="both"/>
      </w:pPr>
      <w:r>
        <w:rPr>
          <w:rFonts w:ascii="Times New Roman" w:hAnsi="Times New Roman" w:cs="Times New Roman" w:eastAsia="Times New Roman" w:hint="default"/>
        </w:rPr>
        <w:t>2</w:t>
      </w:r>
      <w:r>
        <w:rPr/>
        <w:t>、人员独立方面：公司总经理、副总经理、财务负责人和董事会秘书等高级管理人员不在控股股东、实际控制人及其 </w:t>
      </w:r>
      <w:r>
        <w:rPr>
          <w:spacing w:val="-2"/>
        </w:rPr>
        <w:t>控制的其他企业中担任除董事、监事以外的其他职务，不在控股股东、实际控制人及其控制的其他企业领薪；公司的财务人</w:t>
      </w:r>
      <w:r>
        <w:rPr>
          <w:spacing w:val="-64"/>
        </w:rPr>
        <w:t> </w:t>
      </w:r>
      <w:r>
        <w:rPr>
          <w:spacing w:val="-64"/>
        </w:rPr>
      </w:r>
      <w:r>
        <w:rPr/>
        <w:t>员不在控股股东、实际控制人及其控制的其他企业中兼职；</w:t>
      </w:r>
    </w:p>
    <w:p>
      <w:pPr>
        <w:pStyle w:val="BodyText"/>
        <w:spacing w:line="300" w:lineRule="auto" w:before="144"/>
        <w:ind w:right="192" w:firstLine="360"/>
        <w:jc w:val="both"/>
      </w:pPr>
      <w:r>
        <w:rPr>
          <w:rFonts w:ascii="Times New Roman" w:hAnsi="Times New Roman" w:cs="Times New Roman" w:eastAsia="Times New Roman" w:hint="default"/>
        </w:rPr>
        <w:t>3</w:t>
      </w:r>
      <w:r>
        <w:rPr/>
        <w:t>、财务独立方面：公司已建立独立的财务核算体系、能够独立作出财务决策、具有规范的财务会计制度和对子公司的 财务管理制度；公司未与控股股东、实际控制人及其控制的其他企业共用银行账户；</w:t>
      </w:r>
    </w:p>
    <w:p>
      <w:pPr>
        <w:pStyle w:val="BodyText"/>
        <w:spacing w:line="300" w:lineRule="auto" w:before="151"/>
        <w:ind w:right="193" w:firstLine="360"/>
        <w:jc w:val="both"/>
      </w:pPr>
      <w:r>
        <w:rPr>
          <w:rFonts w:ascii="Times New Roman" w:hAnsi="Times New Roman" w:cs="Times New Roman" w:eastAsia="Times New Roman" w:hint="default"/>
        </w:rPr>
        <w:t>4</w:t>
      </w:r>
      <w:r>
        <w:rPr/>
        <w:t>、机构独立方面：公司已建立健全内部经营管理机构、独立行使经营管理职权，与控股股东和实际控制人及其控制的 其他企业间不存在机构混同的情形；</w:t>
      </w:r>
    </w:p>
    <w:p>
      <w:pPr>
        <w:pStyle w:val="BodyText"/>
        <w:spacing w:line="300" w:lineRule="auto" w:before="151"/>
        <w:ind w:right="193" w:firstLine="360"/>
        <w:jc w:val="both"/>
      </w:pPr>
      <w:r>
        <w:rPr>
          <w:rFonts w:ascii="Times New Roman" w:hAnsi="Times New Roman" w:cs="Times New Roman" w:eastAsia="Times New Roman" w:hint="default"/>
        </w:rPr>
        <w:t>5</w:t>
      </w:r>
      <w:r>
        <w:rPr/>
        <w:t>、业务独立方面：公司业务独立于控股股东、实际控制人及其控制的其他企业，与控股股东、实际控制人及其控制的 其他企业间不存在同业竞争或者显失公平的关联交易。</w:t>
      </w:r>
    </w:p>
    <w:p>
      <w:pPr>
        <w:spacing w:line="240" w:lineRule="auto" w:before="11"/>
        <w:rPr>
          <w:rFonts w:ascii="宋体" w:hAnsi="宋体" w:cs="宋体" w:eastAsia="宋体" w:hint="default"/>
          <w:sz w:val="21"/>
          <w:szCs w:val="21"/>
        </w:rPr>
      </w:pPr>
    </w:p>
    <w:p>
      <w:pPr>
        <w:pStyle w:val="Heading2"/>
        <w:spacing w:line="240" w:lineRule="auto"/>
        <w:ind w:right="93"/>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68"/>
        <w:gridCol w:w="1277"/>
        <w:gridCol w:w="850"/>
        <w:gridCol w:w="1560"/>
        <w:gridCol w:w="1558"/>
        <w:gridCol w:w="2055"/>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51" w:right="59"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268"/>
        <w:gridCol w:w="1277"/>
        <w:gridCol w:w="850"/>
        <w:gridCol w:w="1560"/>
        <w:gridCol w:w="1558"/>
        <w:gridCol w:w="2055"/>
      </w:tblGrid>
      <w:tr>
        <w:trPr>
          <w:trHeight w:val="71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55.69%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9"/>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高冠江</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李晓枫</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汤金资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60" w:lineRule="auto" w:before="49"/>
        <w:ind w:right="4914"/>
        <w:jc w:val="left"/>
      </w:pPr>
      <w:r>
        <w:rPr/>
        <w:t>连续两次未亲自出席董事会的说明 报告期内独立董事不存在连续两次未亲自出席董事会的情况。</w:t>
      </w:r>
    </w:p>
    <w:p>
      <w:pPr>
        <w:spacing w:line="240" w:lineRule="auto" w:before="2"/>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t>独立董事对公司有关事项是否提出异议</w:t>
      </w:r>
    </w:p>
    <w:p>
      <w:pPr>
        <w:pStyle w:val="BodyText"/>
        <w:spacing w:line="340" w:lineRule="auto" w:before="117"/>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独立董事对公司有关建议是否被采纳</w:t>
      </w:r>
    </w:p>
    <w:p>
      <w:pPr>
        <w:pStyle w:val="BodyText"/>
        <w:spacing w:line="340" w:lineRule="auto" w:before="117"/>
        <w:ind w:right="58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240" w:lineRule="auto" w:before="39"/>
        <w:ind w:left="513" w:right="153"/>
        <w:jc w:val="left"/>
      </w:pPr>
      <w:r>
        <w:rPr/>
        <w:t>报告期内独立董事对公司有关事项未提出异议。</w:t>
      </w:r>
    </w:p>
    <w:p>
      <w:pPr>
        <w:spacing w:line="240" w:lineRule="auto" w:before="4"/>
        <w:rPr>
          <w:rFonts w:ascii="宋体" w:hAnsi="宋体" w:cs="宋体" w:eastAsia="宋体" w:hint="default"/>
          <w:sz w:val="25"/>
          <w:szCs w:val="25"/>
        </w:rPr>
      </w:pPr>
    </w:p>
    <w:p>
      <w:pPr>
        <w:pStyle w:val="Heading2"/>
        <w:spacing w:line="240" w:lineRule="auto"/>
        <w:ind w:right="153"/>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44" w:firstLine="360"/>
        <w:jc w:val="left"/>
      </w:pPr>
      <w:r>
        <w:rPr/>
        <w:t>公司董事会下设审计委员会、战略发展委员会、薪酬与考核委员会、提名委员会</w:t>
      </w:r>
      <w:r>
        <w:rPr>
          <w:rFonts w:ascii="Times New Roman" w:hAnsi="Times New Roman" w:cs="Times New Roman" w:eastAsia="Times New Roman" w:hint="default"/>
        </w:rPr>
        <w:t>4</w:t>
      </w:r>
      <w:r>
        <w:rPr/>
        <w:t>个专门委员会，就各专业性事项进行 研究，提出意见及建议，各专门委员会对董事会负责。</w:t>
      </w:r>
    </w:p>
    <w:p>
      <w:pPr>
        <w:pStyle w:val="BodyText"/>
        <w:spacing w:line="300" w:lineRule="auto" w:before="31"/>
        <w:ind w:left="513" w:right="15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董事会审计委员会</w:t>
      </w:r>
      <w:r>
        <w:rPr>
          <w:w w:val="99"/>
        </w:rPr>
        <w:t> </w:t>
      </w:r>
      <w:r>
        <w:rPr>
          <w:spacing w:val="-2"/>
        </w:rPr>
        <w:t>董事会审计委员会主要依据《董事会审计委员会工作细则》、《董事会审计委员会年报工作规程》及其他有关规定，积</w:t>
      </w:r>
    </w:p>
    <w:p>
      <w:pPr>
        <w:pStyle w:val="BodyText"/>
        <w:spacing w:line="240" w:lineRule="auto" w:before="31"/>
        <w:ind w:right="0"/>
        <w:jc w:val="left"/>
      </w:pPr>
      <w:r>
        <w:rPr/>
        <w:t>极开展工作并认真履行职责，指导和监督内部审计工作，审查内控制度，审核公司财务信息及披露，协调与会计师事务所关</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84"/>
        <w:jc w:val="left"/>
      </w:pPr>
      <w:r>
        <w:rPr/>
        <w:t>系等。报告期内，公司共召开了</w:t>
      </w:r>
      <w:r>
        <w:rPr>
          <w:rFonts w:ascii="Times New Roman" w:hAnsi="Times New Roman" w:cs="Times New Roman" w:eastAsia="Times New Roman" w:hint="default"/>
        </w:rPr>
        <w:t>4</w:t>
      </w:r>
      <w:r>
        <w:rPr/>
        <w:t>次审计委员会会议，对定期报告、内部审计报告、募集资金使用情况、会计政策变更、会 计估计变更等事项进行了讨论和审议，相关会议均按照有关规定的程序召开。</w:t>
      </w:r>
    </w:p>
    <w:p>
      <w:pPr>
        <w:pStyle w:val="BodyText"/>
        <w:spacing w:line="300" w:lineRule="auto" w:before="31"/>
        <w:ind w:left="513" w:right="197"/>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董事会战略发展委员会</w:t>
      </w:r>
      <w:r>
        <w:rPr>
          <w:w w:val="99"/>
        </w:rPr>
        <w:t> </w:t>
      </w:r>
      <w:r>
        <w:rPr>
          <w:spacing w:val="-2"/>
        </w:rPr>
        <w:t>董事会战略发展委员会主要依据《董事会战略发展委员工作细则》的相关规定，积极开展相关工作，认真履行职责，结</w:t>
      </w:r>
      <w:r>
        <w:rPr/>
      </w:r>
    </w:p>
    <w:p>
      <w:pPr>
        <w:pStyle w:val="BodyText"/>
        <w:spacing w:line="309" w:lineRule="auto" w:before="31"/>
        <w:ind w:right="191"/>
        <w:jc w:val="both"/>
      </w:pPr>
      <w:r>
        <w:rPr>
          <w:spacing w:val="-2"/>
        </w:rPr>
        <w:t>合公司所处行业发展情况及公司自身发展状况，对公司发展规划、经营目标、发展方针以及投资、融资或重大资本运作提出</w:t>
      </w:r>
      <w:r>
        <w:rPr>
          <w:spacing w:val="-64"/>
        </w:rPr>
        <w:t> </w:t>
      </w:r>
      <w:r>
        <w:rPr>
          <w:spacing w:val="-64"/>
        </w:rPr>
      </w:r>
      <w:r>
        <w:rPr/>
        <w:t>建议。报告期内，公司共召开了</w:t>
      </w:r>
      <w:r>
        <w:rPr>
          <w:rFonts w:ascii="Times New Roman" w:hAnsi="Times New Roman" w:cs="Times New Roman" w:eastAsia="Times New Roman" w:hint="default"/>
        </w:rPr>
        <w:t>1</w:t>
      </w:r>
      <w:r>
        <w:rPr/>
        <w:t>次战略发展委员会会议，对公司</w:t>
      </w:r>
      <w:r>
        <w:rPr>
          <w:rFonts w:ascii="Times New Roman" w:hAnsi="Times New Roman" w:cs="Times New Roman" w:eastAsia="Times New Roman" w:hint="default"/>
        </w:rPr>
        <w:t>2017</w:t>
      </w:r>
      <w:r>
        <w:rPr/>
        <w:t>年度发展规划等事项进行了讨论和审议，相关会议均 按照有关规定的程序召开。</w:t>
      </w:r>
    </w:p>
    <w:p>
      <w:pPr>
        <w:pStyle w:val="BodyText"/>
        <w:spacing w:line="300" w:lineRule="auto" w:before="24"/>
        <w:ind w:left="513" w:right="9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董事会薪酬与考核委员会</w:t>
      </w:r>
      <w:r>
        <w:rPr>
          <w:w w:val="99"/>
        </w:rPr>
        <w:t> </w:t>
      </w:r>
      <w:r>
        <w:rPr/>
        <w:t>董事会薪酬与考核委员会主要依据《董事会薪酬与考核委员工作细则》的相关规定，积极履行职责并提出合理化建议，</w:t>
      </w:r>
    </w:p>
    <w:p>
      <w:pPr>
        <w:pStyle w:val="BodyText"/>
        <w:spacing w:line="316" w:lineRule="auto" w:before="31"/>
        <w:ind w:right="93"/>
        <w:jc w:val="left"/>
      </w:pPr>
      <w:r>
        <w:rPr>
          <w:spacing w:val="-2"/>
        </w:rPr>
        <w:t>促进公司在规范运作的基础上，进一步完善考核体系。对公司实施限制性股票激励计划提出建议，有效地将股东利益、公司</w:t>
      </w:r>
      <w:r>
        <w:rPr>
          <w:spacing w:val="-64"/>
        </w:rPr>
        <w:t> </w:t>
      </w:r>
      <w:r>
        <w:rPr>
          <w:spacing w:val="-64"/>
        </w:rPr>
      </w:r>
      <w:r>
        <w:rPr>
          <w:spacing w:val="-2"/>
        </w:rPr>
        <w:t>利益和核心团队个人利益结合在一起，使各方共同关注公司的长远发展。薪酬与考核委员会根据相关法律法规制定了限制性</w:t>
      </w:r>
      <w:r>
        <w:rPr>
          <w:spacing w:val="-64"/>
        </w:rPr>
        <w:t> </w:t>
      </w:r>
      <w:r>
        <w:rPr>
          <w:spacing w:val="-64"/>
        </w:rPr>
      </w:r>
      <w:r>
        <w:rPr>
          <w:spacing w:val="-4"/>
        </w:rPr>
        <w:t>股票激励计划及实施考核管理办法，审核了激励对象名单，以上事项均履行了相关审议审批程序，符合相关法律法规的要求。</w:t>
      </w:r>
      <w:r>
        <w:rPr>
          <w:spacing w:val="-44"/>
        </w:rPr>
        <w:t> </w:t>
      </w:r>
      <w:r>
        <w:rPr>
          <w:spacing w:val="-44"/>
        </w:rPr>
      </w:r>
      <w:r>
        <w:rPr/>
        <w:t>报告期内，公司共召开了</w:t>
      </w:r>
      <w:r>
        <w:rPr>
          <w:rFonts w:ascii="Times New Roman" w:hAnsi="Times New Roman" w:cs="Times New Roman" w:eastAsia="Times New Roman" w:hint="default"/>
        </w:rPr>
        <w:t>3</w:t>
      </w:r>
      <w:r>
        <w:rPr/>
        <w:t>次董事会薪酬与考核委员会会议，相关会议均按照有关规定的程序召开。</w:t>
      </w:r>
    </w:p>
    <w:p>
      <w:pPr>
        <w:pStyle w:val="BodyText"/>
        <w:spacing w:line="300" w:lineRule="auto"/>
        <w:ind w:left="513" w:right="93"/>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董事会提名委员会</w:t>
      </w:r>
      <w:r>
        <w:rPr>
          <w:w w:val="99"/>
        </w:rPr>
        <w:t> </w:t>
      </w:r>
      <w:r>
        <w:rPr>
          <w:spacing w:val="-2"/>
        </w:rPr>
        <w:t>董事会提名委员会主要依据《董事会提名委员会工作细则》的相关规定，秉着勤勉尽职的态度履行职责，对董事、高级</w:t>
      </w:r>
    </w:p>
    <w:p>
      <w:pPr>
        <w:pStyle w:val="BodyText"/>
        <w:spacing w:line="309" w:lineRule="auto" w:before="31"/>
        <w:ind w:right="111"/>
        <w:jc w:val="both"/>
      </w:pPr>
      <w:r>
        <w:rPr>
          <w:spacing w:val="-2"/>
        </w:rPr>
        <w:t>管理人员的选择标准和程序进行调研与分析，并对相关人员的任职资格进行了认真核查，确保公司顺利完成董事会换届选举</w:t>
      </w:r>
      <w:r>
        <w:rPr>
          <w:spacing w:val="-63"/>
        </w:rPr>
        <w:t> </w:t>
      </w:r>
      <w:r>
        <w:rPr>
          <w:spacing w:val="-63"/>
        </w:rPr>
      </w:r>
      <w:r>
        <w:rPr/>
        <w:t>及高级管理人员的聘任工作。报告期内，公司共召开了</w:t>
      </w:r>
      <w:r>
        <w:rPr>
          <w:rFonts w:ascii="Times New Roman" w:hAnsi="Times New Roman" w:cs="Times New Roman" w:eastAsia="Times New Roman" w:hint="default"/>
        </w:rPr>
        <w:t>2</w:t>
      </w:r>
      <w:r>
        <w:rPr/>
        <w:t>次提名委员会会议，对公司正在履职的董事、高级管理人员履职情 况及提名公司第九届董事会成员和提名公司高级管理人员等事项进行了讨论和审议，相关会议均按照有关规定的程序召开。</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5"/>
        <w:ind w:right="6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90" w:firstLine="360"/>
        <w:jc w:val="both"/>
      </w:pPr>
      <w:r>
        <w:rPr>
          <w:spacing w:val="-2"/>
        </w:rPr>
        <w:t>公司建立高级管理人员的薪酬收入与公司经营业绩挂钩的考核与激励约束机制，由公司董事会下设的薪酬委员会，制定</w:t>
      </w:r>
      <w:r>
        <w:rPr/>
        <w:t> </w:t>
      </w:r>
      <w:r>
        <w:rPr>
          <w:spacing w:val="-2"/>
        </w:rPr>
        <w:t>了高级管理人员薪酬制度和考评体系，订立针对高级管理人员的单独考核合同，以公司年度经营目标与岗位年度工作目标的</w:t>
      </w:r>
      <w:r>
        <w:rPr>
          <w:spacing w:val="-64"/>
        </w:rPr>
        <w:t> </w:t>
      </w:r>
      <w:r>
        <w:rPr>
          <w:spacing w:val="-64"/>
        </w:rPr>
      </w:r>
      <w:r>
        <w:rPr/>
        <w:t>实现为主要内容，进行</w:t>
      </w:r>
      <w:r>
        <w:rPr>
          <w:rFonts w:ascii="Times New Roman" w:hAnsi="Times New Roman" w:cs="Times New Roman" w:eastAsia="Times New Roman" w:hint="default"/>
        </w:rPr>
        <w:t>360</w:t>
      </w:r>
      <w:r>
        <w:rPr/>
        <w:t>度考核，并将考核结果及时应用到高级管理人员薪酬调整方面，力争最大限度地调动公司高级管</w:t>
      </w:r>
      <w:r>
        <w:rPr>
          <w:spacing w:val="-85"/>
        </w:rPr>
        <w:t> </w:t>
      </w:r>
      <w:r>
        <w:rPr>
          <w:spacing w:val="-85"/>
        </w:rPr>
      </w:r>
      <w:r>
        <w:rPr>
          <w:spacing w:val="-2"/>
        </w:rPr>
        <w:t>理人员的积极性和创造性，确保公司各项业务工作的顺利开展，促进公司业绩的稳步提升，从而更好的维护广大投资者的根</w:t>
      </w:r>
      <w:r>
        <w:rPr>
          <w:spacing w:val="-63"/>
        </w:rPr>
        <w:t> </w:t>
      </w:r>
      <w:r>
        <w:rPr>
          <w:spacing w:val="-63"/>
        </w:rPr>
      </w:r>
      <w:r>
        <w:rPr/>
        <w:t>本利益。</w:t>
      </w:r>
    </w:p>
    <w:p>
      <w:pPr>
        <w:spacing w:line="240" w:lineRule="auto" w:before="13"/>
        <w:rPr>
          <w:rFonts w:ascii="宋体" w:hAnsi="宋体" w:cs="宋体" w:eastAsia="宋体" w:hint="default"/>
          <w:sz w:val="20"/>
          <w:szCs w:val="20"/>
        </w:rPr>
      </w:pPr>
    </w:p>
    <w:p>
      <w:pPr>
        <w:pStyle w:val="Heading2"/>
        <w:spacing w:line="240" w:lineRule="auto"/>
        <w:ind w:right="0"/>
        <w:jc w:val="both"/>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b/>
          <w:bCs/>
          <w:sz w:val="28"/>
          <w:szCs w:val="28"/>
        </w:rPr>
      </w:pPr>
      <w:r>
        <w:rPr/>
        <w:pict>
          <v:group style="position:absolute;margin-left:384.070007pt;margin-top:264.145996pt;width:149.7pt;height:15.65pt;mso-position-horizontal-relative:page;mso-position-vertical-relative:page;z-index:-832960" coordorigin="7681,5283" coordsize="2994,313">
            <v:shape style="position:absolute;left:7681;top:5283;width:2994;height:313" coordorigin="7681,5283" coordsize="2994,313" path="m7681,5595l10675,5595,10675,5283,7681,5283,7681,5595xe" filled="true" fillcolor="#ffffff" stroked="false">
              <v:path arrowok="t"/>
              <v:fill type="solid"/>
            </v:shape>
            <w10:wrap type="none"/>
          </v:group>
        </w:pict>
      </w:r>
      <w:r>
        <w:rPr/>
        <w:pict>
          <v:group style="position:absolute;margin-left:384.070007pt;margin-top:565.029968pt;width:149.7pt;height:46.8pt;mso-position-horizontal-relative:page;mso-position-vertical-relative:page;z-index:-832936" coordorigin="7681,11301" coordsize="2994,936">
            <v:group style="position:absolute;left:7681;top:11301;width:2994;height:312" coordorigin="7681,11301" coordsize="2994,312">
              <v:shape style="position:absolute;left:7681;top:11301;width:2994;height:312" coordorigin="7681,11301" coordsize="2994,312" path="m7681,11613l10675,11613,10675,11301,7681,11301,7681,11613xe" filled="true" fillcolor="#ffffff" stroked="false">
                <v:path arrowok="t"/>
                <v:fill type="solid"/>
              </v:shape>
            </v:group>
            <v:group style="position:absolute;left:7681;top:11613;width:2994;height:312" coordorigin="7681,11613" coordsize="2994,312">
              <v:shape style="position:absolute;left:7681;top:11613;width:2994;height:312" coordorigin="7681,11613" coordsize="2994,312" path="m7681,11925l10675,11925,10675,11613,7681,11613,7681,11925xe" filled="true" fillcolor="#ffffff" stroked="false">
                <v:path arrowok="t"/>
                <v:fill type="solid"/>
              </v:shape>
            </v:group>
            <v:group style="position:absolute;left:7681;top:11925;width:2994;height:312" coordorigin="7681,11925" coordsize="2994,312">
              <v:shape style="position:absolute;left:7681;top:11925;width:2994;height:312" coordorigin="7681,11925" coordsize="2994,312" path="m7681,12237l10675,12237,10675,11925,7681,11925,7681,12237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5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10" w:space="0" w:color="FFFFFF"/>
            </w:tcBorders>
          </w:tcPr>
          <w:p>
            <w:pPr>
              <w:pStyle w:val="TableParagraph"/>
              <w:spacing w:line="312" w:lineRule="auto" w:before="49"/>
              <w:ind w:left="23" w:right="36" w:firstLine="360"/>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 价的定性标准如下：财务报告重大缺陷的 </w:t>
            </w:r>
            <w:r>
              <w:rPr>
                <w:rFonts w:ascii="宋体" w:hAnsi="宋体" w:cs="宋体" w:eastAsia="宋体" w:hint="default"/>
                <w:spacing w:val="-9"/>
                <w:sz w:val="18"/>
                <w:szCs w:val="18"/>
              </w:rPr>
              <w:t>迹象包括：（</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）控制环境无效；（</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w:t>
            </w:r>
            <w:r>
              <w:rPr>
                <w:rFonts w:ascii="宋体" w:hAnsi="宋体" w:cs="宋体" w:eastAsia="宋体" w:hint="default"/>
                <w:sz w:val="18"/>
                <w:szCs w:val="18"/>
              </w:rPr>
              <w:t> 董事、监事和高级管理人员的舞弊行为；</w:t>
            </w:r>
          </w:p>
          <w:p>
            <w:pPr>
              <w:pStyle w:val="TableParagraph"/>
              <w:spacing w:line="309" w:lineRule="auto" w:before="22"/>
              <w:ind w:left="23" w:right="-44"/>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）注册会计师发现的却未被公司内部控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0"/>
                <w:sz w:val="18"/>
                <w:szCs w:val="18"/>
              </w:rPr>
              <w:t>制识别的当期财务报告中的重大错误；（</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w:t>
            </w:r>
            <w:r>
              <w:rPr>
                <w:rFonts w:ascii="宋体" w:hAnsi="宋体" w:cs="宋体" w:eastAsia="宋体" w:hint="default"/>
                <w:spacing w:val="-77"/>
                <w:sz w:val="18"/>
                <w:szCs w:val="18"/>
              </w:rPr>
              <w:t> </w:t>
            </w:r>
            <w:r>
              <w:rPr>
                <w:rFonts w:ascii="宋体" w:hAnsi="宋体" w:cs="宋体" w:eastAsia="宋体" w:hint="default"/>
                <w:sz w:val="18"/>
                <w:szCs w:val="18"/>
              </w:rPr>
              <w:t>审计委员会和审计部门对公司的财务报告</w:t>
            </w:r>
            <w:r>
              <w:rPr>
                <w:rFonts w:ascii="宋体" w:hAnsi="宋体" w:cs="宋体" w:eastAsia="宋体" w:hint="default"/>
                <w:sz w:val="18"/>
                <w:szCs w:val="18"/>
              </w:rPr>
              <w:t> 和财务报告内部控制监督无效。财务报告 </w:t>
            </w:r>
            <w:r>
              <w:rPr>
                <w:rFonts w:ascii="宋体" w:hAnsi="宋体" w:cs="宋体" w:eastAsia="宋体" w:hint="default"/>
                <w:spacing w:val="-5"/>
                <w:sz w:val="18"/>
                <w:szCs w:val="18"/>
              </w:rPr>
              <w:t>重要缺陷的迹象包括：（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w:t>
            </w:r>
            <w:r>
              <w:rPr>
                <w:rFonts w:ascii="宋体" w:hAnsi="宋体" w:cs="宋体" w:eastAsia="宋体" w:hint="default"/>
                <w:spacing w:val="-86"/>
                <w:sz w:val="18"/>
                <w:szCs w:val="18"/>
              </w:rPr>
              <w:t> </w:t>
            </w:r>
            <w:r>
              <w:rPr>
                <w:rFonts w:ascii="宋体" w:hAnsi="宋体" w:cs="宋体" w:eastAsia="宋体" w:hint="default"/>
                <w:spacing w:val="-5"/>
                <w:sz w:val="18"/>
                <w:szCs w:val="18"/>
              </w:rPr>
              <w:t>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w:t>
            </w:r>
            <w:r>
              <w:rPr>
                <w:rFonts w:ascii="宋体" w:hAnsi="宋体" w:cs="宋体" w:eastAsia="宋体" w:hint="default"/>
                <w:spacing w:val="-84"/>
                <w:sz w:val="18"/>
                <w:szCs w:val="18"/>
              </w:rPr>
              <w:t> </w:t>
            </w:r>
            <w:r>
              <w:rPr>
                <w:rFonts w:ascii="宋体" w:hAnsi="宋体" w:cs="宋体" w:eastAsia="宋体" w:hint="default"/>
                <w:spacing w:val="-5"/>
                <w:sz w:val="18"/>
                <w:szCs w:val="18"/>
              </w:rPr>
              <w:t>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w:t>
            </w:r>
            <w:r>
              <w:rPr>
                <w:rFonts w:ascii="宋体" w:hAnsi="宋体" w:cs="宋体" w:eastAsia="宋体" w:hint="default"/>
                <w:spacing w:val="-86"/>
                <w:sz w:val="18"/>
                <w:szCs w:val="18"/>
              </w:rPr>
              <w:t> </w:t>
            </w:r>
            <w:r>
              <w:rPr>
                <w:rFonts w:ascii="宋体" w:hAnsi="宋体" w:cs="宋体" w:eastAsia="宋体" w:hint="default"/>
                <w:sz w:val="18"/>
                <w:szCs w:val="18"/>
              </w:rPr>
              <w:t>或特殊交易的账务处理没有建立相应控制 机制或没有实施且没有相应的补偿性控 </w:t>
            </w:r>
            <w:r>
              <w:rPr>
                <w:rFonts w:ascii="宋体" w:hAnsi="宋体" w:cs="宋体" w:eastAsia="宋体" w:hint="default"/>
                <w:spacing w:val="-5"/>
                <w:sz w:val="18"/>
                <w:szCs w:val="18"/>
              </w:rPr>
              <w:t>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）对于期末财务报告过程的控制存</w:t>
            </w:r>
            <w:r>
              <w:rPr>
                <w:rFonts w:ascii="宋体" w:hAnsi="宋体" w:cs="宋体" w:eastAsia="宋体" w:hint="default"/>
                <w:spacing w:val="-86"/>
                <w:sz w:val="18"/>
                <w:szCs w:val="18"/>
              </w:rPr>
              <w:t> </w:t>
            </w:r>
            <w:r>
              <w:rPr>
                <w:rFonts w:ascii="宋体" w:hAnsi="宋体" w:cs="宋体" w:eastAsia="宋体" w:hint="default"/>
                <w:sz w:val="18"/>
                <w:szCs w:val="18"/>
              </w:rPr>
              <w:t>在一项或多项缺陷且不能合理保证编制的 财务报表达到真实、完整的目标。一般缺 陷是指除上述重大缺陷、重要缺陷之外的 其他控制缺陷。</w:t>
            </w:r>
          </w:p>
        </w:tc>
        <w:tc>
          <w:tcPr>
            <w:tcW w:w="3053"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9" w:right="-43" w:firstLine="36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 </w:t>
            </w:r>
            <w:r>
              <w:rPr>
                <w:rFonts w:ascii="宋体" w:hAnsi="宋体" w:cs="宋体" w:eastAsia="宋体" w:hint="default"/>
                <w:spacing w:val="-4"/>
                <w:sz w:val="18"/>
                <w:szCs w:val="18"/>
              </w:rPr>
              <w:t>缺陷评价的定性标准如下：非财务报告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缺陷认定主要以缺陷对业务流程有效 性的影响程度、发生的可能性作判定。 </w:t>
            </w:r>
            <w:r>
              <w:rPr>
                <w:rFonts w:ascii="宋体" w:hAnsi="宋体" w:cs="宋体" w:eastAsia="宋体" w:hint="default"/>
                <w:spacing w:val="-4"/>
                <w:sz w:val="18"/>
                <w:szCs w:val="18"/>
              </w:rPr>
              <w:t>如果缺陷发生的可能性高，会严重降低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工作效率或效果、或严重加大效果的不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确定性、或使之严重偏离预期目标为重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大缺陷；如果缺陷发生的可能性较高， </w:t>
            </w:r>
            <w:r>
              <w:rPr>
                <w:rFonts w:ascii="宋体" w:hAnsi="宋体" w:cs="宋体" w:eastAsia="宋体" w:hint="default"/>
                <w:spacing w:val="-4"/>
                <w:sz w:val="18"/>
                <w:szCs w:val="18"/>
              </w:rPr>
              <w:t>会显著降低工作效率或效果、或显著加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大效果的不确定性、或使之显著偏离预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期目标为重要缺陷；如果缺陷发生的可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能性较小，会降低工作效率或效果、或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加大效果的不确定性、或使之偏离预期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目标为一般缺陷。</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10" w:space="0" w:color="FFFFFF"/>
            </w:tcBorders>
          </w:tcPr>
          <w:p>
            <w:pPr/>
          </w:p>
        </w:tc>
        <w:tc>
          <w:tcPr>
            <w:tcW w:w="3053" w:type="dxa"/>
            <w:vMerge/>
            <w:tcBorders>
              <w:left w:val="single" w:sz="10" w:space="0" w:color="FFFFFF"/>
              <w:right w:val="single" w:sz="4" w:space="0" w:color="000000"/>
            </w:tcBorders>
          </w:tcPr>
          <w:p>
            <w:pPr/>
          </w:p>
        </w:tc>
      </w:tr>
      <w:tr>
        <w:trPr>
          <w:trHeight w:val="265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10" w:space="0" w:color="FFFFFF"/>
            </w:tcBorders>
          </w:tcPr>
          <w:p>
            <w:pPr/>
          </w:p>
        </w:tc>
        <w:tc>
          <w:tcPr>
            <w:tcW w:w="3053" w:type="dxa"/>
            <w:vMerge/>
            <w:tcBorders>
              <w:left w:val="single" w:sz="10" w:space="0" w:color="FFFFFF"/>
              <w:bottom w:val="single" w:sz="4" w:space="0" w:color="000000"/>
              <w:right w:val="single" w:sz="4" w:space="0" w:color="000000"/>
            </w:tcBorders>
          </w:tcPr>
          <w:p>
            <w:pPr/>
          </w:p>
        </w:tc>
      </w:tr>
      <w:tr>
        <w:trPr>
          <w:trHeight w:val="141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14" w:space="0" w:color="FFFFF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23" w:right="18" w:firstLine="360"/>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 价的定量标准如下：公司以营业总收入的 </w:t>
            </w:r>
            <w:r>
              <w:rPr>
                <w:rFonts w:ascii="Times New Roman" w:hAnsi="Times New Roman" w:cs="Times New Roman" w:eastAsia="Times New Roman" w:hint="default"/>
                <w:sz w:val="18"/>
                <w:szCs w:val="18"/>
              </w:rPr>
              <w:t>3% </w:t>
            </w:r>
            <w:r>
              <w:rPr>
                <w:rFonts w:ascii="宋体" w:hAnsi="宋体" w:cs="宋体" w:eastAsia="宋体" w:hint="default"/>
                <w:sz w:val="18"/>
                <w:szCs w:val="18"/>
              </w:rPr>
              <w:t>作为利润表整体重要性水平的衡量指 标。当潜在错报金额大于或等于营业总收 入的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，则认定为重大缺陷；当潜在错</w:t>
            </w:r>
          </w:p>
          <w:p>
            <w:pPr>
              <w:pStyle w:val="TableParagraph"/>
              <w:spacing w:line="300" w:lineRule="auto" w:before="3"/>
              <w:ind w:left="23" w:right="18"/>
              <w:jc w:val="left"/>
              <w:rPr>
                <w:rFonts w:ascii="宋体" w:hAnsi="宋体" w:cs="宋体" w:eastAsia="宋体" w:hint="default"/>
                <w:sz w:val="18"/>
                <w:szCs w:val="18"/>
              </w:rPr>
            </w:pPr>
            <w:r>
              <w:rPr>
                <w:rFonts w:ascii="宋体" w:hAnsi="宋体" w:cs="宋体" w:eastAsia="宋体" w:hint="default"/>
                <w:sz w:val="18"/>
                <w:szCs w:val="18"/>
              </w:rPr>
              <w:t>报金额小于营业总收入的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但大于或等 于营业总收入的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，则认定为重要缺陷 当潜在错报金额小于营业总收入的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时 则认定为一般缺陷。</w:t>
            </w:r>
          </w:p>
        </w:tc>
        <w:tc>
          <w:tcPr>
            <w:tcW w:w="3053" w:type="dxa"/>
            <w:vMerge w:val="restart"/>
            <w:tcBorders>
              <w:top w:val="single" w:sz="4" w:space="0" w:color="000000"/>
              <w:left w:val="single" w:sz="14" w:space="0" w:color="FFFFFF"/>
              <w:right w:val="single" w:sz="4" w:space="0" w:color="000000"/>
            </w:tcBorders>
          </w:tcPr>
          <w:p>
            <w:pPr>
              <w:pStyle w:val="TableParagraph"/>
              <w:spacing w:line="309" w:lineRule="auto" w:before="51"/>
              <w:ind w:left="13" w:right="20" w:firstLine="36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 </w:t>
            </w:r>
            <w:r>
              <w:rPr>
                <w:rFonts w:ascii="宋体" w:hAnsi="宋体" w:cs="宋体" w:eastAsia="宋体" w:hint="default"/>
                <w:spacing w:val="-4"/>
                <w:sz w:val="18"/>
                <w:szCs w:val="18"/>
              </w:rPr>
              <w:t>缺陷评价的定量标准如下：公司以直接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损失占公司资产总额的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作为非财务 </w:t>
            </w:r>
            <w:r>
              <w:rPr>
                <w:rFonts w:ascii="宋体" w:hAnsi="宋体" w:cs="宋体" w:eastAsia="宋体" w:hint="default"/>
                <w:spacing w:val="-4"/>
                <w:sz w:val="18"/>
                <w:szCs w:val="18"/>
              </w:rPr>
              <w:t>报告重要性水平的衡量指标。当直接缺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失金额大于或等于资产总额的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，则 </w:t>
            </w:r>
            <w:r>
              <w:rPr>
                <w:rFonts w:ascii="宋体" w:hAnsi="宋体" w:cs="宋体" w:eastAsia="宋体" w:hint="default"/>
                <w:spacing w:val="-4"/>
                <w:sz w:val="18"/>
                <w:szCs w:val="18"/>
              </w:rPr>
              <w:t>认定为重大缺陷；当直接缺失金额小于</w:t>
            </w:r>
          </w:p>
          <w:p>
            <w:pPr>
              <w:pStyle w:val="TableParagraph"/>
              <w:spacing w:line="203" w:lineRule="exact" w:before="24"/>
              <w:ind w:left="13" w:right="0"/>
              <w:jc w:val="left"/>
              <w:rPr>
                <w:rFonts w:ascii="宋体" w:hAnsi="宋体" w:cs="宋体" w:eastAsia="宋体" w:hint="default"/>
                <w:sz w:val="18"/>
                <w:szCs w:val="18"/>
              </w:rPr>
            </w:pP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但大于或等于资产总</w:t>
            </w:r>
          </w:p>
          <w:p>
            <w:pPr>
              <w:pStyle w:val="TableParagraph"/>
              <w:spacing w:line="149"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3" w:lineRule="exact"/>
              <w:ind w:left="13" w:right="0"/>
              <w:jc w:val="left"/>
              <w:rPr>
                <w:rFonts w:ascii="宋体" w:hAnsi="宋体" w:cs="宋体" w:eastAsia="宋体" w:hint="default"/>
                <w:sz w:val="18"/>
                <w:szCs w:val="18"/>
              </w:rPr>
            </w:pPr>
            <w:r>
              <w:rPr>
                <w:rFonts w:ascii="宋体" w:hAnsi="宋体" w:cs="宋体" w:eastAsia="宋体" w:hint="default"/>
                <w:sz w:val="18"/>
                <w:szCs w:val="18"/>
              </w:rPr>
              <w:t>额的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，则认定为重要缺陷；当直接</w:t>
            </w:r>
          </w:p>
          <w:p>
            <w:pPr>
              <w:pStyle w:val="TableParagraph"/>
              <w:spacing w:line="149"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3" w:right="0"/>
              <w:jc w:val="left"/>
              <w:rPr>
                <w:rFonts w:ascii="宋体" w:hAnsi="宋体" w:cs="宋体" w:eastAsia="宋体" w:hint="default"/>
                <w:sz w:val="18"/>
                <w:szCs w:val="18"/>
              </w:rPr>
            </w:pPr>
            <w:r>
              <w:rPr>
                <w:rFonts w:ascii="宋体" w:hAnsi="宋体" w:cs="宋体" w:eastAsia="宋体" w:hint="default"/>
                <w:sz w:val="18"/>
                <w:szCs w:val="18"/>
              </w:rPr>
              <w:t>缺失金额小于资产总额的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时，则认</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定为一般缺陷。</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14" w:space="0" w:color="FFFFFF"/>
            </w:tcBorders>
          </w:tcPr>
          <w:p>
            <w:pPr/>
          </w:p>
        </w:tc>
        <w:tc>
          <w:tcPr>
            <w:tcW w:w="3053" w:type="dxa"/>
            <w:vMerge/>
            <w:tcBorders>
              <w:left w:val="single" w:sz="14" w:space="0" w:color="FFFFFF"/>
              <w:right w:val="single" w:sz="4" w:space="0" w:color="000000"/>
            </w:tcBorders>
          </w:tcPr>
          <w:p>
            <w:pPr/>
          </w:p>
        </w:tc>
      </w:tr>
      <w:tr>
        <w:trPr>
          <w:trHeight w:val="1409"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14" w:space="0" w:color="FFFFFF"/>
            </w:tcBorders>
          </w:tcPr>
          <w:p>
            <w:pPr/>
          </w:p>
        </w:tc>
        <w:tc>
          <w:tcPr>
            <w:tcW w:w="3053" w:type="dxa"/>
            <w:vMerge/>
            <w:tcBorders>
              <w:left w:val="single" w:sz="14" w:space="0" w:color="FFFFFF"/>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53"/>
        <w:jc w:val="left"/>
        <w:rPr>
          <w:b w:val="0"/>
          <w:bCs w:val="0"/>
        </w:rPr>
      </w:pPr>
      <w:bookmarkStart w:name="_TOC_250002" w:id="10"/>
      <w:r>
        <w:rPr/>
        <w:t>第十节</w:t>
      </w:r>
      <w:r>
        <w:rPr>
          <w:spacing w:val="-6"/>
        </w:rPr>
        <w:t> </w:t>
      </w:r>
      <w:r>
        <w:rPr/>
        <w:t>公司债券相关情况</w:t>
      </w:r>
      <w:bookmarkEnd w:id="10"/>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536"/>
        <w:jc w:val="center"/>
        <w:rPr>
          <w:b w:val="0"/>
          <w:bCs w:val="0"/>
        </w:rPr>
      </w:pPr>
      <w:bookmarkStart w:name="_TOC_250001" w:id="11"/>
      <w:r>
        <w:rPr/>
        <w:t>第十一节</w:t>
      </w:r>
      <w:r>
        <w:rPr>
          <w:spacing w:val="-6"/>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[2018]005719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刘黎、李峰</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24"/>
          <w:szCs w:val="24"/>
        </w:rPr>
      </w:pPr>
    </w:p>
    <w:p>
      <w:pPr>
        <w:pStyle w:val="BodyText"/>
        <w:spacing w:line="316" w:lineRule="auto"/>
        <w:ind w:left="513" w:right="-20" w:hanging="361"/>
        <w:jc w:val="left"/>
      </w:pPr>
      <w:r>
        <w:rPr/>
        <w:t>新晨科技股份有限公司全体股东： 一、审计意见</w:t>
      </w:r>
    </w:p>
    <w:p>
      <w:pPr>
        <w:pStyle w:val="BodyText"/>
        <w:spacing w:line="357" w:lineRule="auto" w:before="49"/>
        <w:ind w:left="572" w:right="4471"/>
        <w:jc w:val="center"/>
      </w:pPr>
      <w:r>
        <w:rPr/>
        <w:br w:type="column"/>
      </w:r>
      <w:r>
        <w:rPr/>
        <w:t>审计报告正文 审计报告</w:t>
      </w:r>
    </w:p>
    <w:p>
      <w:pPr>
        <w:pStyle w:val="BodyText"/>
        <w:spacing w:line="237" w:lineRule="exact"/>
        <w:ind w:left="135" w:right="4030"/>
        <w:jc w:val="center"/>
      </w:pPr>
      <w:r>
        <w:rPr/>
        <w:t>大华审字</w:t>
      </w:r>
      <w:r>
        <w:rPr>
          <w:rFonts w:ascii="Times New Roman" w:hAnsi="Times New Roman" w:cs="Times New Roman" w:eastAsia="Times New Roman" w:hint="default"/>
        </w:rPr>
        <w:t>[2018]005719</w:t>
      </w:r>
      <w:r>
        <w:rPr/>
        <w:t>号</w:t>
      </w:r>
    </w:p>
    <w:p>
      <w:pPr>
        <w:spacing w:after="0" w:line="237" w:lineRule="exact"/>
        <w:jc w:val="center"/>
        <w:sectPr>
          <w:type w:val="continuous"/>
          <w:pgSz w:w="11910" w:h="16840"/>
          <w:pgMar w:top="1060" w:bottom="1160" w:left="980" w:right="940"/>
          <w:cols w:num="2" w:equalWidth="0">
            <w:col w:w="2853" w:space="1007"/>
            <w:col w:w="6130"/>
          </w:cols>
        </w:sectPr>
      </w:pPr>
    </w:p>
    <w:p>
      <w:pPr>
        <w:pStyle w:val="BodyText"/>
        <w:spacing w:line="300" w:lineRule="auto" w:before="19"/>
        <w:ind w:right="93" w:firstLine="792"/>
        <w:jc w:val="left"/>
      </w:pPr>
      <w:r>
        <w:rPr/>
        <w:t>我们审计了新晨科技股份有限公司</w:t>
      </w:r>
      <w:r>
        <w:rPr>
          <w:rFonts w:ascii="Times New Roman" w:hAnsi="Times New Roman" w:cs="Times New Roman" w:eastAsia="Times New Roman" w:hint="default"/>
        </w:rPr>
        <w:t>(</w:t>
      </w:r>
      <w:r>
        <w:rPr/>
        <w:t>以下简称新晨科技公司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 </w:t>
      </w:r>
      <w:r>
        <w:rPr>
          <w:spacing w:val="-4"/>
        </w:rPr>
        <w:t>负债表，</w:t>
      </w:r>
      <w:r>
        <w:rPr>
          <w:rFonts w:ascii="Times New Roman" w:hAnsi="Times New Roman" w:cs="Times New Roman" w:eastAsia="Times New Roman" w:hint="default"/>
          <w:spacing w:val="-4"/>
        </w:rPr>
        <w:t>2017</w:t>
      </w:r>
      <w:r>
        <w:rPr>
          <w:spacing w:val="-4"/>
        </w:rPr>
        <w:t>年度的合并及母公司利润表、合并及母公司现金流量表、合并及母公司股东权益变动表以及相关财务报表附注。</w:t>
      </w:r>
    </w:p>
    <w:p>
      <w:pPr>
        <w:pStyle w:val="BodyText"/>
        <w:spacing w:line="300" w:lineRule="auto" w:before="13"/>
        <w:ind w:right="93" w:firstLine="360"/>
        <w:jc w:val="left"/>
      </w:pPr>
      <w:r>
        <w:rPr>
          <w:spacing w:val="-2"/>
        </w:rPr>
        <w:t>我们认为，后附的财务报表在所有重大方面按照企业会计准则的规定编制，公允反映了新晨科技公司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t> 合并及母公司财务状况以及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316" w:lineRule="auto" w:before="13"/>
        <w:ind w:left="729" w:right="257" w:hanging="216"/>
        <w:jc w:val="left"/>
      </w:pPr>
      <w:r>
        <w:rPr/>
        <w:t>二、形成审计意见的基础 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w:t>
      </w:r>
    </w:p>
    <w:p>
      <w:pPr>
        <w:pStyle w:val="BodyText"/>
        <w:spacing w:line="319" w:lineRule="auto"/>
        <w:ind w:right="93"/>
        <w:jc w:val="left"/>
      </w:pPr>
      <w:r>
        <w:rPr>
          <w:spacing w:val="-2"/>
        </w:rPr>
        <w:t>一步阐述了我们在这些准则下的责任。按照中国注册会计师职业道德守则，我们独立于新晨科技公司，并履行了职业道德方</w:t>
      </w:r>
      <w:r>
        <w:rPr>
          <w:spacing w:val="-63"/>
        </w:rPr>
        <w:t> </w:t>
      </w:r>
      <w:r>
        <w:rPr>
          <w:spacing w:val="-63"/>
        </w:rPr>
      </w:r>
      <w:r>
        <w:rPr/>
        <w:t>面的其他责任。我们相信，我们获取的审计证据是充分、适当的，为发表审计意见提供了基础。</w:t>
      </w:r>
    </w:p>
    <w:p>
      <w:pPr>
        <w:pStyle w:val="BodyText"/>
        <w:spacing w:line="316" w:lineRule="auto" w:before="17"/>
        <w:ind w:left="729" w:right="237" w:hanging="216"/>
        <w:jc w:val="left"/>
      </w:pPr>
      <w:r>
        <w:rPr/>
        <w:t>三、关键审计事项 关键审计事项是我们根据职业判断，认为对本期财务报表审计最为重要的事项。这些事项的应对以对财务报表整体</w:t>
      </w:r>
    </w:p>
    <w:p>
      <w:pPr>
        <w:pStyle w:val="BodyText"/>
        <w:spacing w:line="316" w:lineRule="auto" w:before="19"/>
        <w:ind w:left="513" w:right="4414" w:hanging="361"/>
        <w:jc w:val="left"/>
      </w:pPr>
      <w:r>
        <w:rPr/>
        <w:t>进行审计并形成审计意见为背景，我们不对这些事项单独发表意见。 我们在审计中识别的关键审计事项包括：</w:t>
      </w:r>
    </w:p>
    <w:p>
      <w:pPr>
        <w:pStyle w:val="BodyText"/>
        <w:spacing w:line="240" w:lineRule="auto" w:before="19"/>
        <w:ind w:left="513" w:right="93"/>
        <w:jc w:val="left"/>
      </w:pPr>
      <w:r>
        <w:rPr/>
        <w:t>（一）收入确认</w:t>
      </w:r>
    </w:p>
    <w:p>
      <w:pPr>
        <w:pStyle w:val="BodyText"/>
        <w:spacing w:line="300" w:lineRule="auto" w:before="76"/>
        <w:ind w:left="513" w:right="3333"/>
        <w:jc w:val="left"/>
      </w:pPr>
      <w:r>
        <w:rPr>
          <w:rFonts w:ascii="Times New Roman" w:hAnsi="Times New Roman" w:cs="Times New Roman" w:eastAsia="Times New Roman" w:hint="default"/>
        </w:rPr>
        <w:t>1</w:t>
      </w:r>
      <w:r>
        <w:rPr/>
        <w:t>、事项描述： 本年度新晨科技公司收入确认会计政策及账面金额信息请参阅合并财务报表。</w:t>
      </w:r>
    </w:p>
    <w:p>
      <w:pPr>
        <w:pStyle w:val="BodyText"/>
        <w:spacing w:line="316" w:lineRule="auto" w:before="31"/>
        <w:ind w:right="93" w:firstLine="360"/>
        <w:jc w:val="left"/>
      </w:pPr>
      <w:r>
        <w:rPr>
          <w:spacing w:val="-2"/>
        </w:rPr>
        <w:t>营业收入是新晨科技公司的关键业绩指标之一，对财务报表影响重大，从而存在管理层为了达到特定目标或期望而操纵</w:t>
      </w:r>
      <w:r>
        <w:rPr/>
        <w:t> 收入确认时点的固有风险，因此我们将其认定为关键审计事项。</w:t>
      </w:r>
    </w:p>
    <w:p>
      <w:pPr>
        <w:pStyle w:val="BodyText"/>
        <w:spacing w:line="240" w:lineRule="auto" w:before="19"/>
        <w:ind w:left="513" w:right="93"/>
        <w:jc w:val="left"/>
      </w:pPr>
      <w:r>
        <w:rPr>
          <w:rFonts w:ascii="Times New Roman" w:hAnsi="Times New Roman" w:cs="Times New Roman" w:eastAsia="Times New Roman" w:hint="default"/>
        </w:rPr>
        <w:t>2</w:t>
      </w:r>
      <w:r>
        <w:rPr/>
        <w:t>、审计应对</w:t>
      </w:r>
    </w:p>
    <w:p>
      <w:pPr>
        <w:pStyle w:val="BodyText"/>
        <w:spacing w:line="240" w:lineRule="auto" w:before="63"/>
        <w:ind w:left="513" w:right="93"/>
        <w:jc w:val="left"/>
      </w:pPr>
      <w:r>
        <w:rPr/>
        <w:t>（</w:t>
      </w:r>
      <w:r>
        <w:rPr>
          <w:rFonts w:ascii="Times New Roman" w:hAnsi="Times New Roman" w:cs="Times New Roman" w:eastAsia="Times New Roman" w:hint="default"/>
        </w:rPr>
        <w:t>1</w:t>
      </w:r>
      <w:r>
        <w:rPr/>
        <w:t>）我们了解和评估了管理层对收入确认相关内部控制的设计，并测试了关键控制执行的有效性。</w:t>
      </w:r>
    </w:p>
    <w:p>
      <w:pPr>
        <w:pStyle w:val="BodyText"/>
        <w:spacing w:line="309" w:lineRule="auto" w:before="63"/>
        <w:ind w:right="191" w:firstLine="360"/>
        <w:jc w:val="both"/>
      </w:pPr>
      <w:r>
        <w:rPr/>
        <w:t>（</w:t>
      </w:r>
      <w:r>
        <w:rPr>
          <w:rFonts w:ascii="Times New Roman" w:hAnsi="Times New Roman" w:cs="Times New Roman" w:eastAsia="Times New Roman" w:hint="default"/>
        </w:rPr>
        <w:t>2</w:t>
      </w:r>
      <w:r>
        <w:rPr/>
        <w:t>）了解各类业务收入的具体确认方法，评估其是否符合公司业务特点及会计准则的规定，并对各类业务收入选取样 </w:t>
      </w:r>
      <w:r>
        <w:rPr>
          <w:spacing w:val="-2"/>
        </w:rPr>
        <w:t>本进行检查。核实是否已取得客户验收单、客户确认的实际工作量等相关资料；对采用完工百分比法确认的收入，检查是否</w:t>
      </w:r>
      <w:r>
        <w:rPr>
          <w:spacing w:val="-65"/>
        </w:rPr>
        <w:t> </w:t>
      </w:r>
      <w:r>
        <w:rPr>
          <w:spacing w:val="-65"/>
        </w:rPr>
      </w:r>
      <w:r>
        <w:rPr/>
        <w:t>按既定的方法计算完工百分比，及预计总成本的合理性和已发生成本的真实性。</w:t>
      </w:r>
    </w:p>
    <w:p>
      <w:pPr>
        <w:pStyle w:val="BodyText"/>
        <w:spacing w:line="240" w:lineRule="auto" w:before="24"/>
        <w:ind w:left="513" w:right="93"/>
        <w:jc w:val="left"/>
      </w:pPr>
      <w:r>
        <w:rPr/>
        <w:t>（</w:t>
      </w:r>
      <w:r>
        <w:rPr>
          <w:rFonts w:ascii="Times New Roman" w:hAnsi="Times New Roman" w:cs="Times New Roman" w:eastAsia="Times New Roman" w:hint="default"/>
        </w:rPr>
        <w:t>3</w:t>
      </w:r>
      <w:r>
        <w:rPr/>
        <w:t>）选取资产负债表日前后的收入样本进行截止测试，以评估营业收入是否在正确的期间确认。</w:t>
      </w:r>
    </w:p>
    <w:p>
      <w:pPr>
        <w:pStyle w:val="BodyText"/>
        <w:spacing w:line="240" w:lineRule="auto" w:before="63"/>
        <w:ind w:left="513" w:right="93"/>
        <w:jc w:val="left"/>
      </w:pPr>
      <w:r>
        <w:rPr/>
        <w:t>（</w:t>
      </w:r>
      <w:r>
        <w:rPr>
          <w:rFonts w:ascii="Times New Roman" w:hAnsi="Times New Roman" w:cs="Times New Roman" w:eastAsia="Times New Roman" w:hint="default"/>
        </w:rPr>
        <w:t>4</w:t>
      </w:r>
      <w:r>
        <w:rPr/>
        <w:t>）向重要客户进行走访和函证，核实营业收入是否真实，是否计入恰当的会计期间。</w:t>
      </w:r>
    </w:p>
    <w:p>
      <w:pPr>
        <w:pStyle w:val="BodyText"/>
        <w:spacing w:line="300" w:lineRule="auto" w:before="63"/>
        <w:ind w:left="513" w:right="3513"/>
        <w:jc w:val="left"/>
      </w:pPr>
      <w:r>
        <w:rPr/>
        <w:t>（</w:t>
      </w:r>
      <w:r>
        <w:rPr>
          <w:rFonts w:ascii="Times New Roman" w:hAnsi="Times New Roman" w:cs="Times New Roman" w:eastAsia="Times New Roman" w:hint="default"/>
        </w:rPr>
        <w:t>5</w:t>
      </w:r>
      <w:r>
        <w:rPr/>
        <w:t>）评估管理层对收入的财务报表披露是否恰当。 根据已执行的审计工作，我们认为收入确认符合新晨科技公司的会计政策。</w:t>
      </w:r>
    </w:p>
    <w:p>
      <w:pPr>
        <w:spacing w:after="0" w:line="300" w:lineRule="auto"/>
        <w:jc w:val="left"/>
        <w:sectPr>
          <w:type w:val="continuous"/>
          <w:pgSz w:w="11910" w:h="16840"/>
          <w:pgMar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93"/>
        <w:jc w:val="left"/>
      </w:pPr>
      <w:r>
        <w:rPr/>
        <w:t>（二）应收账款的减值</w:t>
      </w:r>
    </w:p>
    <w:p>
      <w:pPr>
        <w:pStyle w:val="BodyText"/>
        <w:spacing w:line="300" w:lineRule="auto" w:before="77"/>
        <w:ind w:left="513" w:right="93"/>
        <w:jc w:val="left"/>
      </w:pPr>
      <w:r>
        <w:rPr>
          <w:rFonts w:ascii="Times New Roman" w:hAnsi="Times New Roman" w:cs="Times New Roman" w:eastAsia="Times New Roman" w:hint="default"/>
        </w:rPr>
        <w:t>1</w:t>
      </w:r>
      <w:r>
        <w:rPr/>
        <w:t>、事项描述 </w:t>
      </w:r>
      <w:r>
        <w:rPr>
          <w:spacing w:val="-2"/>
        </w:rPr>
        <w:t>本年度新晨科技公司应收账款及减值情况请参阅合并财务报表。截至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日，新晨科技公司应收账款账面余额</w:t>
      </w:r>
    </w:p>
    <w:p>
      <w:pPr>
        <w:pStyle w:val="BodyText"/>
        <w:spacing w:line="300" w:lineRule="auto" w:before="13"/>
        <w:ind w:left="513" w:right="93" w:hanging="361"/>
        <w:jc w:val="left"/>
      </w:pPr>
      <w:r>
        <w:rPr/>
        <w:t>为人民币</w:t>
      </w:r>
      <w:r>
        <w:rPr>
          <w:rFonts w:ascii="Times New Roman" w:hAnsi="Times New Roman" w:cs="Times New Roman" w:eastAsia="Times New Roman" w:hint="default"/>
        </w:rPr>
        <w:t>37,448.65</w:t>
      </w:r>
      <w:r>
        <w:rPr/>
        <w:t>万元，占资产总额的</w:t>
      </w:r>
      <w:r>
        <w:rPr>
          <w:rFonts w:ascii="Times New Roman" w:hAnsi="Times New Roman" w:cs="Times New Roman" w:eastAsia="Times New Roman" w:hint="default"/>
        </w:rPr>
        <w:t>47.43%</w:t>
      </w:r>
      <w:r>
        <w:rPr/>
        <w:t>。 </w:t>
      </w:r>
      <w:r>
        <w:rPr>
          <w:spacing w:val="-2"/>
        </w:rPr>
        <w:t>管理层定期对单项金额重大的应收账款进行单独的信用风险评估。该等评估重点关注客户的历史结算记录及当前支付能</w:t>
      </w:r>
    </w:p>
    <w:p>
      <w:pPr>
        <w:pStyle w:val="BodyText"/>
        <w:spacing w:line="316" w:lineRule="auto" w:before="31"/>
        <w:ind w:right="190"/>
        <w:jc w:val="both"/>
      </w:pPr>
      <w:r>
        <w:rPr>
          <w:spacing w:val="-2"/>
        </w:rPr>
        <w:t>力，并考虑客户自身及其所处行业的经济环境的特定信息。对于无须进行单独评估或单独评估未发生减值的应收款项，管理</w:t>
      </w:r>
      <w:r>
        <w:rPr>
          <w:spacing w:val="-63"/>
        </w:rPr>
        <w:t> </w:t>
      </w:r>
      <w:r>
        <w:rPr>
          <w:spacing w:val="-63"/>
        </w:rPr>
      </w:r>
      <w:r>
        <w:rPr/>
        <w:t>层在考虑该等客户组账龄分析及发生减值损失的历史记录基础上实施了组合减值评估。</w:t>
      </w:r>
    </w:p>
    <w:p>
      <w:pPr>
        <w:pStyle w:val="BodyText"/>
        <w:spacing w:line="316" w:lineRule="auto" w:before="19"/>
        <w:ind w:right="191" w:firstLine="360"/>
        <w:jc w:val="both"/>
      </w:pPr>
      <w:r>
        <w:rPr>
          <w:spacing w:val="-2"/>
        </w:rPr>
        <w:t>由于应收账款可收回性的确定需要管理层识别已发生减值的项目和客观证据、评估预期未来可获取的现金流量并确定其</w:t>
      </w:r>
      <w:r>
        <w:rPr/>
        <w:t> </w:t>
      </w:r>
      <w:r>
        <w:rPr>
          <w:spacing w:val="-2"/>
        </w:rPr>
        <w:t>现值，涉及管理层运用重大会计估计和判断，且应收账款的可收回性对于财务报表具有重要性，因此，我们将应收账款的可</w:t>
      </w:r>
      <w:r>
        <w:rPr>
          <w:spacing w:val="-64"/>
        </w:rPr>
        <w:t> </w:t>
      </w:r>
      <w:r>
        <w:rPr>
          <w:spacing w:val="-64"/>
        </w:rPr>
      </w:r>
      <w:r>
        <w:rPr/>
        <w:t>收回性认定为关键审计事项。</w:t>
      </w:r>
    </w:p>
    <w:p>
      <w:pPr>
        <w:pStyle w:val="BodyText"/>
        <w:spacing w:line="240" w:lineRule="auto" w:before="19"/>
        <w:ind w:left="513" w:right="93"/>
        <w:jc w:val="left"/>
      </w:pPr>
      <w:r>
        <w:rPr>
          <w:rFonts w:ascii="Times New Roman" w:hAnsi="Times New Roman" w:cs="Times New Roman" w:eastAsia="Times New Roman" w:hint="default"/>
        </w:rPr>
        <w:t>2</w:t>
      </w:r>
      <w:r>
        <w:rPr/>
        <w:t>、审计应对</w:t>
      </w:r>
    </w:p>
    <w:p>
      <w:pPr>
        <w:pStyle w:val="BodyText"/>
        <w:spacing w:line="300" w:lineRule="auto" w:before="63"/>
        <w:ind w:right="184" w:firstLine="360"/>
        <w:jc w:val="left"/>
      </w:pPr>
      <w:r>
        <w:rPr/>
        <w:t>（</w:t>
      </w:r>
      <w:r>
        <w:rPr>
          <w:rFonts w:ascii="Times New Roman" w:hAnsi="Times New Roman" w:cs="Times New Roman" w:eastAsia="Times New Roman" w:hint="default"/>
        </w:rPr>
        <w:t>1</w:t>
      </w:r>
      <w:r>
        <w:rPr/>
        <w:t>）我们了解和评估管理层对应收账款日常管理及可收回性评估相关的内部控制的设计，并通过测试评价相关内部控 制的执行情况。</w:t>
      </w:r>
    </w:p>
    <w:p>
      <w:pPr>
        <w:pStyle w:val="BodyText"/>
        <w:spacing w:line="312" w:lineRule="auto" w:before="32"/>
        <w:ind w:right="93" w:firstLine="360"/>
        <w:jc w:val="left"/>
      </w:pPr>
      <w:r>
        <w:rPr/>
        <w:t>（</w:t>
      </w:r>
      <w:r>
        <w:rPr>
          <w:rFonts w:ascii="Times New Roman" w:hAnsi="Times New Roman" w:cs="Times New Roman" w:eastAsia="Times New Roman" w:hint="default"/>
        </w:rPr>
        <w:t>2</w:t>
      </w:r>
      <w:r>
        <w:rPr/>
        <w:t>）我们对单项金额重大并已单独计提坏账准备的应收账款进行了抽样减值测试，复核管理层对预计未来可获得的现 </w:t>
      </w:r>
      <w:r>
        <w:rPr>
          <w:spacing w:val="-2"/>
        </w:rPr>
        <w:t>金流量做出评估的依据，以核实坏账准备的计提时点和金额的合理性。此外，我们抽样检查了管理层未识别出存在潜在减值</w:t>
      </w:r>
      <w:r>
        <w:rPr>
          <w:spacing w:val="-65"/>
        </w:rPr>
        <w:t> </w:t>
      </w:r>
      <w:r>
        <w:rPr>
          <w:spacing w:val="-65"/>
        </w:rPr>
      </w:r>
      <w:r>
        <w:rPr>
          <w:spacing w:val="-4"/>
        </w:rPr>
        <w:t>风险的重大客户，并实施审计程序以测试其可回收性。我们的程序包括检查交易合同安排、交易进度，查阅客户的公开信息，</w:t>
      </w:r>
      <w:r>
        <w:rPr>
          <w:spacing w:val="-46"/>
        </w:rPr>
        <w:t> </w:t>
      </w:r>
      <w:r>
        <w:rPr>
          <w:spacing w:val="-46"/>
        </w:rPr>
      </w:r>
      <w:r>
        <w:rPr/>
        <w:t>通过检查对客户的过往收款及期后收款情况评估客户是否面临重大财务困难、欠付或拖欠付款等。</w:t>
      </w:r>
    </w:p>
    <w:p>
      <w:pPr>
        <w:pStyle w:val="BodyText"/>
        <w:spacing w:line="300" w:lineRule="auto" w:before="22"/>
        <w:ind w:right="184" w:firstLine="360"/>
        <w:jc w:val="left"/>
      </w:pPr>
      <w:r>
        <w:rPr/>
        <w:t>（</w:t>
      </w:r>
      <w:r>
        <w:rPr>
          <w:rFonts w:ascii="Times New Roman" w:hAnsi="Times New Roman" w:cs="Times New Roman" w:eastAsia="Times New Roman" w:hint="default"/>
        </w:rPr>
        <w:t>3</w:t>
      </w:r>
      <w:r>
        <w:rPr/>
        <w:t>）我们对管理层按照信用风险特征组合计提坏账准备的应收账款进行了减值测试，检查账龄分析是否正确，并结合 行业平均坏账准备计提比例评估管理层所采用的坏账准备计提比例是否适当。评价管理层坏账准备计提的合理性。</w:t>
      </w:r>
    </w:p>
    <w:p>
      <w:pPr>
        <w:pStyle w:val="BodyText"/>
        <w:spacing w:line="240" w:lineRule="auto" w:before="31"/>
        <w:ind w:left="513" w:right="93"/>
        <w:jc w:val="left"/>
      </w:pPr>
      <w:r>
        <w:rPr/>
        <w:t>（</w:t>
      </w:r>
      <w:r>
        <w:rPr>
          <w:rFonts w:ascii="Times New Roman" w:hAnsi="Times New Roman" w:cs="Times New Roman" w:eastAsia="Times New Roman" w:hint="default"/>
        </w:rPr>
        <w:t>4</w:t>
      </w:r>
      <w:r>
        <w:rPr/>
        <w:t>）我们抽样检查了应收账款的期后回款情况。</w:t>
      </w:r>
    </w:p>
    <w:p>
      <w:pPr>
        <w:pStyle w:val="BodyText"/>
        <w:spacing w:line="312" w:lineRule="auto" w:before="63"/>
        <w:ind w:left="513" w:right="93"/>
        <w:jc w:val="left"/>
      </w:pPr>
      <w:r>
        <w:rPr/>
        <w:t>（</w:t>
      </w:r>
      <w:r>
        <w:rPr>
          <w:rFonts w:ascii="Times New Roman" w:hAnsi="Times New Roman" w:cs="Times New Roman" w:eastAsia="Times New Roman" w:hint="default"/>
        </w:rPr>
        <w:t>5</w:t>
      </w:r>
      <w:r>
        <w:rPr/>
        <w:t>）我们评估了管理层于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日对应收账款坏账准备的会计处理及披露。 基于已执行的审计工作，我们认为，管理层对应收账款的可收回性的相关判断及估计是合理的。 四、管理层和治理层对财务报表的责任 新晨科技公司管理层负责按照企业会计准则的规定编制财务报表，使其实现公允反映，并设计、执行和维护必要的内</w:t>
      </w:r>
    </w:p>
    <w:p>
      <w:pPr>
        <w:pStyle w:val="BodyText"/>
        <w:spacing w:line="319" w:lineRule="auto" w:before="22"/>
        <w:ind w:left="513" w:right="93" w:hanging="361"/>
        <w:jc w:val="left"/>
      </w:pPr>
      <w:r>
        <w:rPr/>
        <w:t>部控制，以使财务报表不存在由于舞弊或错误导致的重大错报。 </w:t>
      </w:r>
      <w:r>
        <w:rPr>
          <w:spacing w:val="-7"/>
        </w:rPr>
        <w:t>在编制财务报表时，新晨科技公司管理层负责评估新晨科技公司的持续经营能力，披露与持续经营相关的事项（如适用），</w:t>
      </w:r>
    </w:p>
    <w:p>
      <w:pPr>
        <w:pStyle w:val="BodyText"/>
        <w:spacing w:line="316" w:lineRule="auto" w:before="17"/>
        <w:ind w:left="513" w:right="93" w:hanging="361"/>
        <w:jc w:val="left"/>
      </w:pPr>
      <w:r>
        <w:rPr/>
        <w:t>并运用持续经营假设，除非管理层计划清算新晨科技公司、终止运营或别无其他现实的选择。 五、注册会计师对财务报表审计的责任 </w:t>
      </w:r>
      <w:r>
        <w:rPr>
          <w:spacing w:val="-2"/>
        </w:rPr>
        <w:t>我们的目标是对财务报表整体是否不存在由于舞弊或错误导致的重大错报获取合理保证，并出具包含审计意见的审计报</w:t>
      </w:r>
    </w:p>
    <w:p>
      <w:pPr>
        <w:pStyle w:val="BodyText"/>
        <w:spacing w:line="316" w:lineRule="auto" w:before="19"/>
        <w:ind w:right="190"/>
        <w:jc w:val="both"/>
      </w:pP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3" w:right="93"/>
        <w:jc w:val="left"/>
      </w:pPr>
      <w:r>
        <w:rPr/>
        <w:t>在按照审计准则执行审计工作的过程中，我们运用职业判断，并保持职业怀疑。同时，我们也执行以下工作：</w:t>
      </w:r>
    </w:p>
    <w:p>
      <w:pPr>
        <w:pStyle w:val="BodyText"/>
        <w:spacing w:line="309" w:lineRule="auto" w:before="76"/>
        <w:ind w:right="192" w:firstLine="360"/>
        <w:jc w:val="both"/>
      </w:pPr>
      <w:r>
        <w:rPr>
          <w:rFonts w:ascii="Times New Roman" w:hAnsi="Times New Roman" w:cs="Times New Roman" w:eastAsia="Times New Roman" w:hint="default"/>
          <w:spacing w:val="-1"/>
        </w:rPr>
        <w:t>1.</w:t>
      </w:r>
      <w:r>
        <w:rPr>
          <w:spacing w:val="-1"/>
        </w:rPr>
        <w:t>识别和评估由于舞弊或错误导致的财务报表重大错报风险，设计和实施审计程序以应对这些风险，并获取充分、适当</w:t>
      </w:r>
      <w:r>
        <w:rPr/>
        <w:t> </w:t>
      </w:r>
      <w:r>
        <w:rPr>
          <w:spacing w:val="-2"/>
        </w:rPr>
        <w:t>的审计证据，作为发表审计意见的基础。由于舞弊可能涉及串通、伪造、故意遗漏、虚假陈述或凌驾于内部控制之上，未能</w:t>
      </w:r>
      <w:r>
        <w:rPr>
          <w:spacing w:val="-70"/>
        </w:rPr>
        <w:t> </w:t>
      </w:r>
      <w:r>
        <w:rPr>
          <w:spacing w:val="-70"/>
        </w:rPr>
      </w:r>
      <w:r>
        <w:rPr/>
        <w:t>发现由于舞弊导致的重大错报的风险高于未能发现由于错误导致的重大错报的风险。</w:t>
      </w:r>
    </w:p>
    <w:p>
      <w:pPr>
        <w:pStyle w:val="BodyText"/>
        <w:spacing w:line="240" w:lineRule="auto" w:before="24"/>
        <w:ind w:left="513" w:right="93"/>
        <w:jc w:val="left"/>
      </w:pP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63"/>
        <w:ind w:left="513" w:right="93"/>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91" w:firstLine="360"/>
        <w:jc w:val="both"/>
      </w:pPr>
      <w:r>
        <w:rPr>
          <w:rFonts w:ascii="Times New Roman" w:hAnsi="Times New Roman" w:cs="Times New Roman" w:eastAsia="Times New Roman" w:hint="default"/>
          <w:spacing w:val="-1"/>
        </w:rPr>
        <w:t>4.</w:t>
      </w:r>
      <w:r>
        <w:rPr>
          <w:spacing w:val="-1"/>
        </w:rPr>
        <w:t>对管理层使用持续经营假设的恰当性得出结论。同时，根据获取的审计证据，就可能导致对新晨科技公司持续经营能</w:t>
      </w:r>
      <w:r>
        <w:rPr/>
        <w:t>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们在审计报告中提请报告使用者注意财务报表中的相关披露；如果披露不充分，我们应当发表非无保留意见。我们的结论基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于截至审计报告日可获得的信息。然而，未来的事项或情况可能导致新晨科技公司不能持续经营。</w:t>
      </w:r>
    </w:p>
    <w:p>
      <w:pPr>
        <w:pStyle w:val="BodyText"/>
        <w:spacing w:line="240" w:lineRule="auto" w:before="22"/>
        <w:ind w:left="513" w:right="93"/>
        <w:jc w:val="left"/>
      </w:pP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240" w:lineRule="auto" w:before="62"/>
        <w:ind w:left="513" w:right="93"/>
        <w:jc w:val="left"/>
      </w:pPr>
      <w:r>
        <w:rPr>
          <w:rFonts w:ascii="Times New Roman" w:hAnsi="Times New Roman" w:cs="Times New Roman" w:eastAsia="Times New Roman" w:hint="default"/>
        </w:rPr>
        <w:t>6.</w:t>
      </w:r>
      <w:r>
        <w:rPr/>
        <w:t>就新晨科技公司中实体或业务活动的财务信息获取充分、适当的审计证据，以对财务报表发表意见。我们负责指导、</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0" w:hanging="361"/>
        <w:jc w:val="left"/>
      </w:pPr>
      <w:r>
        <w:rPr/>
        <w:t>监督和执行集团审计。我们对审计意见承担全部责任。 </w:t>
      </w:r>
      <w:r>
        <w:rPr>
          <w:spacing w:val="-2"/>
        </w:rPr>
        <w:t>我们与治理层就计划的审计范围、时间安排和重大审计发现等事项进行沟通，包括沟通我们在审计中识别出的值得关注</w:t>
      </w:r>
    </w:p>
    <w:p>
      <w:pPr>
        <w:pStyle w:val="BodyText"/>
        <w:spacing w:line="316" w:lineRule="auto" w:before="17"/>
        <w:ind w:left="513" w:right="0" w:hanging="361"/>
        <w:jc w:val="left"/>
      </w:pPr>
      <w:r>
        <w:rPr/>
        <w:t>的内部控制缺陷。 </w:t>
      </w:r>
      <w:r>
        <w:rPr>
          <w:spacing w:val="-2"/>
        </w:rPr>
        <w:t>我们还就已遵守与独立性相关的职业道德要求向治理层提供声明，并与治理层沟通可能被合理认为影响我们独立性的所</w:t>
      </w:r>
    </w:p>
    <w:p>
      <w:pPr>
        <w:pStyle w:val="BodyText"/>
        <w:spacing w:line="316" w:lineRule="auto" w:before="19"/>
        <w:ind w:left="513" w:right="0" w:hanging="361"/>
        <w:jc w:val="left"/>
      </w:pPr>
      <w:r>
        <w:rPr/>
        <w:t>有关系和其他事项，以及相关的防范措施（如适用）。 </w:t>
      </w:r>
      <w:r>
        <w:rPr>
          <w:spacing w:val="-2"/>
        </w:rPr>
        <w:t>从与治理层沟通过的事项中，我们确定哪些事项对本期财务报表审计最为重要，因而构成关键审计事项。我们在审计报</w:t>
      </w:r>
    </w:p>
    <w:p>
      <w:pPr>
        <w:pStyle w:val="BodyText"/>
        <w:spacing w:line="316" w:lineRule="auto" w:before="19"/>
        <w:ind w:right="0"/>
        <w:jc w:val="left"/>
      </w:pPr>
      <w:r>
        <w:rPr>
          <w:spacing w:val="-2"/>
        </w:rPr>
        <w:t>告中描述这些事项，除非法律法规禁止公开披露这些事项，或在极少数情形下，如果合理预期在审计报告中沟通某事项造成</w:t>
      </w:r>
      <w:r>
        <w:rPr>
          <w:spacing w:val="-61"/>
        </w:rPr>
        <w:t> </w:t>
      </w:r>
      <w:r>
        <w:rPr>
          <w:spacing w:val="-61"/>
        </w:rPr>
      </w:r>
      <w:r>
        <w:rPr/>
        <w:t>的负面后果超过在公众利益方面产生的益处，我们确定不应在审计报告中沟通该事项。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BodyText"/>
        <w:tabs>
          <w:tab w:pos="4087" w:val="left" w:leader="none"/>
        </w:tabs>
        <w:spacing w:line="240" w:lineRule="auto"/>
        <w:ind w:right="153"/>
        <w:jc w:val="left"/>
      </w:pPr>
      <w:r>
        <w:rPr/>
        <w:t>大华会计师事务所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tab/>
      </w:r>
      <w:r>
        <w:rPr/>
        <w:t>中国注册会计师：</w:t>
      </w:r>
    </w:p>
    <w:p>
      <w:pPr>
        <w:pStyle w:val="BodyText"/>
        <w:spacing w:line="240" w:lineRule="auto" w:before="63"/>
        <w:ind w:left="2392" w:right="3146"/>
        <w:jc w:val="center"/>
      </w:pPr>
      <w:r>
        <w:rPr/>
        <w:t>（项目合伙人）</w:t>
      </w:r>
    </w:p>
    <w:p>
      <w:pPr>
        <w:spacing w:after="0" w:line="240" w:lineRule="auto"/>
        <w:jc w:val="center"/>
        <w:sectPr>
          <w:pgSz w:w="11910" w:h="16840"/>
          <w:pgMar w:header="745" w:footer="980" w:top="1060" w:bottom="1160" w:left="980" w:right="980"/>
        </w:sectPr>
      </w:pPr>
    </w:p>
    <w:p>
      <w:pPr>
        <w:pStyle w:val="BodyText"/>
        <w:spacing w:line="240" w:lineRule="auto" w:before="76"/>
        <w:ind w:right="-19"/>
        <w:jc w:val="left"/>
      </w:pPr>
      <w:r>
        <w:rPr/>
        <w:t>中国</w:t>
      </w:r>
      <w:r>
        <w:rPr>
          <w:rFonts w:ascii="Times New Roman" w:hAnsi="Times New Roman" w:cs="Times New Roman" w:eastAsia="Times New Roman" w:hint="default"/>
        </w:rPr>
        <w:t>·</w:t>
      </w:r>
      <w:r>
        <w:rPr/>
        <w:t>北京</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636" w:lineRule="auto" w:before="153"/>
        <w:ind w:left="277" w:right="3950" w:hanging="125"/>
        <w:jc w:val="left"/>
      </w:pPr>
      <w:r>
        <w:rPr/>
        <w:t>中国注册会计师： 二〇一八年四月二十日</w:t>
      </w:r>
    </w:p>
    <w:p>
      <w:pPr>
        <w:spacing w:after="0" w:line="636" w:lineRule="auto"/>
        <w:jc w:val="left"/>
        <w:sectPr>
          <w:type w:val="continuous"/>
          <w:pgSz w:w="11910" w:h="16840"/>
          <w:pgMar w:top="1060" w:bottom="1160" w:left="980" w:right="980"/>
          <w:cols w:num="2" w:equalWidth="0">
            <w:col w:w="934" w:space="2965"/>
            <w:col w:w="6051"/>
          </w:cols>
        </w:sectPr>
      </w:pPr>
    </w:p>
    <w:p>
      <w:pPr>
        <w:pStyle w:val="Heading2"/>
        <w:spacing w:line="240" w:lineRule="auto" w:before="33"/>
        <w:ind w:right="15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240" w:lineRule="auto" w:before="44"/>
        <w:ind w:right="-20"/>
        <w:jc w:val="left"/>
      </w:pPr>
      <w:r>
        <w:rPr/>
        <w:t>编制单位：新晨科技股份有限公司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2853" w:space="1223"/>
            <w:col w:w="1642" w:space="3202"/>
            <w:col w:w="1030"/>
          </w:cols>
        </w:sectPr>
      </w:pP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291,786,700.71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315,485,088.48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322,544,206.44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234,775,114.14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8,259,938.18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13,723,971.68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7,794,789.86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5,115,066.02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33,186,538.52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41,968,558.76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6,247,725.48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517,616.32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673,194,899.19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611,585,415.40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1,322,731.05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1,505,195.27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12,868,828.23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13,054,391.99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89,622,829.57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92,026,015.52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2,373,423.64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1,440,981.93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726,627.23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748,912.47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8,376,588.25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6,163,411.92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116,291,027.97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114,938,909.10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789,485,927.16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726,524,324.50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35,628,836.63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6,948,320.00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8,855,570.00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103,655,423.70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54,575,090.98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7,367,252.73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34,044,344.95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18,464,652.49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15,907,697.81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31,442,724.51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11,411,652.64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103,328.83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25,485,551.81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1,670,651.52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316,901.88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316,901.88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193,680,827.12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162,514,075.24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671,202.46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988,104.34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671,202.46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988,104.34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194,352,029.58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163,502,179.58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91,191,500.00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224,707,239.03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199,256,514.42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24,256,535.00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39,991,615.35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36,925,460.85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263,511,881.12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236,700,724.74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595,145,700.50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563,032,700.01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-10,555.09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595,133,897.58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563,022,144.92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789,485,927.16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726,524,324.50</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749" w:val="left" w:leader="none"/>
        </w:tabs>
        <w:spacing w:line="240" w:lineRule="auto" w:before="44"/>
        <w:ind w:left="0" w:right="242"/>
        <w:jc w:val="right"/>
      </w:pPr>
      <w:r>
        <w:rPr/>
        <w:t>法定代表人：康路</w:t>
        <w:tab/>
      </w:r>
      <w:r>
        <w:rPr>
          <w:spacing w:val="-1"/>
        </w:rPr>
        <w:t>主管会计工作负责人：余克俭</w:t>
        <w:tab/>
      </w:r>
      <w:r>
        <w:rPr/>
        <w:t>会计机构负责人：牛敬</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201,998,962.49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245,076,811.08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305,137,737.98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215,672,193.92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6,661,259.27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13,329,982.99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6,663,567.66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7,795,213.78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33,019,753.14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37,539,084.92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5,791,598.36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562,647,878.90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519,413,286.69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63,818,349.80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55,067,362.56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1,322,731.05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1,505,195.27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10,557,709.16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10,492,680.79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89,622,829.57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92,026,015.52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2,136,979.95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1,175,345.36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7,998,936.56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5,941,256.76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176,457,536.09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166,207,856.26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739,105,414.99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685,621,142.95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35,628,836.63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6,948,320.00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8,855,570.00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101,461,594.51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51,391,245.00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5,342,922.73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32,842,513.15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10,913,072.30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9,640,157.25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27,333,689.03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9,651,529.30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103,328.83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25,282,556.33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1,954,535.39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316,901.88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316,901.88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177,599,056.78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150,384,617.43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671,202.46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988,104.34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671,202.46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988,104.34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178,270,259.24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151,372,721.77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91,191,500.00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222,081,849.46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196,631,124.85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24,256,535.00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39,991,615.35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36,925,460.85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231,826,725.94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210,541,835.48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560,835,155.75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534,248,421.18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739,105,414.99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685,621,142.95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2"/>
        <w:rPr>
          <w:rFonts w:ascii="Times New Roman" w:hAnsi="Times New Roman" w:cs="Times New Roman" w:eastAsia="Times New Roman" w:hint="default"/>
          <w:sz w:val="28"/>
          <w:szCs w:val="28"/>
        </w:rPr>
      </w:pPr>
      <w:r>
        <w:rPr/>
        <w:pict>
          <v:group style="position:absolute;margin-left:211.009995pt;margin-top:629.409973pt;width:158.9pt;height:20.65pt;mso-position-horizontal-relative:page;mso-position-vertical-relative:page;z-index:-832912" coordorigin="4220,12588" coordsize="3178,413">
            <v:group style="position:absolute;left:4231;top:12599;width:2;height:392" coordorigin="4231,12599" coordsize="2,392">
              <v:shape style="position:absolute;left:4231;top:12599;width:2;height:392" coordorigin="4231,12599" coordsize="0,392" path="m4231,12599l4231,12990e" filled="false" stroked="true" strokeweight="1.08pt" strokecolor="#ffffff">
                <v:path arrowok="t"/>
              </v:shape>
            </v:group>
            <v:group style="position:absolute;left:4242;top:12599;width:3157;height:392" coordorigin="4242,12599" coordsize="3157,392">
              <v:shape style="position:absolute;left:4242;top:12599;width:3157;height:392" coordorigin="4242,12599" coordsize="3157,392" path="m4242,12990l7398,12990,7398,12599,4242,12599,4242,12990xe" filled="true" fillcolor="#ffffff" stroked="false">
                <v:path arrowok="t"/>
                <v:fill type="solid"/>
              </v:shape>
            </v:group>
            <w10:wrap type="none"/>
          </v:group>
        </w:pict>
      </w: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606,451,812.65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431,422,441.35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606,451,812.65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431,422,441.35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570,361,349.57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396,115,630.72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463,013,272.12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312,427,840.57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4,642,431.24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1,773,186.35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23,956,657.52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21,540,507.28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68,205,527.65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44,434,837.76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-2,040,523.80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1,535,519.94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12,583,984.84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14,403,738.82</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-30,165.61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-4,721.70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2,336,973.17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38,397,270.64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35,302,088.93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153,821.39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1,979,505.00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2,124.43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71.939980pt;width:158.9pt;height:20.65pt;mso-position-horizontal-relative:page;mso-position-vertical-relative:page;z-index:-832888" coordorigin="4220,1439" coordsize="3178,413">
            <v:group style="position:absolute;left:4231;top:1450;width:2;height:392" coordorigin="4231,1450" coordsize="2,392">
              <v:shape style="position:absolute;left:4231;top:1450;width:2;height:392" coordorigin="4231,1450" coordsize="0,392" path="m4231,1450l4231,1841e" filled="false" stroked="true" strokeweight="1.08pt" strokecolor="#ffffff">
                <v:path arrowok="t"/>
              </v:shape>
            </v:group>
            <v:group style="position:absolute;left:4242;top:1450;width:3157;height:392" coordorigin="4242,1450" coordsize="3157,392">
              <v:shape style="position:absolute;left:4242;top:1450;width:3157;height:392" coordorigin="4242,1450" coordsize="3157,392" path="m4242,1841l7398,1841,7398,1450,4242,1450,4242,184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117"/>
        <w:gridCol w:w="2105"/>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38,551,092.03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37,279,469.50</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2,364,528.98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2,885,333.71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36,186,563.05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34,394,135.79</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36,186,563.05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34,394,135.79</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36,187,810.88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34,396,365.86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-2,230.07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36,186,563.05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34,394,135.79</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36,187,810.88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34,396,365.86</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0.47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5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0.47</w:t>
            </w:r>
          </w:p>
        </w:tc>
      </w:tr>
    </w:tbl>
    <w:p>
      <w:pPr>
        <w:pStyle w:val="BodyText"/>
        <w:tabs>
          <w:tab w:pos="3578" w:val="left" w:leader="none"/>
          <w:tab w:pos="7901" w:val="left" w:leader="none"/>
        </w:tabs>
        <w:spacing w:line="595" w:lineRule="auto" w:before="49"/>
        <w:ind w:right="242"/>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法定代表人：康路</w:t>
        <w:tab/>
      </w:r>
      <w:r>
        <w:rPr>
          <w:spacing w:val="-1"/>
        </w:rPr>
        <w:t>主管会计工作负责人：余克俭</w:t>
        <w:tab/>
      </w:r>
      <w:r>
        <w:rPr/>
        <w:t>会计机构负责人：牛敬</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492,233,454.58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325,064,517.04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382,766,723.09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232,191,447.03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3,614,001.86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996,563.75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13,305,843.59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11,363,384.50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50,937,567.64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34,093,107.26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-1,813,499.23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1,692,210.81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12,550,064.74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13,800,278.11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-30,165.61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-1,783.65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746,973.17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31,589,560.45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30,925,741.93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142,382.73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1,716,960.26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31,731,943.18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32,642,702.19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1,070,398.22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1,388,093.74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30,661,544.96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31,254,608.45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30,661,544.96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31,254,608.45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30,661,544.96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31,254,608.45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549,481,558.15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421,102,282.55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733,120.84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253,190.48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22,148,363.64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20,378,526.35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572,363,042.63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441,733,999.38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317,719,047.11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239,853,803.49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163,046,236.06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127,954,286.03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17,239,892.06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15,480,719.50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74,849,483.94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68,447,349.74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572,854,659.17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451,736,158.76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-491,616.54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-10,002,159.38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1,310.00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4,170,910.21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6,159,378.01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5,170,910.21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6,159,378.01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-5,169,600.21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-6,158,578.01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24,256,535.00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164,885,500.00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86,510,544.36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24,256,535.00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251,396,044.36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35,628,836.63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102,538,627.72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6,472,430.88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2,167,011.27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4,254,725.00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42,101,267.51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108,960,363.99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-17,844,732.51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142,435,680.37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-20,189.51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26,544.33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-23,526,138.77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126,301,487.31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309,703,944.48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183,402,457.17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286,177,805.71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309,703,944.48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410,343,519.72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315,481,976.27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450,069.52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204,389.82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33,848,003.27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61,429,235.87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444,641,592.51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377,115,601.96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285,383,235.76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195,138,947.21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89,176,203.29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80,621,980.90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9,449,235.17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8,541,071.08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72,931,453.82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101,311,644.98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456,940,128.04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385,613,644.17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-12,298,535.53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-8,498,042.21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1,310.00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3,743,452.04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5,643,295.08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12,743,452.04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5,643,295.08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-12,742,142.04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-5,642,995.08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24,256,535.00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164,885,500.00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86,510,544.36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24,256,535.00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251,396,044.36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35,628,836.63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102,538,627.72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6,472,430.88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2,167,011.27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4,254,725.00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42,101,267.51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108,960,363.99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-17,844,732.51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142,435,680.37</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-20,189.51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26,544.33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-42,905,599.59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128,321,187.41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239,295,667.08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110,974,479.67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196,390,067.49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239,295,667.08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75"/>
        <w:gridCol w:w="1103"/>
        <w:gridCol w:w="235"/>
        <w:gridCol w:w="235"/>
        <w:gridCol w:w="238"/>
        <w:gridCol w:w="1181"/>
        <w:gridCol w:w="1090"/>
        <w:gridCol w:w="238"/>
        <w:gridCol w:w="236"/>
        <w:gridCol w:w="1092"/>
        <w:gridCol w:w="235"/>
        <w:gridCol w:w="1181"/>
        <w:gridCol w:w="835"/>
        <w:gridCol w:w="1183"/>
      </w:tblGrid>
      <w:tr>
        <w:trPr>
          <w:trHeight w:val="401" w:hRule="exact"/>
        </w:trPr>
        <w:tc>
          <w:tcPr>
            <w:tcW w:w="575" w:type="dxa"/>
            <w:vMerge w:val="restart"/>
            <w:tcBorders>
              <w:top w:val="single" w:sz="4" w:space="0" w:color="000000"/>
              <w:left w:val="single" w:sz="4" w:space="0" w:color="000000"/>
              <w:right w:val="single" w:sz="4" w:space="0" w:color="000000"/>
            </w:tcBorders>
            <w:shd w:val="clear" w:color="auto" w:fill="D2D2D2"/>
          </w:tcPr>
          <w:p>
            <w:pPr/>
          </w:p>
        </w:tc>
        <w:tc>
          <w:tcPr>
            <w:tcW w:w="908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8" w:hRule="exact"/>
        </w:trPr>
        <w:tc>
          <w:tcPr>
            <w:tcW w:w="575" w:type="dxa"/>
            <w:vMerge/>
            <w:tcBorders>
              <w:left w:val="single" w:sz="4" w:space="0" w:color="000000"/>
              <w:right w:val="single" w:sz="4" w:space="0" w:color="000000"/>
            </w:tcBorders>
            <w:shd w:val="clear" w:color="auto" w:fill="D2D2D2"/>
          </w:tcPr>
          <w:p>
            <w:pPr/>
          </w:p>
        </w:tc>
        <w:tc>
          <w:tcPr>
            <w:tcW w:w="70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35" w:type="dxa"/>
            <w:vMerge w:val="restart"/>
            <w:tcBorders>
              <w:top w:val="single" w:sz="4" w:space="0" w:color="000000"/>
              <w:left w:val="single" w:sz="4" w:space="0" w:color="000000"/>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
        </w:tc>
      </w:tr>
      <w:tr>
        <w:trPr>
          <w:trHeight w:val="354" w:hRule="exact"/>
        </w:trPr>
        <w:tc>
          <w:tcPr>
            <w:tcW w:w="575" w:type="dxa"/>
            <w:vMerge/>
            <w:tcBorders>
              <w:left w:val="single" w:sz="4" w:space="0" w:color="000000"/>
              <w:bottom w:val="nil" w:sz="6" w:space="0" w:color="auto"/>
              <w:right w:val="single" w:sz="4" w:space="0" w:color="000000"/>
            </w:tcBorders>
            <w:shd w:val="clear" w:color="auto" w:fill="D2D2D2"/>
          </w:tcPr>
          <w:p>
            <w:pPr/>
          </w:p>
        </w:tc>
        <w:tc>
          <w:tcPr>
            <w:tcW w:w="1103" w:type="dxa"/>
            <w:vMerge w:val="restart"/>
            <w:tcBorders>
              <w:top w:val="single" w:sz="4" w:space="0" w:color="000000"/>
              <w:left w:val="single" w:sz="4" w:space="0" w:color="000000"/>
              <w:right w:val="single" w:sz="4" w:space="0" w:color="000000"/>
            </w:tcBorders>
            <w:shd w:val="clear" w:color="auto" w:fill="D2D2D2"/>
          </w:tcPr>
          <w:p>
            <w:pPr/>
          </w:p>
        </w:tc>
        <w:tc>
          <w:tcPr>
            <w:tcW w:w="70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79" w:right="77"/>
              <w:jc w:val="left"/>
              <w:rPr>
                <w:rFonts w:ascii="宋体" w:hAnsi="宋体" w:cs="宋体" w:eastAsia="宋体" w:hint="default"/>
                <w:sz w:val="18"/>
                <w:szCs w:val="18"/>
              </w:rPr>
            </w:pPr>
            <w:r>
              <w:rPr>
                <w:rFonts w:ascii="宋体" w:hAnsi="宋体" w:cs="宋体" w:eastAsia="宋体" w:hint="default"/>
                <w:sz w:val="18"/>
                <w:szCs w:val="18"/>
              </w:rPr>
              <w:t>其他权 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2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6" w:right="19"/>
              <w:jc w:val="both"/>
              <w:rPr>
                <w:rFonts w:ascii="宋体" w:hAnsi="宋体" w:cs="宋体" w:eastAsia="宋体" w:hint="default"/>
                <w:sz w:val="18"/>
                <w:szCs w:val="18"/>
              </w:rPr>
            </w:pPr>
            <w:r>
              <w:rPr>
                <w:rFonts w:ascii="宋体" w:hAnsi="宋体" w:cs="宋体" w:eastAsia="宋体" w:hint="default"/>
                <w:sz w:val="18"/>
                <w:szCs w:val="18"/>
              </w:rPr>
              <w:t>其 他 综 合 收 益</w:t>
            </w:r>
          </w:p>
        </w:tc>
        <w:tc>
          <w:tcPr>
            <w:tcW w:w="2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2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3" w:right="19"/>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835"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r>
      <w:tr>
        <w:trPr>
          <w:trHeight w:val="383" w:hRule="exact"/>
        </w:trPr>
        <w:tc>
          <w:tcPr>
            <w:tcW w:w="5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03" w:type="dxa"/>
            <w:vMerge/>
            <w:tcBorders>
              <w:left w:val="single" w:sz="4" w:space="0" w:color="000000"/>
              <w:bottom w:val="nil" w:sz="6" w:space="0" w:color="auto"/>
              <w:right w:val="single" w:sz="4" w:space="0" w:color="000000"/>
            </w:tcBorders>
            <w:shd w:val="clear" w:color="auto" w:fill="D2D2D2"/>
          </w:tcPr>
          <w:p>
            <w:pPr/>
          </w:p>
        </w:tc>
        <w:tc>
          <w:tcPr>
            <w:tcW w:w="708"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6"/>
              <w:ind w:left="23" w:right="2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2"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8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8"/>
              <w:ind w:left="232" w:right="50"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8"/>
              <w:ind w:left="499" w:right="43"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4" w:hRule="exact"/>
        </w:trPr>
        <w:tc>
          <w:tcPr>
            <w:tcW w:w="575" w:type="dxa"/>
            <w:vMerge w:val="restart"/>
            <w:tcBorders>
              <w:top w:val="nil" w:sz="6" w:space="0" w:color="auto"/>
              <w:left w:val="single" w:sz="4" w:space="0" w:color="000000"/>
              <w:right w:val="single" w:sz="4" w:space="0" w:color="000000"/>
            </w:tcBorders>
            <w:shd w:val="clear" w:color="auto" w:fill="D2D2D2"/>
          </w:tcPr>
          <w:p>
            <w:pPr/>
          </w:p>
        </w:tc>
        <w:tc>
          <w:tcPr>
            <w:tcW w:w="11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3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4" w:right="1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4" w:right="1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2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8" w:type="dxa"/>
            <w:vMerge/>
            <w:tcBorders>
              <w:left w:val="single" w:sz="4" w:space="0" w:color="000000"/>
              <w:right w:val="single" w:sz="4" w:space="0" w:color="000000"/>
            </w:tcBorders>
            <w:shd w:val="clear" w:color="auto" w:fill="D2D2D2"/>
          </w:tcPr>
          <w:p>
            <w:pPr/>
          </w:p>
        </w:tc>
        <w:tc>
          <w:tcPr>
            <w:tcW w:w="236"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35"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69" w:hRule="exact"/>
        </w:trPr>
        <w:tc>
          <w:tcPr>
            <w:tcW w:w="575" w:type="dxa"/>
            <w:vMerge/>
            <w:tcBorders>
              <w:left w:val="single" w:sz="4" w:space="0" w:color="000000"/>
              <w:right w:val="single" w:sz="4" w:space="0" w:color="000000"/>
            </w:tcBorders>
            <w:shd w:val="clear" w:color="auto" w:fill="D2D2D2"/>
          </w:tcPr>
          <w:p>
            <w:pPr/>
          </w:p>
        </w:tc>
        <w:tc>
          <w:tcPr>
            <w:tcW w:w="1103"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6"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835"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r>
      <w:tr>
        <w:trPr>
          <w:trHeight w:val="497" w:hRule="exact"/>
        </w:trPr>
        <w:tc>
          <w:tcPr>
            <w:tcW w:w="575" w:type="dxa"/>
            <w:vMerge/>
            <w:tcBorders>
              <w:left w:val="single" w:sz="4" w:space="0" w:color="000000"/>
              <w:right w:val="single" w:sz="4" w:space="0" w:color="000000"/>
            </w:tcBorders>
            <w:shd w:val="clear" w:color="auto" w:fill="D2D2D2"/>
          </w:tcPr>
          <w:p>
            <w:pPr/>
          </w:p>
        </w:tc>
        <w:tc>
          <w:tcPr>
            <w:tcW w:w="1103" w:type="dxa"/>
            <w:vMerge w:val="restart"/>
            <w:tcBorders>
              <w:top w:val="nil" w:sz="6" w:space="0" w:color="auto"/>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6"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835" w:type="dxa"/>
            <w:vMerge w:val="restart"/>
            <w:tcBorders>
              <w:top w:val="nil" w:sz="6" w:space="0" w:color="auto"/>
              <w:left w:val="single" w:sz="4" w:space="0" w:color="000000"/>
              <w:right w:val="single" w:sz="4" w:space="0" w:color="000000"/>
            </w:tcBorders>
            <w:shd w:val="clear" w:color="auto" w:fill="D2D2D2"/>
          </w:tcPr>
          <w:p>
            <w:pPr/>
          </w:p>
        </w:tc>
        <w:tc>
          <w:tcPr>
            <w:tcW w:w="1183" w:type="dxa"/>
            <w:vMerge w:val="restart"/>
            <w:tcBorders>
              <w:top w:val="nil" w:sz="6" w:space="0" w:color="auto"/>
              <w:left w:val="single" w:sz="4" w:space="0" w:color="000000"/>
              <w:right w:val="single" w:sz="4" w:space="0" w:color="000000"/>
            </w:tcBorders>
            <w:shd w:val="clear" w:color="auto" w:fill="D2D2D2"/>
          </w:tcPr>
          <w:p>
            <w:pPr/>
          </w:p>
        </w:tc>
      </w:tr>
      <w:tr>
        <w:trPr>
          <w:trHeight w:val="294" w:hRule="exact"/>
        </w:trPr>
        <w:tc>
          <w:tcPr>
            <w:tcW w:w="575" w:type="dxa"/>
            <w:vMerge/>
            <w:tcBorders>
              <w:left w:val="single" w:sz="4" w:space="0" w:color="000000"/>
              <w:bottom w:val="single" w:sz="4" w:space="0" w:color="000000"/>
              <w:right w:val="single" w:sz="4" w:space="0" w:color="000000"/>
            </w:tcBorders>
            <w:shd w:val="clear" w:color="auto" w:fill="D2D2D2"/>
          </w:tcPr>
          <w:p>
            <w:pPr/>
          </w:p>
        </w:tc>
        <w:tc>
          <w:tcPr>
            <w:tcW w:w="1103" w:type="dxa"/>
            <w:vMerge/>
            <w:tcBorders>
              <w:left w:val="single" w:sz="4" w:space="0" w:color="000000"/>
              <w:bottom w:val="single" w:sz="4" w:space="0" w:color="000000"/>
              <w:right w:val="single" w:sz="4" w:space="0" w:color="000000"/>
            </w:tcBorders>
            <w:shd w:val="clear" w:color="auto" w:fill="D2D2D2"/>
          </w:tcPr>
          <w:p>
            <w:pPr/>
          </w:p>
        </w:tc>
        <w:tc>
          <w:tcPr>
            <w:tcW w:w="235" w:type="dxa"/>
            <w:vMerge/>
            <w:tcBorders>
              <w:left w:val="single" w:sz="4" w:space="0" w:color="000000"/>
              <w:bottom w:val="single" w:sz="4" w:space="0" w:color="000000"/>
              <w:right w:val="single" w:sz="4" w:space="0" w:color="000000"/>
            </w:tcBorders>
            <w:shd w:val="clear" w:color="auto" w:fill="D2D2D2"/>
          </w:tcPr>
          <w:p>
            <w:pPr/>
          </w:p>
        </w:tc>
        <w:tc>
          <w:tcPr>
            <w:tcW w:w="235" w:type="dxa"/>
            <w:vMerge/>
            <w:tcBorders>
              <w:left w:val="single" w:sz="4" w:space="0" w:color="000000"/>
              <w:bottom w:val="single" w:sz="4" w:space="0" w:color="000000"/>
              <w:right w:val="single" w:sz="4" w:space="0" w:color="000000"/>
            </w:tcBorders>
            <w:shd w:val="clear" w:color="auto" w:fill="D2D2D2"/>
          </w:tcPr>
          <w:p>
            <w:pPr/>
          </w:p>
        </w:tc>
        <w:tc>
          <w:tcPr>
            <w:tcW w:w="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238" w:type="dxa"/>
            <w:vMerge/>
            <w:tcBorders>
              <w:left w:val="single" w:sz="4" w:space="0" w:color="000000"/>
              <w:bottom w:val="single" w:sz="4" w:space="0" w:color="000000"/>
              <w:right w:val="single" w:sz="4" w:space="0" w:color="000000"/>
            </w:tcBorders>
            <w:shd w:val="clear" w:color="auto" w:fill="D2D2D2"/>
          </w:tcPr>
          <w:p>
            <w:pPr/>
          </w:p>
        </w:tc>
        <w:tc>
          <w:tcPr>
            <w:tcW w:w="2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235"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835"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both"/>
              <w:rPr>
                <w:rFonts w:ascii="宋体" w:hAnsi="宋体" w:cs="宋体" w:eastAsia="宋体" w:hint="default"/>
                <w:sz w:val="18"/>
                <w:szCs w:val="18"/>
              </w:rPr>
            </w:pPr>
            <w:r>
              <w:rPr>
                <w:rFonts w:ascii="宋体" w:hAnsi="宋体" w:cs="宋体" w:eastAsia="宋体" w:hint="default"/>
                <w:sz w:val="18"/>
                <w:szCs w:val="18"/>
              </w:rPr>
              <w:t>一、上 年期末 余额</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90,150,000.00</w:t>
            </w:r>
          </w:p>
        </w:tc>
        <w:tc>
          <w:tcPr>
            <w:tcW w:w="235" w:type="dxa"/>
            <w:tcBorders>
              <w:top w:val="single" w:sz="48" w:space="0" w:color="D2D2D2"/>
              <w:left w:val="single" w:sz="4" w:space="0" w:color="000000"/>
              <w:bottom w:val="single" w:sz="4" w:space="0" w:color="000000"/>
              <w:right w:val="single" w:sz="4" w:space="0" w:color="000000"/>
            </w:tcBorders>
          </w:tcPr>
          <w:p>
            <w:pPr/>
          </w:p>
        </w:tc>
        <w:tc>
          <w:tcPr>
            <w:tcW w:w="235" w:type="dxa"/>
            <w:tcBorders>
              <w:top w:val="single" w:sz="48" w:space="0" w:color="D2D2D2"/>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199,256,514.42</w:t>
            </w: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36,925,460.85</w:t>
            </w: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236,700,724.74</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-10,555.09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563,022,144.92</w:t>
            </w:r>
          </w:p>
        </w:tc>
      </w:tr>
      <w:tr>
        <w:trPr>
          <w:trHeight w:val="1337" w:hRule="exact"/>
        </w:trPr>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2" w:right="11"/>
              <w:jc w:val="both"/>
              <w:rPr>
                <w:rFonts w:ascii="宋体" w:hAnsi="宋体" w:cs="宋体" w:eastAsia="宋体" w:hint="default"/>
                <w:sz w:val="18"/>
                <w:szCs w:val="18"/>
              </w:rPr>
            </w:pPr>
            <w:r>
              <w:rPr>
                <w:rFonts w:ascii="宋体" w:hAnsi="宋体" w:cs="宋体" w:eastAsia="宋体" w:hint="default"/>
                <w:sz w:val="18"/>
                <w:szCs w:val="18"/>
              </w:rPr>
              <w:t>加：会 计政策 变更</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 w:right="11"/>
              <w:jc w:val="left"/>
              <w:rPr>
                <w:rFonts w:ascii="宋体" w:hAnsi="宋体" w:cs="宋体" w:eastAsia="宋体" w:hint="default"/>
                <w:sz w:val="18"/>
                <w:szCs w:val="18"/>
              </w:rPr>
            </w:pPr>
            <w:r>
              <w:rPr>
                <w:rFonts w:ascii="宋体" w:hAnsi="宋体" w:cs="宋体" w:eastAsia="宋体" w:hint="default"/>
                <w:sz w:val="18"/>
                <w:szCs w:val="18"/>
              </w:rPr>
              <w:t>前期差 错更正</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2" w:right="11"/>
              <w:jc w:val="both"/>
              <w:rPr>
                <w:rFonts w:ascii="宋体" w:hAnsi="宋体" w:cs="宋体" w:eastAsia="宋体" w:hint="default"/>
                <w:sz w:val="18"/>
                <w:szCs w:val="18"/>
              </w:rPr>
            </w:pPr>
            <w:r>
              <w:rPr>
                <w:rFonts w:ascii="宋体" w:hAnsi="宋体" w:cs="宋体" w:eastAsia="宋体" w:hint="default"/>
                <w:sz w:val="18"/>
                <w:szCs w:val="18"/>
              </w:rPr>
              <w:t>同一控 制下企 业合并</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both"/>
              <w:rPr>
                <w:rFonts w:ascii="宋体" w:hAnsi="宋体" w:cs="宋体" w:eastAsia="宋体" w:hint="default"/>
                <w:sz w:val="18"/>
                <w:szCs w:val="18"/>
              </w:rPr>
            </w:pPr>
            <w:r>
              <w:rPr>
                <w:rFonts w:ascii="宋体" w:hAnsi="宋体" w:cs="宋体" w:eastAsia="宋体" w:hint="default"/>
                <w:sz w:val="18"/>
                <w:szCs w:val="18"/>
              </w:rPr>
              <w:t>二、本 年期初 余额</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90,150,000.00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199,256,514.42</w:t>
            </w: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36,925,460.85</w:t>
            </w: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236,700,724.74</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-10,555.09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563,022,144.92</w:t>
            </w:r>
          </w:p>
        </w:tc>
      </w:tr>
      <w:tr>
        <w:trPr>
          <w:trHeight w:val="674" w:hRule="exact"/>
        </w:trPr>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三、本 期增减</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1,041,500.00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25,450,724.61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24,256,535.00</w:t>
            </w: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3,066,154.50</w:t>
            </w: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26,811,156.38</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-1,247.83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32,111,752.66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86"/>
        <w:gridCol w:w="1103"/>
        <w:gridCol w:w="235"/>
        <w:gridCol w:w="235"/>
        <w:gridCol w:w="238"/>
        <w:gridCol w:w="1181"/>
        <w:gridCol w:w="1090"/>
        <w:gridCol w:w="238"/>
        <w:gridCol w:w="236"/>
        <w:gridCol w:w="1092"/>
        <w:gridCol w:w="235"/>
        <w:gridCol w:w="1181"/>
        <w:gridCol w:w="835"/>
        <w:gridCol w:w="1183"/>
      </w:tblGrid>
      <w:tr>
        <w:trPr>
          <w:trHeight w:val="1611"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8"/>
              <w:ind w:left="22" w:right="11"/>
              <w:jc w:val="left"/>
              <w:rPr>
                <w:rFonts w:ascii="宋体" w:hAnsi="宋体" w:cs="宋体" w:eastAsia="宋体" w:hint="default"/>
                <w:sz w:val="18"/>
                <w:szCs w:val="18"/>
              </w:rPr>
            </w:pPr>
            <w:r>
              <w:rPr>
                <w:rFonts w:ascii="宋体" w:hAnsi="宋体" w:cs="宋体" w:eastAsia="宋体" w:hint="default"/>
                <w:sz w:val="18"/>
                <w:szCs w:val="18"/>
              </w:rPr>
              <w:t>变动金 额（减 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
              <w:jc w:val="both"/>
              <w:rPr>
                <w:rFonts w:ascii="宋体" w:hAnsi="宋体" w:cs="宋体" w:eastAsia="宋体" w:hint="default"/>
                <w:sz w:val="18"/>
                <w:szCs w:val="18"/>
              </w:rPr>
            </w:pPr>
            <w:r>
              <w:rPr>
                <w:rFonts w:ascii="宋体" w:hAnsi="宋体" w:cs="宋体" w:eastAsia="宋体" w:hint="default"/>
                <w:sz w:val="18"/>
                <w:szCs w:val="18"/>
              </w:rPr>
              <w:t>（一） 综合收 益总额</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36,187,810.88</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-1,247.83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36,186,563.05</w:t>
            </w:r>
          </w:p>
        </w:tc>
      </w:tr>
      <w:tr>
        <w:trPr>
          <w:trHeight w:val="1652"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
              <w:jc w:val="both"/>
              <w:rPr>
                <w:rFonts w:ascii="宋体" w:hAnsi="宋体" w:cs="宋体" w:eastAsia="宋体" w:hint="default"/>
                <w:sz w:val="18"/>
                <w:szCs w:val="18"/>
              </w:rPr>
            </w:pPr>
            <w:r>
              <w:rPr>
                <w:rFonts w:ascii="宋体" w:hAnsi="宋体" w:cs="宋体" w:eastAsia="宋体" w:hint="default"/>
                <w:sz w:val="18"/>
                <w:szCs w:val="18"/>
              </w:rPr>
              <w:t>（二） 所有者 投入和 减少资 本</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1,041,500.00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25,450,724.61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24,256,535.00</w:t>
            </w: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2,235,689.61</w:t>
            </w:r>
          </w:p>
        </w:tc>
      </w:tr>
      <w:tr>
        <w:trPr>
          <w:trHeight w:val="1025"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8"/>
              <w:jc w:val="both"/>
              <w:rPr>
                <w:rFonts w:ascii="宋体" w:hAnsi="宋体" w:cs="宋体" w:eastAsia="宋体" w:hint="default"/>
                <w:sz w:val="18"/>
                <w:szCs w:val="18"/>
              </w:rPr>
            </w:pPr>
            <w:r>
              <w:rPr>
                <w:rFonts w:ascii="Times New Roman" w:hAnsi="Times New Roman" w:cs="Times New Roman" w:eastAsia="Times New Roman" w:hint="default"/>
                <w:spacing w:val="-22"/>
                <w:sz w:val="18"/>
                <w:szCs w:val="18"/>
              </w:rPr>
              <w:t>1</w:t>
            </w:r>
            <w:r>
              <w:rPr>
                <w:rFonts w:ascii="宋体" w:hAnsi="宋体" w:cs="宋体" w:eastAsia="宋体" w:hint="default"/>
                <w:spacing w:val="-22"/>
                <w:sz w:val="18"/>
                <w:szCs w:val="18"/>
              </w:rPr>
              <w:t>．股东</w:t>
            </w:r>
            <w:r>
              <w:rPr>
                <w:rFonts w:ascii="宋体" w:hAnsi="宋体" w:cs="宋体" w:eastAsia="宋体" w:hint="default"/>
                <w:sz w:val="18"/>
                <w:szCs w:val="18"/>
              </w:rPr>
              <w:t> 投入的 普通股</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1,041,500.00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23,215,035.00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24,256,535.00</w:t>
            </w:r>
          </w:p>
        </w:tc>
      </w:tr>
      <w:tr>
        <w:trPr>
          <w:trHeight w:val="1651"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
              <w:jc w:val="both"/>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．其他</w:t>
            </w:r>
            <w:r>
              <w:rPr>
                <w:rFonts w:ascii="宋体" w:hAnsi="宋体" w:cs="宋体" w:eastAsia="宋体" w:hint="default"/>
                <w:sz w:val="18"/>
                <w:szCs w:val="18"/>
              </w:rPr>
              <w:t> 权益工 具持有 者投入 资本</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
              <w:jc w:val="both"/>
              <w:rPr>
                <w:rFonts w:ascii="宋体" w:hAnsi="宋体" w:cs="宋体" w:eastAsia="宋体" w:hint="default"/>
                <w:sz w:val="18"/>
                <w:szCs w:val="18"/>
              </w:rPr>
            </w:pPr>
            <w:r>
              <w:rPr>
                <w:rFonts w:ascii="Times New Roman" w:hAnsi="Times New Roman" w:cs="Times New Roman" w:eastAsia="Times New Roman" w:hint="default"/>
                <w:spacing w:val="-22"/>
                <w:sz w:val="18"/>
                <w:szCs w:val="18"/>
              </w:rPr>
              <w:t>3</w:t>
            </w:r>
            <w:r>
              <w:rPr>
                <w:rFonts w:ascii="宋体" w:hAnsi="宋体" w:cs="宋体" w:eastAsia="宋体" w:hint="default"/>
                <w:spacing w:val="-22"/>
                <w:sz w:val="18"/>
                <w:szCs w:val="18"/>
              </w:rPr>
              <w:t>．股份</w:t>
            </w:r>
            <w:r>
              <w:rPr>
                <w:rFonts w:ascii="宋体" w:hAnsi="宋体" w:cs="宋体" w:eastAsia="宋体" w:hint="default"/>
                <w:sz w:val="18"/>
                <w:szCs w:val="18"/>
              </w:rPr>
              <w:t> 支付计 入所有 者权益 的金额</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2,235,689.61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24,256,535.00</w:t>
            </w: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-22,020,845.39</w:t>
            </w:r>
          </w:p>
        </w:tc>
      </w:tr>
      <w:tr>
        <w:trPr>
          <w:trHeight w:val="403"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89"/>
                <w:sz w:val="18"/>
                <w:szCs w:val="18"/>
              </w:rPr>
              <w:t>．</w:t>
            </w:r>
            <w:r>
              <w:rPr>
                <w:rFonts w:ascii="宋体" w:hAnsi="宋体" w:cs="宋体" w:eastAsia="宋体" w:hint="default"/>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
              <w:jc w:val="both"/>
              <w:rPr>
                <w:rFonts w:ascii="宋体" w:hAnsi="宋体" w:cs="宋体" w:eastAsia="宋体" w:hint="default"/>
                <w:sz w:val="18"/>
                <w:szCs w:val="18"/>
              </w:rPr>
            </w:pPr>
            <w:r>
              <w:rPr>
                <w:rFonts w:ascii="宋体" w:hAnsi="宋体" w:cs="宋体" w:eastAsia="宋体" w:hint="default"/>
                <w:sz w:val="18"/>
                <w:szCs w:val="18"/>
              </w:rPr>
              <w:t>（三） 利润分 配</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3,066,154.50</w:t>
            </w: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-9,376,654.50</w:t>
            </w: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-6,310,500.00</w:t>
            </w:r>
          </w:p>
        </w:tc>
      </w:tr>
      <w:tr>
        <w:trPr>
          <w:trHeight w:val="1027"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8"/>
              <w:jc w:val="both"/>
              <w:rPr>
                <w:rFonts w:ascii="宋体" w:hAnsi="宋体" w:cs="宋体" w:eastAsia="宋体" w:hint="default"/>
                <w:sz w:val="18"/>
                <w:szCs w:val="18"/>
              </w:rPr>
            </w:pPr>
            <w:r>
              <w:rPr>
                <w:rFonts w:ascii="Times New Roman" w:hAnsi="Times New Roman" w:cs="Times New Roman" w:eastAsia="Times New Roman" w:hint="default"/>
                <w:spacing w:val="-22"/>
                <w:sz w:val="18"/>
                <w:szCs w:val="18"/>
              </w:rPr>
              <w:t>1</w:t>
            </w:r>
            <w:r>
              <w:rPr>
                <w:rFonts w:ascii="宋体" w:hAnsi="宋体" w:cs="宋体" w:eastAsia="宋体" w:hint="default"/>
                <w:spacing w:val="-22"/>
                <w:sz w:val="18"/>
                <w:szCs w:val="18"/>
              </w:rPr>
              <w:t>．提取</w:t>
            </w:r>
            <w:r>
              <w:rPr>
                <w:rFonts w:ascii="宋体" w:hAnsi="宋体" w:cs="宋体" w:eastAsia="宋体" w:hint="default"/>
                <w:sz w:val="18"/>
                <w:szCs w:val="18"/>
              </w:rPr>
              <w:t> 盈余公 积</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3,066,154.50</w:t>
            </w: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-3,066,154.50</w:t>
            </w: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8"/>
              <w:jc w:val="both"/>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．提取</w:t>
            </w:r>
            <w:r>
              <w:rPr>
                <w:rFonts w:ascii="宋体" w:hAnsi="宋体" w:cs="宋体" w:eastAsia="宋体" w:hint="default"/>
                <w:sz w:val="18"/>
                <w:szCs w:val="18"/>
              </w:rPr>
              <w:t> 一般风 险准备</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
              <w:jc w:val="both"/>
              <w:rPr>
                <w:rFonts w:ascii="宋体" w:hAnsi="宋体" w:cs="宋体" w:eastAsia="宋体" w:hint="default"/>
                <w:sz w:val="18"/>
                <w:szCs w:val="18"/>
              </w:rPr>
            </w:pPr>
            <w:r>
              <w:rPr>
                <w:rFonts w:ascii="Times New Roman" w:hAnsi="Times New Roman" w:cs="Times New Roman" w:eastAsia="Times New Roman" w:hint="default"/>
                <w:spacing w:val="-22"/>
                <w:sz w:val="18"/>
                <w:szCs w:val="18"/>
              </w:rPr>
              <w:t>3</w:t>
            </w:r>
            <w:r>
              <w:rPr>
                <w:rFonts w:ascii="宋体" w:hAnsi="宋体" w:cs="宋体" w:eastAsia="宋体" w:hint="default"/>
                <w:spacing w:val="-22"/>
                <w:sz w:val="18"/>
                <w:szCs w:val="18"/>
              </w:rPr>
              <w:t>．对所</w:t>
            </w:r>
            <w:r>
              <w:rPr>
                <w:rFonts w:ascii="宋体" w:hAnsi="宋体" w:cs="宋体" w:eastAsia="宋体" w:hint="default"/>
                <w:sz w:val="18"/>
                <w:szCs w:val="18"/>
              </w:rPr>
              <w:t> 有者</w:t>
            </w:r>
          </w:p>
          <w:p>
            <w:pPr>
              <w:pStyle w:val="TableParagraph"/>
              <w:spacing w:line="316" w:lineRule="auto" w:before="31"/>
              <w:ind w:left="22" w:right="11"/>
              <w:jc w:val="both"/>
              <w:rPr>
                <w:rFonts w:ascii="宋体" w:hAnsi="宋体" w:cs="宋体" w:eastAsia="宋体" w:hint="default"/>
                <w:sz w:val="18"/>
                <w:szCs w:val="18"/>
              </w:rPr>
            </w:pPr>
            <w:r>
              <w:rPr>
                <w:rFonts w:ascii="宋体" w:hAnsi="宋体" w:cs="宋体" w:eastAsia="宋体" w:hint="default"/>
                <w:sz w:val="18"/>
                <w:szCs w:val="18"/>
              </w:rPr>
              <w:t>（或股 东）的 分配</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-6,310,500.00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-6,310,500.00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86"/>
        <w:gridCol w:w="1103"/>
        <w:gridCol w:w="235"/>
        <w:gridCol w:w="235"/>
        <w:gridCol w:w="238"/>
        <w:gridCol w:w="1181"/>
        <w:gridCol w:w="1090"/>
        <w:gridCol w:w="238"/>
        <w:gridCol w:w="236"/>
        <w:gridCol w:w="1092"/>
        <w:gridCol w:w="235"/>
        <w:gridCol w:w="1181"/>
        <w:gridCol w:w="835"/>
        <w:gridCol w:w="1183"/>
      </w:tblGrid>
      <w:tr>
        <w:trPr>
          <w:trHeight w:val="401"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89"/>
                <w:sz w:val="18"/>
                <w:szCs w:val="18"/>
              </w:rPr>
              <w:t>．</w:t>
            </w:r>
            <w:r>
              <w:rPr>
                <w:rFonts w:ascii="宋体" w:hAnsi="宋体" w:cs="宋体" w:eastAsia="宋体" w:hint="default"/>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
              <w:jc w:val="both"/>
              <w:rPr>
                <w:rFonts w:ascii="宋体" w:hAnsi="宋体" w:cs="宋体" w:eastAsia="宋体" w:hint="default"/>
                <w:sz w:val="18"/>
                <w:szCs w:val="18"/>
              </w:rPr>
            </w:pPr>
            <w:r>
              <w:rPr>
                <w:rFonts w:ascii="宋体" w:hAnsi="宋体" w:cs="宋体" w:eastAsia="宋体" w:hint="default"/>
                <w:sz w:val="18"/>
                <w:szCs w:val="18"/>
              </w:rPr>
              <w:t>（四） 所有者 权益内 部结转</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8"/>
              <w:jc w:val="both"/>
              <w:rPr>
                <w:rFonts w:ascii="宋体" w:hAnsi="宋体" w:cs="宋体" w:eastAsia="宋体" w:hint="default"/>
                <w:sz w:val="18"/>
                <w:szCs w:val="18"/>
              </w:rPr>
            </w:pPr>
            <w:r>
              <w:rPr>
                <w:rFonts w:ascii="Times New Roman" w:hAnsi="Times New Roman" w:cs="Times New Roman" w:eastAsia="Times New Roman" w:hint="default"/>
                <w:spacing w:val="-22"/>
                <w:sz w:val="18"/>
                <w:szCs w:val="18"/>
              </w:rPr>
              <w:t>1</w:t>
            </w:r>
            <w:r>
              <w:rPr>
                <w:rFonts w:ascii="宋体" w:hAnsi="宋体" w:cs="宋体" w:eastAsia="宋体" w:hint="default"/>
                <w:spacing w:val="-22"/>
                <w:sz w:val="18"/>
                <w:szCs w:val="18"/>
              </w:rPr>
              <w:t>．资本</w:t>
            </w:r>
            <w:r>
              <w:rPr>
                <w:rFonts w:ascii="宋体" w:hAnsi="宋体" w:cs="宋体" w:eastAsia="宋体" w:hint="default"/>
                <w:sz w:val="18"/>
                <w:szCs w:val="18"/>
              </w:rPr>
              <w:t> 公积转 增资本</w:t>
            </w:r>
          </w:p>
          <w:p>
            <w:pPr>
              <w:pStyle w:val="TableParagraph"/>
              <w:spacing w:line="316" w:lineRule="auto" w:before="24"/>
              <w:ind w:left="22" w:right="11"/>
              <w:jc w:val="both"/>
              <w:rPr>
                <w:rFonts w:ascii="宋体" w:hAnsi="宋体" w:cs="宋体" w:eastAsia="宋体" w:hint="default"/>
                <w:sz w:val="18"/>
                <w:szCs w:val="18"/>
              </w:rPr>
            </w:pPr>
            <w:r>
              <w:rPr>
                <w:rFonts w:ascii="宋体" w:hAnsi="宋体" w:cs="宋体" w:eastAsia="宋体" w:hint="default"/>
                <w:sz w:val="18"/>
                <w:szCs w:val="18"/>
              </w:rPr>
              <w:t>（或股 本）</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8"/>
              <w:jc w:val="both"/>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．盈余</w:t>
            </w:r>
            <w:r>
              <w:rPr>
                <w:rFonts w:ascii="宋体" w:hAnsi="宋体" w:cs="宋体" w:eastAsia="宋体" w:hint="default"/>
                <w:sz w:val="18"/>
                <w:szCs w:val="18"/>
              </w:rPr>
              <w:t> 公积转 增资本</w:t>
            </w:r>
          </w:p>
          <w:p>
            <w:pPr>
              <w:pStyle w:val="TableParagraph"/>
              <w:spacing w:line="316" w:lineRule="auto" w:before="26"/>
              <w:ind w:left="22" w:right="11"/>
              <w:jc w:val="both"/>
              <w:rPr>
                <w:rFonts w:ascii="宋体" w:hAnsi="宋体" w:cs="宋体" w:eastAsia="宋体" w:hint="default"/>
                <w:sz w:val="18"/>
                <w:szCs w:val="18"/>
              </w:rPr>
            </w:pPr>
            <w:r>
              <w:rPr>
                <w:rFonts w:ascii="宋体" w:hAnsi="宋体" w:cs="宋体" w:eastAsia="宋体" w:hint="default"/>
                <w:sz w:val="18"/>
                <w:szCs w:val="18"/>
              </w:rPr>
              <w:t>（或股 本）</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8"/>
              <w:jc w:val="both"/>
              <w:rPr>
                <w:rFonts w:ascii="宋体" w:hAnsi="宋体" w:cs="宋体" w:eastAsia="宋体" w:hint="default"/>
                <w:sz w:val="18"/>
                <w:szCs w:val="18"/>
              </w:rPr>
            </w:pPr>
            <w:r>
              <w:rPr>
                <w:rFonts w:ascii="Times New Roman" w:hAnsi="Times New Roman" w:cs="Times New Roman" w:eastAsia="Times New Roman" w:hint="default"/>
                <w:spacing w:val="-22"/>
                <w:sz w:val="18"/>
                <w:szCs w:val="18"/>
              </w:rPr>
              <w:t>3</w:t>
            </w:r>
            <w:r>
              <w:rPr>
                <w:rFonts w:ascii="宋体" w:hAnsi="宋体" w:cs="宋体" w:eastAsia="宋体" w:hint="default"/>
                <w:spacing w:val="-22"/>
                <w:sz w:val="18"/>
                <w:szCs w:val="18"/>
              </w:rPr>
              <w:t>．盈余</w:t>
            </w:r>
            <w:r>
              <w:rPr>
                <w:rFonts w:ascii="宋体" w:hAnsi="宋体" w:cs="宋体" w:eastAsia="宋体" w:hint="default"/>
                <w:sz w:val="18"/>
                <w:szCs w:val="18"/>
              </w:rPr>
              <w:t> 公积弥 补亏损</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89"/>
                <w:sz w:val="18"/>
                <w:szCs w:val="18"/>
              </w:rPr>
              <w:t>．</w:t>
            </w:r>
            <w:r>
              <w:rPr>
                <w:rFonts w:ascii="宋体" w:hAnsi="宋体" w:cs="宋体" w:eastAsia="宋体" w:hint="default"/>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
              <w:jc w:val="both"/>
              <w:rPr>
                <w:rFonts w:ascii="宋体" w:hAnsi="宋体" w:cs="宋体" w:eastAsia="宋体" w:hint="default"/>
                <w:sz w:val="18"/>
                <w:szCs w:val="18"/>
              </w:rPr>
            </w:pPr>
            <w:r>
              <w:rPr>
                <w:rFonts w:ascii="宋体" w:hAnsi="宋体" w:cs="宋体" w:eastAsia="宋体" w:hint="default"/>
                <w:sz w:val="18"/>
                <w:szCs w:val="18"/>
              </w:rPr>
              <w:t>（五） 专项储 备</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1</w:t>
            </w:r>
            <w:r>
              <w:rPr>
                <w:rFonts w:ascii="宋体" w:hAnsi="宋体" w:cs="宋体" w:eastAsia="宋体" w:hint="default"/>
                <w:spacing w:val="-22"/>
                <w:sz w:val="18"/>
                <w:szCs w:val="18"/>
              </w:rPr>
              <w:t>．本期</w:t>
            </w:r>
            <w:r>
              <w:rPr>
                <w:rFonts w:ascii="宋体" w:hAnsi="宋体" w:cs="宋体" w:eastAsia="宋体" w:hint="default"/>
                <w:sz w:val="18"/>
                <w:szCs w:val="18"/>
              </w:rPr>
              <w:t> 提取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．本期</w:t>
            </w:r>
            <w:r>
              <w:rPr>
                <w:rFonts w:ascii="宋体" w:hAnsi="宋体" w:cs="宋体" w:eastAsia="宋体" w:hint="default"/>
                <w:sz w:val="18"/>
                <w:szCs w:val="18"/>
              </w:rPr>
              <w:t> 使用</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（六） 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
              <w:jc w:val="both"/>
              <w:rPr>
                <w:rFonts w:ascii="宋体" w:hAnsi="宋体" w:cs="宋体" w:eastAsia="宋体" w:hint="default"/>
                <w:sz w:val="18"/>
                <w:szCs w:val="18"/>
              </w:rPr>
            </w:pPr>
            <w:r>
              <w:rPr>
                <w:rFonts w:ascii="宋体" w:hAnsi="宋体" w:cs="宋体" w:eastAsia="宋体" w:hint="default"/>
                <w:sz w:val="18"/>
                <w:szCs w:val="18"/>
              </w:rPr>
              <w:t>四、本 期期末 余额</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91,191,500.00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224,707,239.03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24,256,535.00</w:t>
            </w: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39,991,615.35</w:t>
            </w: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263,511,881.12</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-11,802.92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595,133,897.58</w:t>
            </w:r>
          </w:p>
        </w:tc>
      </w:tr>
    </w:tbl>
    <w:p>
      <w:pPr>
        <w:pStyle w:val="BodyText"/>
        <w:spacing w:line="240" w:lineRule="auto" w:before="49"/>
        <w:ind w:right="153"/>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8"/>
        <w:gridCol w:w="1092"/>
        <w:gridCol w:w="269"/>
        <w:gridCol w:w="271"/>
        <w:gridCol w:w="253"/>
        <w:gridCol w:w="1181"/>
        <w:gridCol w:w="468"/>
        <w:gridCol w:w="319"/>
        <w:gridCol w:w="286"/>
        <w:gridCol w:w="1092"/>
        <w:gridCol w:w="319"/>
        <w:gridCol w:w="1181"/>
        <w:gridCol w:w="864"/>
        <w:gridCol w:w="1195"/>
      </w:tblGrid>
      <w:tr>
        <w:trPr>
          <w:trHeight w:val="401" w:hRule="exact"/>
        </w:trPr>
        <w:tc>
          <w:tcPr>
            <w:tcW w:w="8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79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878" w:type="dxa"/>
            <w:vMerge/>
            <w:tcBorders>
              <w:left w:val="single" w:sz="4" w:space="0" w:color="000000"/>
              <w:right w:val="single" w:sz="4" w:space="0" w:color="000000"/>
            </w:tcBorders>
            <w:shd w:val="clear" w:color="auto" w:fill="D2D2D2"/>
          </w:tcPr>
          <w:p>
            <w:pPr/>
          </w:p>
        </w:tc>
        <w:tc>
          <w:tcPr>
            <w:tcW w:w="67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314" w:lineRule="auto"/>
              <w:ind w:left="501" w:right="50"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713" w:hRule="exact"/>
        </w:trPr>
        <w:tc>
          <w:tcPr>
            <w:tcW w:w="878" w:type="dxa"/>
            <w:vMerge/>
            <w:tcBorders>
              <w:left w:val="single" w:sz="4" w:space="0" w:color="000000"/>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7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47" w:right="4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3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4" w:right="62"/>
              <w:jc w:val="both"/>
              <w:rPr>
                <w:rFonts w:ascii="宋体" w:hAnsi="宋体" w:cs="宋体" w:eastAsia="宋体" w:hint="default"/>
                <w:sz w:val="18"/>
                <w:szCs w:val="18"/>
              </w:rPr>
            </w:pPr>
            <w:r>
              <w:rPr>
                <w:rFonts w:ascii="宋体" w:hAnsi="宋体" w:cs="宋体" w:eastAsia="宋体" w:hint="default"/>
                <w:sz w:val="18"/>
                <w:szCs w:val="18"/>
              </w:rPr>
              <w:t>其 他 综 合 收</w:t>
            </w:r>
          </w:p>
        </w:tc>
        <w:tc>
          <w:tcPr>
            <w:tcW w:w="2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48" w:right="4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4" w:right="62"/>
              <w:jc w:val="both"/>
              <w:rPr>
                <w:rFonts w:ascii="宋体" w:hAnsi="宋体" w:cs="宋体" w:eastAsia="宋体" w:hint="default"/>
                <w:sz w:val="18"/>
                <w:szCs w:val="18"/>
              </w:rPr>
            </w:pPr>
            <w:r>
              <w:rPr>
                <w:rFonts w:ascii="宋体" w:hAnsi="宋体" w:cs="宋体" w:eastAsia="宋体" w:hint="default"/>
                <w:sz w:val="18"/>
                <w:szCs w:val="18"/>
              </w:rPr>
              <w:t>一 般 风 险 准</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896" w:hRule="exact"/>
        </w:trPr>
        <w:tc>
          <w:tcPr>
            <w:tcW w:w="878"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61"/>
              <w:ind w:left="40" w:right="36"/>
              <w:jc w:val="left"/>
              <w:rPr>
                <w:rFonts w:ascii="宋体" w:hAnsi="宋体" w:cs="宋体" w:eastAsia="宋体" w:hint="default"/>
                <w:sz w:val="18"/>
                <w:szCs w:val="18"/>
              </w:rPr>
            </w:pPr>
            <w:r>
              <w:rPr>
                <w:rFonts w:ascii="宋体" w:hAnsi="宋体" w:cs="宋体" w:eastAsia="宋体" w:hint="default"/>
                <w:sz w:val="18"/>
                <w:szCs w:val="18"/>
              </w:rPr>
              <w:t>优 先</w:t>
            </w:r>
          </w:p>
        </w:tc>
        <w:tc>
          <w:tcPr>
            <w:tcW w:w="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61"/>
              <w:ind w:left="40" w:right="38"/>
              <w:jc w:val="left"/>
              <w:rPr>
                <w:rFonts w:ascii="宋体" w:hAnsi="宋体" w:cs="宋体" w:eastAsia="宋体" w:hint="default"/>
                <w:sz w:val="18"/>
                <w:szCs w:val="18"/>
              </w:rPr>
            </w:pPr>
            <w:r>
              <w:rPr>
                <w:rFonts w:ascii="宋体" w:hAnsi="宋体" w:cs="宋体" w:eastAsia="宋体" w:hint="default"/>
                <w:sz w:val="18"/>
                <w:szCs w:val="18"/>
              </w:rPr>
              <w:t>永 续</w:t>
            </w:r>
          </w:p>
        </w:tc>
        <w:tc>
          <w:tcPr>
            <w:tcW w:w="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40"/>
              <w:ind w:left="31" w:right="29"/>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319" w:type="dxa"/>
            <w:vMerge/>
            <w:tcBorders>
              <w:left w:val="single" w:sz="4" w:space="0" w:color="000000"/>
              <w:bottom w:val="single" w:sz="4" w:space="0" w:color="000000"/>
              <w:right w:val="single" w:sz="4" w:space="0" w:color="000000"/>
            </w:tcBorders>
            <w:shd w:val="clear" w:color="auto" w:fill="D2D2D2"/>
          </w:tcPr>
          <w:p>
            <w:pPr/>
          </w:p>
        </w:tc>
        <w:tc>
          <w:tcPr>
            <w:tcW w:w="286"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319"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856"/>
        <w:gridCol w:w="1103"/>
        <w:gridCol w:w="269"/>
        <w:gridCol w:w="271"/>
        <w:gridCol w:w="253"/>
        <w:gridCol w:w="1181"/>
        <w:gridCol w:w="468"/>
        <w:gridCol w:w="319"/>
        <w:gridCol w:w="286"/>
        <w:gridCol w:w="1092"/>
        <w:gridCol w:w="319"/>
        <w:gridCol w:w="1181"/>
        <w:gridCol w:w="864"/>
        <w:gridCol w:w="1195"/>
      </w:tblGrid>
      <w:tr>
        <w:trPr>
          <w:trHeight w:val="362"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6"/>
                <w:sz w:val="18"/>
                <w:szCs w:val="18"/>
              </w:rPr>
              <w:t>一、上年期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末余额</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67,600,000.00</w:t>
            </w: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64,331,175.57</w:t>
            </w: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33,800,000.00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205,429,819.73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-8,325.02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371,152,670.28</w:t>
            </w:r>
          </w:p>
        </w:tc>
      </w:tr>
      <w:tr>
        <w:trPr>
          <w:trHeight w:val="1027"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26"/>
                <w:sz w:val="18"/>
                <w:szCs w:val="18"/>
              </w:rPr>
              <w:t>加：会</w:t>
            </w:r>
            <w:r>
              <w:rPr>
                <w:rFonts w:ascii="宋体" w:hAnsi="宋体" w:cs="宋体" w:eastAsia="宋体" w:hint="default"/>
                <w:sz w:val="18"/>
                <w:szCs w:val="18"/>
              </w:rPr>
              <w:t> 计政策变 更</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2" w:right="112"/>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2" w:right="112"/>
              <w:jc w:val="both"/>
              <w:rPr>
                <w:rFonts w:ascii="宋体" w:hAnsi="宋体" w:cs="宋体" w:eastAsia="宋体" w:hint="default"/>
                <w:sz w:val="18"/>
                <w:szCs w:val="18"/>
              </w:rPr>
            </w:pPr>
            <w:r>
              <w:rPr>
                <w:rFonts w:ascii="宋体" w:hAnsi="宋体" w:cs="宋体" w:eastAsia="宋体" w:hint="default"/>
                <w:sz w:val="18"/>
                <w:szCs w:val="18"/>
              </w:rPr>
              <w:t>同一控制 下企业合 并</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6"/>
                <w:sz w:val="18"/>
                <w:szCs w:val="18"/>
              </w:rPr>
              <w:t>二、本年期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初余额</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67,600,000.00</w:t>
            </w: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64,331,175.57</w:t>
            </w: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33,800,000.00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205,429,819.73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-8,325.02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371,152,670.28</w:t>
            </w:r>
          </w:p>
        </w:tc>
      </w:tr>
      <w:tr>
        <w:trPr>
          <w:trHeight w:val="1649"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6"/>
                <w:sz w:val="18"/>
                <w:szCs w:val="18"/>
              </w:rPr>
              <w:t>三、本期增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减变动金 </w:t>
            </w:r>
            <w:r>
              <w:rPr>
                <w:rFonts w:ascii="宋体" w:hAnsi="宋体" w:cs="宋体" w:eastAsia="宋体" w:hint="default"/>
                <w:spacing w:val="-16"/>
                <w:sz w:val="18"/>
                <w:szCs w:val="18"/>
              </w:rPr>
              <w:t>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22,550,000.00</w:t>
            </w: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134,925,338.85</w:t>
            </w: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3,125,460.85</w:t>
            </w: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31,270,905.01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-2,230.07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191,869,474.64</w:t>
            </w:r>
          </w:p>
        </w:tc>
      </w:tr>
      <w:tr>
        <w:trPr>
          <w:trHeight w:val="716"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pacing w:val="-16"/>
                <w:sz w:val="18"/>
                <w:szCs w:val="18"/>
              </w:rPr>
              <w:t>（一）综合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收益总额</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34,396,365.86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-2,230.07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34,394,135.79</w:t>
            </w:r>
          </w:p>
        </w:tc>
      </w:tr>
      <w:tr>
        <w:trPr>
          <w:trHeight w:val="1025"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6"/>
                <w:sz w:val="18"/>
                <w:szCs w:val="18"/>
              </w:rPr>
              <w:t>（二）所有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者投入和 减少资本</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22,550,000.00</w:t>
            </w: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134,925,338.85</w:t>
            </w: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157,475,338.85</w:t>
            </w:r>
          </w:p>
        </w:tc>
      </w:tr>
      <w:tr>
        <w:trPr>
          <w:trHeight w:val="1027"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 入的普通 股</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22,550,000.00</w:t>
            </w: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134,925,338.85</w:t>
            </w: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157,475,338.85</w:t>
            </w:r>
          </w:p>
        </w:tc>
      </w:tr>
      <w:tr>
        <w:trPr>
          <w:trHeight w:val="1337"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 益工具持 有者投入 资本</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 付计入所 有者权益 的金额</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7"/>
                <w:sz w:val="18"/>
                <w:szCs w:val="18"/>
              </w:rPr>
              <w:t>）</w:t>
            </w:r>
            <w:r>
              <w:rPr>
                <w:rFonts w:ascii="宋体" w:hAnsi="宋体" w:cs="宋体" w:eastAsia="宋体" w:hint="default"/>
                <w:sz w:val="18"/>
                <w:szCs w:val="18"/>
              </w:rPr>
              <w:t>利润</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3,125,460.85</w:t>
            </w: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center"/>
              <w:rPr>
                <w:rFonts w:ascii="Times New Roman" w:hAnsi="Times New Roman" w:cs="Times New Roman" w:eastAsia="Times New Roman" w:hint="default"/>
                <w:sz w:val="18"/>
                <w:szCs w:val="18"/>
              </w:rPr>
            </w:pPr>
            <w:r>
              <w:rPr>
                <w:rFonts w:ascii="Times New Roman"/>
                <w:sz w:val="18"/>
              </w:rPr>
              <w:t>-3,125,460.85</w:t>
            </w: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7"/>
        <w:gridCol w:w="1103"/>
        <w:gridCol w:w="269"/>
        <w:gridCol w:w="271"/>
        <w:gridCol w:w="253"/>
        <w:gridCol w:w="1181"/>
        <w:gridCol w:w="468"/>
        <w:gridCol w:w="319"/>
        <w:gridCol w:w="286"/>
        <w:gridCol w:w="1092"/>
        <w:gridCol w:w="319"/>
        <w:gridCol w:w="1181"/>
        <w:gridCol w:w="864"/>
        <w:gridCol w:w="1195"/>
      </w:tblGrid>
      <w:tr>
        <w:trPr>
          <w:trHeight w:val="36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 余公积</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3,125,460.85</w:t>
            </w: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-3,125,460.85</w:t>
            </w: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 般风险准 备</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 者（或股 </w:t>
            </w:r>
            <w:r>
              <w:rPr>
                <w:rFonts w:ascii="宋体" w:hAnsi="宋体" w:cs="宋体" w:eastAsia="宋体" w:hint="default"/>
                <w:spacing w:val="-16"/>
                <w:sz w:val="18"/>
                <w:szCs w:val="18"/>
              </w:rPr>
              <w:t>东）的分配</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
              <w:jc w:val="left"/>
              <w:rPr>
                <w:rFonts w:ascii="宋体" w:hAnsi="宋体" w:cs="宋体" w:eastAsia="宋体" w:hint="default"/>
                <w:sz w:val="18"/>
                <w:szCs w:val="18"/>
              </w:rPr>
            </w:pPr>
            <w:r>
              <w:rPr>
                <w:rFonts w:ascii="宋体" w:hAnsi="宋体" w:cs="宋体" w:eastAsia="宋体" w:hint="default"/>
                <w:spacing w:val="-16"/>
                <w:sz w:val="18"/>
                <w:szCs w:val="18"/>
              </w:rPr>
              <w:t>（四）所有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者权益内 部结转</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 积转增资 本（或股 本）</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 积转增资 本（或股 本）</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 积弥补亏 损</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jc w:val="left"/>
              <w:rPr>
                <w:rFonts w:ascii="宋体" w:hAnsi="宋体" w:cs="宋体" w:eastAsia="宋体" w:hint="default"/>
                <w:sz w:val="18"/>
                <w:szCs w:val="18"/>
              </w:rPr>
            </w:pPr>
            <w:r>
              <w:rPr>
                <w:rFonts w:ascii="宋体" w:hAnsi="宋体" w:cs="宋体" w:eastAsia="宋体" w:hint="default"/>
                <w:spacing w:val="-16"/>
                <w:sz w:val="18"/>
                <w:szCs w:val="18"/>
              </w:rPr>
              <w:t>（五）专项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储备</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 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 用</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pacing w:val="-77"/>
                <w:sz w:val="18"/>
                <w:szCs w:val="18"/>
              </w:rPr>
              <w:t>）</w:t>
            </w:r>
            <w:r>
              <w:rPr>
                <w:rFonts w:ascii="宋体" w:hAnsi="宋体" w:cs="宋体" w:eastAsia="宋体" w:hint="default"/>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
              <w:jc w:val="left"/>
              <w:rPr>
                <w:rFonts w:ascii="宋体" w:hAnsi="宋体" w:cs="宋体" w:eastAsia="宋体" w:hint="default"/>
                <w:sz w:val="18"/>
                <w:szCs w:val="18"/>
              </w:rPr>
            </w:pPr>
            <w:r>
              <w:rPr>
                <w:rFonts w:ascii="宋体" w:hAnsi="宋体" w:cs="宋体" w:eastAsia="宋体" w:hint="default"/>
                <w:spacing w:val="-16"/>
                <w:sz w:val="18"/>
                <w:szCs w:val="18"/>
              </w:rPr>
              <w:t>四、本期期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末余额</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90,150,000.00</w:t>
            </w:r>
          </w:p>
        </w:tc>
        <w:tc>
          <w:tcPr>
            <w:tcW w:w="269"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199,256,514.42</w:t>
            </w:r>
          </w:p>
        </w:tc>
        <w:tc>
          <w:tcPr>
            <w:tcW w:w="468"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36,925,460.85</w:t>
            </w: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236,700,724.74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-10,555.09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563,022,144.92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87"/>
        <w:gridCol w:w="8469"/>
      </w:tblGrid>
      <w:tr>
        <w:trPr>
          <w:trHeight w:val="401"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166"/>
        <w:gridCol w:w="1103"/>
        <w:gridCol w:w="307"/>
        <w:gridCol w:w="305"/>
        <w:gridCol w:w="271"/>
        <w:gridCol w:w="1181"/>
        <w:gridCol w:w="1092"/>
        <w:gridCol w:w="410"/>
        <w:gridCol w:w="341"/>
        <w:gridCol w:w="1092"/>
        <w:gridCol w:w="1181"/>
        <w:gridCol w:w="1207"/>
      </w:tblGrid>
      <w:tr>
        <w:trPr>
          <w:trHeight w:val="317" w:hRule="exact"/>
        </w:trPr>
        <w:tc>
          <w:tcPr>
            <w:tcW w:w="1166" w:type="dxa"/>
            <w:vMerge w:val="restart"/>
            <w:tcBorders>
              <w:top w:val="single" w:sz="4" w:space="0" w:color="000000"/>
              <w:left w:val="single" w:sz="4" w:space="0" w:color="000000"/>
              <w:right w:val="single" w:sz="4" w:space="0" w:color="000000"/>
            </w:tcBorders>
            <w:shd w:val="clear" w:color="auto" w:fill="D2D2D2"/>
          </w:tcPr>
          <w:p>
            <w:pPr/>
          </w:p>
        </w:tc>
        <w:tc>
          <w:tcPr>
            <w:tcW w:w="1103" w:type="dxa"/>
            <w:vMerge w:val="restart"/>
            <w:tcBorders>
              <w:top w:val="single" w:sz="4" w:space="0" w:color="000000"/>
              <w:left w:val="single" w:sz="4" w:space="0" w:color="000000"/>
              <w:right w:val="single" w:sz="4" w:space="0" w:color="000000"/>
            </w:tcBorders>
            <w:shd w:val="clear" w:color="auto" w:fill="D2D2D2"/>
          </w:tcPr>
          <w:p>
            <w:pPr/>
          </w:p>
        </w:tc>
        <w:tc>
          <w:tcPr>
            <w:tcW w:w="8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56" w:right="75"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4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 w:right="108"/>
              <w:jc w:val="both"/>
              <w:rPr>
                <w:rFonts w:ascii="宋体" w:hAnsi="宋体" w:cs="宋体" w:eastAsia="宋体" w:hint="default"/>
                <w:sz w:val="18"/>
                <w:szCs w:val="18"/>
              </w:rPr>
            </w:pPr>
            <w:r>
              <w:rPr>
                <w:rFonts w:ascii="宋体" w:hAnsi="宋体" w:cs="宋体" w:eastAsia="宋体" w:hint="default"/>
                <w:sz w:val="18"/>
                <w:szCs w:val="18"/>
              </w:rPr>
              <w:t>其 他 综 合 收 益</w:t>
            </w:r>
          </w:p>
        </w:tc>
        <w:tc>
          <w:tcPr>
            <w:tcW w:w="3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r>
      <w:tr>
        <w:trPr>
          <w:trHeight w:val="355" w:hRule="exact"/>
        </w:trPr>
        <w:tc>
          <w:tcPr>
            <w:tcW w:w="1166" w:type="dxa"/>
            <w:vMerge/>
            <w:tcBorders>
              <w:left w:val="single" w:sz="4" w:space="0" w:color="000000"/>
              <w:right w:val="single" w:sz="4" w:space="0" w:color="000000"/>
            </w:tcBorders>
            <w:shd w:val="clear" w:color="auto" w:fill="D2D2D2"/>
          </w:tcPr>
          <w:p>
            <w:pPr/>
          </w:p>
        </w:tc>
        <w:tc>
          <w:tcPr>
            <w:tcW w:w="1103" w:type="dxa"/>
            <w:vMerge/>
            <w:tcBorders>
              <w:left w:val="single" w:sz="4" w:space="0" w:color="000000"/>
              <w:right w:val="single" w:sz="4" w:space="0" w:color="000000"/>
            </w:tcBorders>
            <w:shd w:val="clear" w:color="auto" w:fill="D2D2D2"/>
          </w:tcPr>
          <w:p>
            <w:pPr/>
          </w:p>
        </w:tc>
        <w:tc>
          <w:tcPr>
            <w:tcW w:w="884"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410" w:type="dxa"/>
            <w:vMerge/>
            <w:tcBorders>
              <w:left w:val="single" w:sz="4" w:space="0" w:color="000000"/>
              <w:right w:val="single" w:sz="4" w:space="0" w:color="000000"/>
            </w:tcBorders>
            <w:shd w:val="clear" w:color="auto" w:fill="D2D2D2"/>
          </w:tcPr>
          <w:p>
            <w:pPr/>
          </w:p>
        </w:tc>
        <w:tc>
          <w:tcPr>
            <w:tcW w:w="3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113" w:hRule="exact"/>
        </w:trPr>
        <w:tc>
          <w:tcPr>
            <w:tcW w:w="1166" w:type="dxa"/>
            <w:vMerge/>
            <w:tcBorders>
              <w:left w:val="single" w:sz="4" w:space="0" w:color="000000"/>
              <w:right w:val="single" w:sz="4" w:space="0" w:color="000000"/>
            </w:tcBorders>
            <w:shd w:val="clear" w:color="auto" w:fill="D2D2D2"/>
          </w:tcPr>
          <w:p>
            <w:pPr/>
          </w:p>
        </w:tc>
        <w:tc>
          <w:tcPr>
            <w:tcW w:w="1103" w:type="dxa"/>
            <w:vMerge/>
            <w:tcBorders>
              <w:left w:val="single" w:sz="4" w:space="0" w:color="000000"/>
              <w:bottom w:val="nil" w:sz="6" w:space="0" w:color="auto"/>
              <w:right w:val="single" w:sz="4" w:space="0" w:color="000000"/>
            </w:tcBorders>
            <w:shd w:val="clear" w:color="auto" w:fill="D2D2D2"/>
          </w:tcPr>
          <w:p>
            <w:pPr/>
          </w:p>
        </w:tc>
        <w:tc>
          <w:tcPr>
            <w:tcW w:w="30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 w:type="dxa"/>
            <w:tcBorders>
              <w:top w:val="single" w:sz="4" w:space="0" w:color="000000"/>
              <w:left w:val="single" w:sz="4" w:space="0" w:color="000000"/>
              <w:bottom w:val="nil" w:sz="6" w:space="0" w:color="auto"/>
              <w:right w:val="single" w:sz="4" w:space="0" w:color="000000"/>
            </w:tcBorders>
            <w:shd w:val="clear" w:color="auto" w:fill="D2D2D2"/>
          </w:tcPr>
          <w:p>
            <w:pPr/>
          </w:p>
        </w:tc>
        <w:tc>
          <w:tcPr>
            <w:tcW w:w="27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410" w:type="dxa"/>
            <w:vMerge/>
            <w:tcBorders>
              <w:left w:val="single" w:sz="4" w:space="0" w:color="000000"/>
              <w:right w:val="single" w:sz="4" w:space="0" w:color="000000"/>
            </w:tcBorders>
            <w:shd w:val="clear" w:color="auto" w:fill="D2D2D2"/>
          </w:tcPr>
          <w:p>
            <w:pPr/>
          </w:p>
        </w:tc>
        <w:tc>
          <w:tcPr>
            <w:tcW w:w="341"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
              <w:ind w:left="508" w:right="55"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2" w:hRule="exact"/>
        </w:trPr>
        <w:tc>
          <w:tcPr>
            <w:tcW w:w="1166" w:type="dxa"/>
            <w:vMerge/>
            <w:tcBorders>
              <w:left w:val="single" w:sz="4" w:space="0" w:color="000000"/>
              <w:right w:val="single" w:sz="4" w:space="0" w:color="000000"/>
            </w:tcBorders>
            <w:shd w:val="clear" w:color="auto" w:fill="D2D2D2"/>
          </w:tcPr>
          <w:p>
            <w:pPr/>
          </w:p>
        </w:tc>
        <w:tc>
          <w:tcPr>
            <w:tcW w:w="11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4"/>
              <w:ind w:left="57" w:right="5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0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4"/>
              <w:ind w:left="57" w:right="5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7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410" w:type="dxa"/>
            <w:vMerge/>
            <w:tcBorders>
              <w:left w:val="single" w:sz="4" w:space="0" w:color="000000"/>
              <w:right w:val="single" w:sz="4" w:space="0" w:color="000000"/>
            </w:tcBorders>
            <w:shd w:val="clear" w:color="auto" w:fill="D2D2D2"/>
          </w:tcPr>
          <w:p>
            <w:pPr/>
          </w:p>
        </w:tc>
        <w:tc>
          <w:tcPr>
            <w:tcW w:w="341"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07" w:type="dxa"/>
            <w:vMerge/>
            <w:tcBorders>
              <w:left w:val="single" w:sz="4" w:space="0" w:color="000000"/>
              <w:right w:val="single" w:sz="4" w:space="0" w:color="000000"/>
            </w:tcBorders>
            <w:shd w:val="clear" w:color="auto" w:fill="D2D2D2"/>
          </w:tcPr>
          <w:p>
            <w:pPr/>
          </w:p>
        </w:tc>
      </w:tr>
      <w:tr>
        <w:trPr>
          <w:trHeight w:val="190" w:hRule="exact"/>
        </w:trPr>
        <w:tc>
          <w:tcPr>
            <w:tcW w:w="1166" w:type="dxa"/>
            <w:vMerge/>
            <w:tcBorders>
              <w:left w:val="single" w:sz="4" w:space="0" w:color="000000"/>
              <w:right w:val="single" w:sz="4" w:space="0" w:color="000000"/>
            </w:tcBorders>
            <w:shd w:val="clear" w:color="auto" w:fill="D2D2D2"/>
          </w:tcPr>
          <w:p>
            <w:pPr/>
          </w:p>
        </w:tc>
        <w:tc>
          <w:tcPr>
            <w:tcW w:w="1103" w:type="dxa"/>
            <w:vMerge/>
            <w:tcBorders>
              <w:left w:val="single" w:sz="4" w:space="0" w:color="000000"/>
              <w:bottom w:val="nil" w:sz="6" w:space="0" w:color="auto"/>
              <w:right w:val="single" w:sz="4" w:space="0" w:color="000000"/>
            </w:tcBorders>
            <w:shd w:val="clear" w:color="auto" w:fill="D2D2D2"/>
          </w:tcPr>
          <w:p>
            <w:pPr/>
          </w:p>
        </w:tc>
        <w:tc>
          <w:tcPr>
            <w:tcW w:w="307" w:type="dxa"/>
            <w:vMerge/>
            <w:tcBorders>
              <w:left w:val="single" w:sz="4" w:space="0" w:color="000000"/>
              <w:right w:val="single" w:sz="4" w:space="0" w:color="000000"/>
            </w:tcBorders>
            <w:shd w:val="clear" w:color="auto" w:fill="D2D2D2"/>
          </w:tcPr>
          <w:p>
            <w:pPr/>
          </w:p>
        </w:tc>
        <w:tc>
          <w:tcPr>
            <w:tcW w:w="305" w:type="dxa"/>
            <w:vMerge/>
            <w:tcBorders>
              <w:left w:val="single" w:sz="4" w:space="0" w:color="000000"/>
              <w:right w:val="single" w:sz="4" w:space="0" w:color="000000"/>
            </w:tcBorders>
            <w:shd w:val="clear" w:color="auto" w:fill="D2D2D2"/>
          </w:tcPr>
          <w:p>
            <w:pPr/>
          </w:p>
        </w:tc>
        <w:tc>
          <w:tcPr>
            <w:tcW w:w="27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 w:right="38"/>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410" w:type="dxa"/>
            <w:vMerge/>
            <w:tcBorders>
              <w:left w:val="single" w:sz="4" w:space="0" w:color="000000"/>
              <w:right w:val="single" w:sz="4" w:space="0" w:color="000000"/>
            </w:tcBorders>
            <w:shd w:val="clear" w:color="auto" w:fill="D2D2D2"/>
          </w:tcPr>
          <w:p>
            <w:pPr/>
          </w:p>
        </w:tc>
        <w:tc>
          <w:tcPr>
            <w:tcW w:w="341"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r>
      <w:tr>
        <w:trPr>
          <w:trHeight w:val="156" w:hRule="exact"/>
        </w:trPr>
        <w:tc>
          <w:tcPr>
            <w:tcW w:w="1166" w:type="dxa"/>
            <w:vMerge/>
            <w:tcBorders>
              <w:left w:val="single" w:sz="4" w:space="0" w:color="000000"/>
              <w:right w:val="single" w:sz="4" w:space="0" w:color="000000"/>
            </w:tcBorders>
            <w:shd w:val="clear" w:color="auto" w:fill="D2D2D2"/>
          </w:tcPr>
          <w:p>
            <w:pPr/>
          </w:p>
        </w:tc>
        <w:tc>
          <w:tcPr>
            <w:tcW w:w="1103" w:type="dxa"/>
            <w:vMerge w:val="restart"/>
            <w:tcBorders>
              <w:top w:val="nil" w:sz="6" w:space="0" w:color="auto"/>
              <w:left w:val="single" w:sz="4" w:space="0" w:color="000000"/>
              <w:right w:val="single" w:sz="4" w:space="0" w:color="000000"/>
            </w:tcBorders>
            <w:shd w:val="clear" w:color="auto" w:fill="D2D2D2"/>
          </w:tcPr>
          <w:p>
            <w:pPr/>
          </w:p>
        </w:tc>
        <w:tc>
          <w:tcPr>
            <w:tcW w:w="307" w:type="dxa"/>
            <w:vMerge/>
            <w:tcBorders>
              <w:left w:val="single" w:sz="4" w:space="0" w:color="000000"/>
              <w:right w:val="single" w:sz="4" w:space="0" w:color="000000"/>
            </w:tcBorders>
            <w:shd w:val="clear" w:color="auto" w:fill="D2D2D2"/>
          </w:tcPr>
          <w:p>
            <w:pPr/>
          </w:p>
        </w:tc>
        <w:tc>
          <w:tcPr>
            <w:tcW w:w="305" w:type="dxa"/>
            <w:vMerge/>
            <w:tcBorders>
              <w:left w:val="single" w:sz="4" w:space="0" w:color="000000"/>
              <w:right w:val="single" w:sz="4" w:space="0" w:color="000000"/>
            </w:tcBorders>
            <w:shd w:val="clear" w:color="auto" w:fill="D2D2D2"/>
          </w:tcPr>
          <w:p>
            <w:pPr/>
          </w:p>
        </w:tc>
        <w:tc>
          <w:tcPr>
            <w:tcW w:w="271"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410" w:type="dxa"/>
            <w:vMerge/>
            <w:tcBorders>
              <w:left w:val="single" w:sz="4" w:space="0" w:color="000000"/>
              <w:right w:val="single" w:sz="4" w:space="0" w:color="000000"/>
            </w:tcBorders>
            <w:shd w:val="clear" w:color="auto" w:fill="D2D2D2"/>
          </w:tcPr>
          <w:p>
            <w:pPr/>
          </w:p>
        </w:tc>
        <w:tc>
          <w:tcPr>
            <w:tcW w:w="341"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335" w:hRule="exact"/>
        </w:trPr>
        <w:tc>
          <w:tcPr>
            <w:tcW w:w="1166" w:type="dxa"/>
            <w:vMerge/>
            <w:tcBorders>
              <w:left w:val="single" w:sz="4" w:space="0" w:color="000000"/>
              <w:right w:val="single" w:sz="4" w:space="0" w:color="000000"/>
            </w:tcBorders>
            <w:shd w:val="clear" w:color="auto" w:fill="D2D2D2"/>
          </w:tcPr>
          <w:p>
            <w:pPr/>
          </w:p>
        </w:tc>
        <w:tc>
          <w:tcPr>
            <w:tcW w:w="1103" w:type="dxa"/>
            <w:vMerge/>
            <w:tcBorders>
              <w:left w:val="single" w:sz="4" w:space="0" w:color="000000"/>
              <w:right w:val="single" w:sz="4" w:space="0" w:color="000000"/>
            </w:tcBorders>
            <w:shd w:val="clear" w:color="auto" w:fill="D2D2D2"/>
          </w:tcPr>
          <w:p>
            <w:pPr/>
          </w:p>
        </w:tc>
        <w:tc>
          <w:tcPr>
            <w:tcW w:w="307" w:type="dxa"/>
            <w:vMerge/>
            <w:tcBorders>
              <w:left w:val="single" w:sz="4" w:space="0" w:color="000000"/>
              <w:right w:val="single" w:sz="4" w:space="0" w:color="000000"/>
            </w:tcBorders>
            <w:shd w:val="clear" w:color="auto" w:fill="D2D2D2"/>
          </w:tcPr>
          <w:p>
            <w:pPr/>
          </w:p>
        </w:tc>
        <w:tc>
          <w:tcPr>
            <w:tcW w:w="305" w:type="dxa"/>
            <w:vMerge/>
            <w:tcBorders>
              <w:left w:val="single" w:sz="4" w:space="0" w:color="000000"/>
              <w:right w:val="single" w:sz="4" w:space="0" w:color="000000"/>
            </w:tcBorders>
            <w:shd w:val="clear" w:color="auto" w:fill="D2D2D2"/>
          </w:tcPr>
          <w:p>
            <w:pPr/>
          </w:p>
        </w:tc>
        <w:tc>
          <w:tcPr>
            <w:tcW w:w="27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410" w:type="dxa"/>
            <w:vMerge/>
            <w:tcBorders>
              <w:left w:val="single" w:sz="4" w:space="0" w:color="000000"/>
              <w:right w:val="single" w:sz="4" w:space="0" w:color="000000"/>
            </w:tcBorders>
            <w:shd w:val="clear" w:color="auto" w:fill="D2D2D2"/>
          </w:tcPr>
          <w:p>
            <w:pPr/>
          </w:p>
        </w:tc>
        <w:tc>
          <w:tcPr>
            <w:tcW w:w="341"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r>
      <w:tr>
        <w:trPr>
          <w:trHeight w:val="294" w:hRule="exact"/>
        </w:trPr>
        <w:tc>
          <w:tcPr>
            <w:tcW w:w="1166" w:type="dxa"/>
            <w:vMerge/>
            <w:tcBorders>
              <w:left w:val="single" w:sz="4" w:space="0" w:color="000000"/>
              <w:bottom w:val="single" w:sz="4" w:space="0" w:color="000000"/>
              <w:right w:val="single" w:sz="4" w:space="0" w:color="000000"/>
            </w:tcBorders>
            <w:shd w:val="clear" w:color="auto" w:fill="D2D2D2"/>
          </w:tcPr>
          <w:p>
            <w:pPr/>
          </w:p>
        </w:tc>
        <w:tc>
          <w:tcPr>
            <w:tcW w:w="1103" w:type="dxa"/>
            <w:vMerge/>
            <w:tcBorders>
              <w:left w:val="single" w:sz="4" w:space="0" w:color="000000"/>
              <w:bottom w:val="single" w:sz="4" w:space="0" w:color="000000"/>
              <w:right w:val="single" w:sz="4" w:space="0" w:color="000000"/>
            </w:tcBorders>
            <w:shd w:val="clear" w:color="auto" w:fill="D2D2D2"/>
          </w:tcPr>
          <w:p>
            <w:pPr/>
          </w:p>
        </w:tc>
        <w:tc>
          <w:tcPr>
            <w:tcW w:w="307" w:type="dxa"/>
            <w:vMerge/>
            <w:tcBorders>
              <w:left w:val="single" w:sz="4" w:space="0" w:color="000000"/>
              <w:bottom w:val="single" w:sz="4" w:space="0" w:color="000000"/>
              <w:right w:val="single" w:sz="4" w:space="0" w:color="000000"/>
            </w:tcBorders>
            <w:shd w:val="clear" w:color="auto" w:fill="D2D2D2"/>
          </w:tcPr>
          <w:p>
            <w:pPr/>
          </w:p>
        </w:tc>
        <w:tc>
          <w:tcPr>
            <w:tcW w:w="305" w:type="dxa"/>
            <w:vMerge/>
            <w:tcBorders>
              <w:left w:val="single" w:sz="4" w:space="0" w:color="000000"/>
              <w:bottom w:val="single" w:sz="4" w:space="0" w:color="000000"/>
              <w:right w:val="single" w:sz="4" w:space="0" w:color="000000"/>
            </w:tcBorders>
            <w:shd w:val="clear" w:color="auto" w:fill="D2D2D2"/>
          </w:tcPr>
          <w:p>
            <w:pPr/>
          </w:p>
        </w:tc>
        <w:tc>
          <w:tcPr>
            <w:tcW w:w="2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410" w:type="dxa"/>
            <w:vMerge/>
            <w:tcBorders>
              <w:left w:val="single" w:sz="4" w:space="0" w:color="000000"/>
              <w:bottom w:val="single" w:sz="4" w:space="0" w:color="000000"/>
              <w:right w:val="single" w:sz="4" w:space="0" w:color="000000"/>
            </w:tcBorders>
            <w:shd w:val="clear" w:color="auto" w:fill="D2D2D2"/>
          </w:tcPr>
          <w:p>
            <w:pPr/>
          </w:p>
        </w:tc>
        <w:tc>
          <w:tcPr>
            <w:tcW w:w="3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3"/>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90,150,000.00</w:t>
            </w:r>
          </w:p>
        </w:tc>
        <w:tc>
          <w:tcPr>
            <w:tcW w:w="307" w:type="dxa"/>
            <w:tcBorders>
              <w:top w:val="single" w:sz="44" w:space="0" w:color="D2D2D2"/>
              <w:left w:val="single" w:sz="4" w:space="0" w:color="000000"/>
              <w:bottom w:val="single" w:sz="4" w:space="0" w:color="000000"/>
              <w:right w:val="single" w:sz="4" w:space="0" w:color="000000"/>
            </w:tcBorders>
          </w:tcPr>
          <w:p>
            <w:pPr/>
          </w:p>
        </w:tc>
        <w:tc>
          <w:tcPr>
            <w:tcW w:w="305" w:type="dxa"/>
            <w:tcBorders>
              <w:top w:val="single" w:sz="44" w:space="0" w:color="D2D2D2"/>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196,631,124.85</w:t>
            </w: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36,925,460.85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210,541,835.48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534,248,421.18</w:t>
            </w:r>
          </w:p>
        </w:tc>
      </w:tr>
      <w:tr>
        <w:trPr>
          <w:trHeight w:val="713" w:hRule="exact"/>
        </w:trPr>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1"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3"/>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90,150,000.00</w:t>
            </w: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196,631,124.85</w:t>
            </w: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36,925,460.85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210,541,835.48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534,248,421.18</w:t>
            </w:r>
          </w:p>
        </w:tc>
      </w:tr>
      <w:tr>
        <w:trPr>
          <w:trHeight w:val="1337" w:hRule="exact"/>
        </w:trPr>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63"/>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1,041,500.00</w:t>
            </w: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25,450,724.61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24,256,535.00</w:t>
            </w: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8" w:right="0"/>
              <w:jc w:val="center"/>
              <w:rPr>
                <w:rFonts w:ascii="Times New Roman" w:hAnsi="Times New Roman" w:cs="Times New Roman" w:eastAsia="Times New Roman" w:hint="default"/>
                <w:sz w:val="18"/>
                <w:szCs w:val="18"/>
              </w:rPr>
            </w:pPr>
            <w:r>
              <w:rPr>
                <w:rFonts w:ascii="Times New Roman"/>
                <w:sz w:val="18"/>
              </w:rPr>
              <w:t>3,066,154.50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21,284,890.46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26,586,734.57</w:t>
            </w:r>
          </w:p>
        </w:tc>
      </w:tr>
      <w:tr>
        <w:trPr>
          <w:trHeight w:val="715" w:hRule="exact"/>
        </w:trPr>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3"/>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30,661,544.96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30,661,544.96</w:t>
            </w:r>
          </w:p>
        </w:tc>
      </w:tr>
      <w:tr>
        <w:trPr>
          <w:trHeight w:val="1025" w:hRule="exact"/>
        </w:trPr>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1"/>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1,041,500.00</w:t>
            </w: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25,450,724.61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24,256,535.00</w:t>
            </w: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2,235,689.61</w:t>
            </w:r>
          </w:p>
        </w:tc>
      </w:tr>
      <w:tr>
        <w:trPr>
          <w:trHeight w:val="715" w:hRule="exact"/>
        </w:trPr>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．股东投入的</w:t>
            </w:r>
            <w:r>
              <w:rPr>
                <w:rFonts w:ascii="宋体" w:hAnsi="宋体" w:cs="宋体" w:eastAsia="宋体" w:hint="default"/>
                <w:sz w:val="18"/>
                <w:szCs w:val="18"/>
              </w:rPr>
              <w:t> 普通股</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1,041,500.00</w:t>
            </w: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23,215,035.00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24,256,535.00</w:t>
            </w:r>
          </w:p>
        </w:tc>
      </w:tr>
      <w:tr>
        <w:trPr>
          <w:trHeight w:val="1025" w:hRule="exact"/>
        </w:trPr>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6"/>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w:t>
            </w:r>
            <w:r>
              <w:rPr>
                <w:rFonts w:ascii="宋体" w:hAnsi="宋体" w:cs="宋体" w:eastAsia="宋体" w:hint="default"/>
                <w:sz w:val="18"/>
                <w:szCs w:val="18"/>
              </w:rPr>
              <w:t> 具持有者投入 资本</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6"/>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w:t>
            </w:r>
            <w:r>
              <w:rPr>
                <w:rFonts w:ascii="宋体" w:hAnsi="宋体" w:cs="宋体" w:eastAsia="宋体" w:hint="default"/>
                <w:sz w:val="18"/>
                <w:szCs w:val="18"/>
              </w:rPr>
              <w:t> 入所有者权益 的金额</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2,235,689.61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24,256,535.00</w:t>
            </w: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-22,020,845.39</w:t>
            </w:r>
          </w:p>
        </w:tc>
      </w:tr>
      <w:tr>
        <w:trPr>
          <w:trHeight w:val="401" w:hRule="exact"/>
        </w:trPr>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63"/>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3,066,154.50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-9,376,654.50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-6,310,500.00</w:t>
            </w:r>
          </w:p>
        </w:tc>
      </w:tr>
      <w:tr>
        <w:trPr>
          <w:trHeight w:val="713" w:hRule="exact"/>
        </w:trPr>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．提取盈余公</w:t>
            </w:r>
            <w:r>
              <w:rPr>
                <w:rFonts w:ascii="宋体" w:hAnsi="宋体" w:cs="宋体" w:eastAsia="宋体" w:hint="default"/>
                <w:sz w:val="18"/>
                <w:szCs w:val="18"/>
              </w:rPr>
              <w:t> 积</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3,066,154.50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-3,066,154.50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0"/>
              <w:ind w:left="12" w:right="63"/>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-6,310,500.00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-6,310,500.00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87"/>
        <w:gridCol w:w="1092"/>
        <w:gridCol w:w="307"/>
        <w:gridCol w:w="305"/>
        <w:gridCol w:w="271"/>
        <w:gridCol w:w="1181"/>
        <w:gridCol w:w="1092"/>
        <w:gridCol w:w="410"/>
        <w:gridCol w:w="341"/>
        <w:gridCol w:w="1092"/>
        <w:gridCol w:w="1181"/>
        <w:gridCol w:w="1207"/>
      </w:tblGrid>
      <w:tr>
        <w:trPr>
          <w:trHeight w:val="401"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92"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1092"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7"/>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w:t>
            </w:r>
            <w:r>
              <w:rPr>
                <w:rFonts w:ascii="宋体" w:hAnsi="宋体" w:cs="宋体" w:eastAsia="宋体" w:hint="default"/>
                <w:sz w:val="18"/>
                <w:szCs w:val="18"/>
              </w:rPr>
              <w:t> 增资本（或股 本）</w:t>
            </w:r>
          </w:p>
        </w:tc>
        <w:tc>
          <w:tcPr>
            <w:tcW w:w="1092"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7"/>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w:t>
            </w:r>
            <w:r>
              <w:rPr>
                <w:rFonts w:ascii="宋体" w:hAnsi="宋体" w:cs="宋体" w:eastAsia="宋体" w:hint="default"/>
                <w:sz w:val="18"/>
                <w:szCs w:val="18"/>
              </w:rPr>
              <w:t> 增资本（或股 本）</w:t>
            </w:r>
          </w:p>
        </w:tc>
        <w:tc>
          <w:tcPr>
            <w:tcW w:w="1092"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．盈余公积弥</w:t>
            </w:r>
            <w:r>
              <w:rPr>
                <w:rFonts w:ascii="宋体" w:hAnsi="宋体" w:cs="宋体" w:eastAsia="宋体" w:hint="default"/>
                <w:sz w:val="18"/>
                <w:szCs w:val="18"/>
              </w:rPr>
              <w:t> 补亏损</w:t>
            </w:r>
          </w:p>
        </w:tc>
        <w:tc>
          <w:tcPr>
            <w:tcW w:w="1092"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2"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1092"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92"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92"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92"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91,191,500.00</w:t>
            </w:r>
          </w:p>
        </w:tc>
        <w:tc>
          <w:tcPr>
            <w:tcW w:w="307"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222,081,849.46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24,256,535.00</w:t>
            </w:r>
          </w:p>
        </w:tc>
        <w:tc>
          <w:tcPr>
            <w:tcW w:w="41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39,991,615.35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231,826,725.94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560,835,155.75</w:t>
            </w:r>
          </w:p>
        </w:tc>
      </w:tr>
    </w:tbl>
    <w:p>
      <w:pPr>
        <w:pStyle w:val="BodyText"/>
        <w:spacing w:line="240" w:lineRule="auto" w:before="49"/>
        <w:ind w:right="153"/>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51"/>
        <w:gridCol w:w="1103"/>
        <w:gridCol w:w="339"/>
        <w:gridCol w:w="341"/>
        <w:gridCol w:w="288"/>
        <w:gridCol w:w="1181"/>
        <w:gridCol w:w="574"/>
        <w:gridCol w:w="494"/>
        <w:gridCol w:w="394"/>
        <w:gridCol w:w="1090"/>
        <w:gridCol w:w="1181"/>
        <w:gridCol w:w="1222"/>
      </w:tblGrid>
      <w:tr>
        <w:trPr>
          <w:trHeight w:val="396" w:hRule="exact"/>
        </w:trPr>
        <w:tc>
          <w:tcPr>
            <w:tcW w:w="1451" w:type="dxa"/>
            <w:vMerge w:val="restart"/>
            <w:tcBorders>
              <w:top w:val="single" w:sz="4" w:space="0" w:color="000000"/>
              <w:left w:val="single" w:sz="4" w:space="0" w:color="000000"/>
              <w:right w:val="single" w:sz="4" w:space="0" w:color="000000"/>
            </w:tcBorders>
            <w:shd w:val="clear" w:color="auto" w:fill="D2D2D2"/>
          </w:tcPr>
          <w:p>
            <w:pPr/>
          </w:p>
        </w:tc>
        <w:tc>
          <w:tcPr>
            <w:tcW w:w="820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51" w:type="dxa"/>
            <w:vMerge/>
            <w:tcBorders>
              <w:left w:val="single" w:sz="4" w:space="0" w:color="000000"/>
              <w:right w:val="single" w:sz="4" w:space="0" w:color="000000"/>
            </w:tcBorders>
            <w:shd w:val="clear" w:color="auto" w:fill="D2D2D2"/>
          </w:tcPr>
          <w:p>
            <w:pPr/>
          </w:p>
        </w:tc>
        <w:tc>
          <w:tcPr>
            <w:tcW w:w="1103" w:type="dxa"/>
            <w:vMerge w:val="restart"/>
            <w:tcBorders>
              <w:top w:val="single" w:sz="4" w:space="0" w:color="000000"/>
              <w:left w:val="single" w:sz="4" w:space="0" w:color="000000"/>
              <w:right w:val="single" w:sz="4" w:space="0" w:color="000000"/>
            </w:tcBorders>
            <w:shd w:val="clear" w:color="auto" w:fill="D2D2D2"/>
          </w:tcPr>
          <w:p>
            <w:pPr/>
          </w:p>
        </w:tc>
        <w:tc>
          <w:tcPr>
            <w:tcW w:w="96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89" w:right="26" w:hanging="360"/>
              <w:jc w:val="left"/>
              <w:rPr>
                <w:rFonts w:ascii="宋体" w:hAnsi="宋体" w:cs="宋体" w:eastAsia="宋体" w:hint="default"/>
                <w:sz w:val="18"/>
                <w:szCs w:val="18"/>
              </w:rPr>
            </w:pPr>
            <w:r>
              <w:rPr>
                <w:rFonts w:ascii="宋体" w:hAnsi="宋体" w:cs="宋体" w:eastAsia="宋体" w:hint="default"/>
                <w:sz w:val="18"/>
                <w:szCs w:val="18"/>
              </w:rPr>
              <w:t>其他权益工 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3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2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451" w:type="dxa"/>
            <w:vMerge/>
            <w:tcBorders>
              <w:left w:val="single" w:sz="4" w:space="0" w:color="000000"/>
              <w:right w:val="single" w:sz="4" w:space="0" w:color="000000"/>
            </w:tcBorders>
            <w:shd w:val="clear" w:color="auto" w:fill="D2D2D2"/>
          </w:tcPr>
          <w:p>
            <w:pPr/>
          </w:p>
        </w:tc>
        <w:tc>
          <w:tcPr>
            <w:tcW w:w="1103" w:type="dxa"/>
            <w:vMerge/>
            <w:tcBorders>
              <w:left w:val="single" w:sz="4" w:space="0" w:color="000000"/>
              <w:right w:val="single" w:sz="4" w:space="0" w:color="000000"/>
            </w:tcBorders>
            <w:shd w:val="clear" w:color="auto" w:fill="D2D2D2"/>
          </w:tcPr>
          <w:p>
            <w:pPr/>
          </w:p>
        </w:tc>
        <w:tc>
          <w:tcPr>
            <w:tcW w:w="968" w:type="dxa"/>
            <w:gridSpan w:val="3"/>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3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0" w:right="10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22" w:type="dxa"/>
            <w:vMerge/>
            <w:tcBorders>
              <w:left w:val="single" w:sz="4" w:space="0" w:color="000000"/>
              <w:right w:val="single" w:sz="4" w:space="0" w:color="000000"/>
            </w:tcBorders>
            <w:shd w:val="clear" w:color="auto" w:fill="D2D2D2"/>
          </w:tcPr>
          <w:p>
            <w:pPr/>
          </w:p>
        </w:tc>
      </w:tr>
      <w:tr>
        <w:trPr>
          <w:trHeight w:val="133" w:hRule="exact"/>
        </w:trPr>
        <w:tc>
          <w:tcPr>
            <w:tcW w:w="1451" w:type="dxa"/>
            <w:vMerge/>
            <w:tcBorders>
              <w:left w:val="single" w:sz="4" w:space="0" w:color="000000"/>
              <w:bottom w:val="nil" w:sz="6" w:space="0" w:color="auto"/>
              <w:right w:val="single" w:sz="4" w:space="0" w:color="000000"/>
            </w:tcBorders>
            <w:shd w:val="clear" w:color="auto" w:fill="D2D2D2"/>
          </w:tcPr>
          <w:p>
            <w:pPr/>
          </w:p>
        </w:tc>
        <w:tc>
          <w:tcPr>
            <w:tcW w:w="1103" w:type="dxa"/>
            <w:vMerge/>
            <w:tcBorders>
              <w:left w:val="single" w:sz="4" w:space="0" w:color="000000"/>
              <w:right w:val="single" w:sz="4" w:space="0" w:color="000000"/>
            </w:tcBorders>
            <w:shd w:val="clear" w:color="auto" w:fill="D2D2D2"/>
          </w:tcPr>
          <w:p>
            <w:pPr/>
          </w:p>
        </w:tc>
        <w:tc>
          <w:tcPr>
            <w:tcW w:w="968" w:type="dxa"/>
            <w:gridSpan w:val="3"/>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394"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22"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4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3" w:type="dxa"/>
            <w:vMerge/>
            <w:tcBorders>
              <w:left w:val="single" w:sz="4" w:space="0" w:color="000000"/>
              <w:bottom w:val="single" w:sz="14" w:space="0" w:color="FFFFFF"/>
              <w:right w:val="single" w:sz="4" w:space="0" w:color="000000"/>
            </w:tcBorders>
            <w:shd w:val="clear" w:color="auto" w:fill="D2D2D2"/>
          </w:tcPr>
          <w:p>
            <w:pPr/>
          </w:p>
        </w:tc>
        <w:tc>
          <w:tcPr>
            <w:tcW w:w="968" w:type="dxa"/>
            <w:gridSpan w:val="3"/>
            <w:vMerge/>
            <w:tcBorders>
              <w:left w:val="single" w:sz="4" w:space="0" w:color="000000"/>
              <w:bottom w:val="single" w:sz="14" w:space="0" w:color="FFFFFF"/>
              <w:right w:val="single" w:sz="4" w:space="0" w:color="000000"/>
            </w:tcBorders>
            <w:shd w:val="clear" w:color="auto" w:fill="D2D2D2"/>
          </w:tcPr>
          <w:p>
            <w:pPr/>
          </w:p>
        </w:tc>
        <w:tc>
          <w:tcPr>
            <w:tcW w:w="1181" w:type="dxa"/>
            <w:vMerge/>
            <w:tcBorders>
              <w:left w:val="single" w:sz="4" w:space="0" w:color="000000"/>
              <w:bottom w:val="single" w:sz="14" w:space="0" w:color="FFFFFF"/>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100" w:right="22" w:hanging="77"/>
              <w:jc w:val="left"/>
              <w:rPr>
                <w:rFonts w:ascii="宋体" w:hAnsi="宋体" w:cs="宋体" w:eastAsia="宋体" w:hint="default"/>
                <w:sz w:val="18"/>
                <w:szCs w:val="18"/>
              </w:rPr>
            </w:pPr>
            <w:r>
              <w:rPr>
                <w:rFonts w:ascii="宋体" w:hAnsi="宋体" w:cs="宋体" w:eastAsia="宋体" w:hint="default"/>
                <w:spacing w:val="-8"/>
                <w:sz w:val="18"/>
                <w:szCs w:val="18"/>
              </w:rPr>
              <w:t>减：库</w:t>
            </w:r>
            <w:r>
              <w:rPr>
                <w:rFonts w:ascii="宋体" w:hAnsi="宋体" w:cs="宋体" w:eastAsia="宋体" w:hint="default"/>
                <w:sz w:val="18"/>
                <w:szCs w:val="18"/>
              </w:rPr>
              <w:t> 存股</w:t>
            </w:r>
          </w:p>
        </w:tc>
        <w:tc>
          <w:tcPr>
            <w:tcW w:w="494" w:type="dxa"/>
            <w:vMerge/>
            <w:tcBorders>
              <w:left w:val="single" w:sz="4" w:space="0" w:color="000000"/>
              <w:right w:val="single" w:sz="4" w:space="0" w:color="000000"/>
            </w:tcBorders>
            <w:shd w:val="clear" w:color="auto" w:fill="D2D2D2"/>
          </w:tcPr>
          <w:p>
            <w:pPr/>
          </w:p>
        </w:tc>
        <w:tc>
          <w:tcPr>
            <w:tcW w:w="394"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2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515" w:right="65"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88" w:hRule="exact"/>
        </w:trPr>
        <w:tc>
          <w:tcPr>
            <w:tcW w:w="1451" w:type="dxa"/>
            <w:vMerge/>
            <w:tcBorders>
              <w:left w:val="single" w:sz="4" w:space="0" w:color="000000"/>
              <w:bottom w:val="nil" w:sz="6" w:space="0" w:color="auto"/>
              <w:right w:val="single" w:sz="4" w:space="0" w:color="000000"/>
            </w:tcBorders>
            <w:shd w:val="clear" w:color="auto" w:fill="D2D2D2"/>
          </w:tcPr>
          <w:p>
            <w:pPr/>
          </w:p>
        </w:tc>
        <w:tc>
          <w:tcPr>
            <w:tcW w:w="1103"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3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9"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74" w:right="72"/>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41"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76" w:right="72"/>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8" w:type="dxa"/>
            <w:tcBorders>
              <w:top w:val="single" w:sz="14" w:space="0" w:color="FFFFFF"/>
              <w:left w:val="single" w:sz="4" w:space="0" w:color="000000"/>
              <w:bottom w:val="nil" w:sz="6" w:space="0" w:color="auto"/>
              <w:right w:val="single" w:sz="4" w:space="0" w:color="000000"/>
            </w:tcBorders>
            <w:shd w:val="clear" w:color="auto" w:fill="D2D2D2"/>
          </w:tcPr>
          <w:p>
            <w:pPr/>
          </w:p>
        </w:tc>
        <w:tc>
          <w:tcPr>
            <w:tcW w:w="118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4"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394"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22" w:type="dxa"/>
            <w:vMerge/>
            <w:tcBorders>
              <w:left w:val="single" w:sz="4" w:space="0" w:color="000000"/>
              <w:right w:val="single" w:sz="4" w:space="0" w:color="000000"/>
            </w:tcBorders>
            <w:shd w:val="clear" w:color="auto" w:fill="D2D2D2"/>
          </w:tcPr>
          <w:p>
            <w:pPr/>
          </w:p>
        </w:tc>
      </w:tr>
      <w:tr>
        <w:trPr>
          <w:trHeight w:val="194" w:hRule="exact"/>
        </w:trPr>
        <w:tc>
          <w:tcPr>
            <w:tcW w:w="1451" w:type="dxa"/>
            <w:vMerge w:val="restart"/>
            <w:tcBorders>
              <w:top w:val="nil" w:sz="6" w:space="0" w:color="auto"/>
              <w:left w:val="single" w:sz="4" w:space="0" w:color="000000"/>
              <w:right w:val="single" w:sz="4" w:space="0" w:color="000000"/>
            </w:tcBorders>
            <w:shd w:val="clear" w:color="auto" w:fill="D2D2D2"/>
          </w:tcPr>
          <w:p>
            <w:pPr/>
          </w:p>
        </w:tc>
        <w:tc>
          <w:tcPr>
            <w:tcW w:w="1103" w:type="dxa"/>
            <w:vMerge/>
            <w:tcBorders>
              <w:left w:val="single" w:sz="4" w:space="0" w:color="000000"/>
              <w:bottom w:val="nil" w:sz="6" w:space="0" w:color="auto"/>
              <w:right w:val="single" w:sz="4" w:space="0" w:color="000000"/>
            </w:tcBorders>
            <w:shd w:val="clear" w:color="auto" w:fill="D2D2D2"/>
          </w:tcPr>
          <w:p>
            <w:pPr/>
          </w:p>
        </w:tc>
        <w:tc>
          <w:tcPr>
            <w:tcW w:w="339" w:type="dxa"/>
            <w:vMerge/>
            <w:tcBorders>
              <w:left w:val="single" w:sz="4" w:space="0" w:color="000000"/>
              <w:right w:val="single" w:sz="4" w:space="0" w:color="000000"/>
            </w:tcBorders>
            <w:shd w:val="clear" w:color="auto" w:fill="D2D2D2"/>
          </w:tcPr>
          <w:p>
            <w:pPr/>
          </w:p>
        </w:tc>
        <w:tc>
          <w:tcPr>
            <w:tcW w:w="341" w:type="dxa"/>
            <w:vMerge/>
            <w:tcBorders>
              <w:left w:val="single" w:sz="4" w:space="0" w:color="000000"/>
              <w:right w:val="single" w:sz="4" w:space="0" w:color="000000"/>
            </w:tcBorders>
            <w:shd w:val="clear" w:color="auto" w:fill="D2D2D2"/>
          </w:tcPr>
          <w:p>
            <w:pPr/>
          </w:p>
        </w:tc>
        <w:tc>
          <w:tcPr>
            <w:tcW w:w="28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0"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394"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22" w:type="dxa"/>
            <w:vMerge/>
            <w:tcBorders>
              <w:left w:val="single" w:sz="4" w:space="0" w:color="000000"/>
              <w:right w:val="single" w:sz="4" w:space="0" w:color="000000"/>
            </w:tcBorders>
            <w:shd w:val="clear" w:color="auto" w:fill="D2D2D2"/>
          </w:tcPr>
          <w:p>
            <w:pPr/>
          </w:p>
        </w:tc>
      </w:tr>
      <w:tr>
        <w:trPr>
          <w:trHeight w:val="156" w:hRule="exact"/>
        </w:trPr>
        <w:tc>
          <w:tcPr>
            <w:tcW w:w="1451" w:type="dxa"/>
            <w:vMerge/>
            <w:tcBorders>
              <w:left w:val="single" w:sz="4" w:space="0" w:color="000000"/>
              <w:right w:val="single" w:sz="4" w:space="0" w:color="000000"/>
            </w:tcBorders>
            <w:shd w:val="clear" w:color="auto" w:fill="D2D2D2"/>
          </w:tcPr>
          <w:p>
            <w:pPr/>
          </w:p>
        </w:tc>
        <w:tc>
          <w:tcPr>
            <w:tcW w:w="1103" w:type="dxa"/>
            <w:vMerge w:val="restart"/>
            <w:tcBorders>
              <w:top w:val="nil" w:sz="6" w:space="0" w:color="auto"/>
              <w:left w:val="single" w:sz="4" w:space="0" w:color="000000"/>
              <w:right w:val="single" w:sz="4" w:space="0" w:color="000000"/>
            </w:tcBorders>
            <w:shd w:val="clear" w:color="auto" w:fill="D2D2D2"/>
          </w:tcPr>
          <w:p>
            <w:pPr/>
          </w:p>
        </w:tc>
        <w:tc>
          <w:tcPr>
            <w:tcW w:w="339" w:type="dxa"/>
            <w:vMerge/>
            <w:tcBorders>
              <w:left w:val="single" w:sz="4" w:space="0" w:color="000000"/>
              <w:right w:val="single" w:sz="4" w:space="0" w:color="000000"/>
            </w:tcBorders>
            <w:shd w:val="clear" w:color="auto" w:fill="D2D2D2"/>
          </w:tcPr>
          <w:p>
            <w:pPr/>
          </w:p>
        </w:tc>
        <w:tc>
          <w:tcPr>
            <w:tcW w:w="341" w:type="dxa"/>
            <w:vMerge/>
            <w:tcBorders>
              <w:left w:val="single" w:sz="4" w:space="0" w:color="000000"/>
              <w:right w:val="single" w:sz="4" w:space="0" w:color="000000"/>
            </w:tcBorders>
            <w:shd w:val="clear" w:color="auto" w:fill="D2D2D2"/>
          </w:tcPr>
          <w:p>
            <w:pPr/>
          </w:p>
        </w:tc>
        <w:tc>
          <w:tcPr>
            <w:tcW w:w="288"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394"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22"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451" w:type="dxa"/>
            <w:vMerge/>
            <w:tcBorders>
              <w:left w:val="single" w:sz="4" w:space="0" w:color="000000"/>
              <w:right w:val="single" w:sz="4" w:space="0" w:color="000000"/>
            </w:tcBorders>
            <w:shd w:val="clear" w:color="auto" w:fill="D2D2D2"/>
          </w:tcPr>
          <w:p>
            <w:pPr/>
          </w:p>
        </w:tc>
        <w:tc>
          <w:tcPr>
            <w:tcW w:w="1103" w:type="dxa"/>
            <w:vMerge/>
            <w:tcBorders>
              <w:left w:val="single" w:sz="4" w:space="0" w:color="000000"/>
              <w:right w:val="single" w:sz="4" w:space="0" w:color="000000"/>
            </w:tcBorders>
            <w:shd w:val="clear" w:color="auto" w:fill="D2D2D2"/>
          </w:tcPr>
          <w:p>
            <w:pPr/>
          </w:p>
        </w:tc>
        <w:tc>
          <w:tcPr>
            <w:tcW w:w="339" w:type="dxa"/>
            <w:vMerge/>
            <w:tcBorders>
              <w:left w:val="single" w:sz="4" w:space="0" w:color="000000"/>
              <w:right w:val="single" w:sz="4" w:space="0" w:color="000000"/>
            </w:tcBorders>
            <w:shd w:val="clear" w:color="auto" w:fill="D2D2D2"/>
          </w:tcPr>
          <w:p>
            <w:pPr/>
          </w:p>
        </w:tc>
        <w:tc>
          <w:tcPr>
            <w:tcW w:w="341" w:type="dxa"/>
            <w:vMerge/>
            <w:tcBorders>
              <w:left w:val="single" w:sz="4" w:space="0" w:color="000000"/>
              <w:right w:val="single" w:sz="4" w:space="0" w:color="000000"/>
            </w:tcBorders>
            <w:shd w:val="clear" w:color="auto" w:fill="D2D2D2"/>
          </w:tcPr>
          <w:p>
            <w:pPr/>
          </w:p>
        </w:tc>
        <w:tc>
          <w:tcPr>
            <w:tcW w:w="288"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394"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22"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451" w:type="dxa"/>
            <w:vMerge/>
            <w:tcBorders>
              <w:left w:val="single" w:sz="4" w:space="0" w:color="000000"/>
              <w:right w:val="single" w:sz="4" w:space="0" w:color="000000"/>
            </w:tcBorders>
            <w:shd w:val="clear" w:color="auto" w:fill="D2D2D2"/>
          </w:tcPr>
          <w:p>
            <w:pPr/>
          </w:p>
        </w:tc>
        <w:tc>
          <w:tcPr>
            <w:tcW w:w="1103" w:type="dxa"/>
            <w:vMerge/>
            <w:tcBorders>
              <w:left w:val="single" w:sz="4" w:space="0" w:color="000000"/>
              <w:right w:val="single" w:sz="4" w:space="0" w:color="000000"/>
            </w:tcBorders>
            <w:shd w:val="clear" w:color="auto" w:fill="D2D2D2"/>
          </w:tcPr>
          <w:p>
            <w:pPr/>
          </w:p>
        </w:tc>
        <w:tc>
          <w:tcPr>
            <w:tcW w:w="339" w:type="dxa"/>
            <w:vMerge/>
            <w:tcBorders>
              <w:left w:val="single" w:sz="4" w:space="0" w:color="000000"/>
              <w:right w:val="single" w:sz="4" w:space="0" w:color="000000"/>
            </w:tcBorders>
            <w:shd w:val="clear" w:color="auto" w:fill="D2D2D2"/>
          </w:tcPr>
          <w:p>
            <w:pPr/>
          </w:p>
        </w:tc>
        <w:tc>
          <w:tcPr>
            <w:tcW w:w="341" w:type="dxa"/>
            <w:vMerge/>
            <w:tcBorders>
              <w:left w:val="single" w:sz="4" w:space="0" w:color="000000"/>
              <w:right w:val="single" w:sz="4" w:space="0" w:color="000000"/>
            </w:tcBorders>
            <w:shd w:val="clear" w:color="auto" w:fill="D2D2D2"/>
          </w:tcPr>
          <w:p>
            <w:pPr/>
          </w:p>
        </w:tc>
        <w:tc>
          <w:tcPr>
            <w:tcW w:w="288"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394"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22" w:type="dxa"/>
            <w:vMerge/>
            <w:tcBorders>
              <w:left w:val="single" w:sz="4" w:space="0" w:color="000000"/>
              <w:right w:val="single" w:sz="4" w:space="0" w:color="000000"/>
            </w:tcBorders>
            <w:shd w:val="clear" w:color="auto" w:fill="D2D2D2"/>
          </w:tcPr>
          <w:p>
            <w:pPr/>
          </w:p>
        </w:tc>
      </w:tr>
      <w:tr>
        <w:trPr>
          <w:trHeight w:val="184" w:hRule="exact"/>
        </w:trPr>
        <w:tc>
          <w:tcPr>
            <w:tcW w:w="1451" w:type="dxa"/>
            <w:vMerge/>
            <w:tcBorders>
              <w:left w:val="single" w:sz="4" w:space="0" w:color="000000"/>
              <w:bottom w:val="single" w:sz="4" w:space="0" w:color="000000"/>
              <w:right w:val="single" w:sz="4" w:space="0" w:color="000000"/>
            </w:tcBorders>
            <w:shd w:val="clear" w:color="auto" w:fill="D2D2D2"/>
          </w:tcPr>
          <w:p>
            <w:pPr/>
          </w:p>
        </w:tc>
        <w:tc>
          <w:tcPr>
            <w:tcW w:w="1103" w:type="dxa"/>
            <w:vMerge/>
            <w:tcBorders>
              <w:left w:val="single" w:sz="4" w:space="0" w:color="000000"/>
              <w:bottom w:val="single" w:sz="4" w:space="0" w:color="000000"/>
              <w:right w:val="single" w:sz="4" w:space="0" w:color="000000"/>
            </w:tcBorders>
            <w:shd w:val="clear" w:color="auto" w:fill="D2D2D2"/>
          </w:tcPr>
          <w:p>
            <w:pPr/>
          </w:p>
        </w:tc>
        <w:tc>
          <w:tcPr>
            <w:tcW w:w="339" w:type="dxa"/>
            <w:vMerge/>
            <w:tcBorders>
              <w:left w:val="single" w:sz="4" w:space="0" w:color="000000"/>
              <w:bottom w:val="single" w:sz="4" w:space="0" w:color="000000"/>
              <w:right w:val="single" w:sz="4" w:space="0" w:color="000000"/>
            </w:tcBorders>
            <w:shd w:val="clear" w:color="auto" w:fill="D2D2D2"/>
          </w:tcPr>
          <w:p>
            <w:pPr/>
          </w:p>
        </w:tc>
        <w:tc>
          <w:tcPr>
            <w:tcW w:w="341" w:type="dxa"/>
            <w:vMerge/>
            <w:tcBorders>
              <w:left w:val="single" w:sz="4" w:space="0" w:color="000000"/>
              <w:bottom w:val="single" w:sz="4" w:space="0" w:color="000000"/>
              <w:right w:val="single" w:sz="4" w:space="0" w:color="000000"/>
            </w:tcBorders>
            <w:shd w:val="clear" w:color="auto" w:fill="D2D2D2"/>
          </w:tcPr>
          <w:p>
            <w:pPr/>
          </w:p>
        </w:tc>
        <w:tc>
          <w:tcPr>
            <w:tcW w:w="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3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2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3"/>
                <w:sz w:val="18"/>
                <w:szCs w:val="18"/>
              </w:rPr>
              <w:t>一、上年期末余额</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67,600,000.00</w:t>
            </w: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61,705,786.00</w:t>
            </w: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182,412,687.88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345,518,473.88</w:t>
            </w:r>
          </w:p>
        </w:tc>
      </w:tr>
      <w:tr>
        <w:trPr>
          <w:trHeight w:val="713"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4"/>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3"/>
                <w:sz w:val="18"/>
                <w:szCs w:val="18"/>
              </w:rPr>
              <w:t>二、本年期初余额</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67,600,000.00</w:t>
            </w: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61,705,786.00</w:t>
            </w: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182,412,687.88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345,518,473.88</w:t>
            </w:r>
          </w:p>
        </w:tc>
      </w:tr>
      <w:tr>
        <w:trPr>
          <w:trHeight w:val="1025"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9"/>
              <w:jc w:val="both"/>
              <w:rPr>
                <w:rFonts w:ascii="宋体" w:hAnsi="宋体" w:cs="宋体" w:eastAsia="宋体" w:hint="default"/>
                <w:sz w:val="18"/>
                <w:szCs w:val="18"/>
              </w:rPr>
            </w:pPr>
            <w:r>
              <w:rPr>
                <w:rFonts w:ascii="宋体" w:hAnsi="宋体" w:cs="宋体" w:eastAsia="宋体" w:hint="default"/>
                <w:spacing w:val="-3"/>
                <w:sz w:val="18"/>
                <w:szCs w:val="18"/>
              </w:rPr>
              <w:t>三、本期增减变动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22,550,000.00</w:t>
            </w: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134,925,338.85</w:t>
            </w: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3,125,460.85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28,129,147.60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188,729,947.30</w:t>
            </w:r>
          </w:p>
        </w:tc>
      </w:tr>
      <w:tr>
        <w:trPr>
          <w:trHeight w:val="403"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9"/>
              <w:jc w:val="right"/>
              <w:rPr>
                <w:rFonts w:ascii="宋体" w:hAnsi="宋体" w:cs="宋体" w:eastAsia="宋体" w:hint="default"/>
                <w:sz w:val="18"/>
                <w:szCs w:val="18"/>
              </w:rPr>
            </w:pPr>
            <w:r>
              <w:rPr>
                <w:rFonts w:ascii="宋体" w:hAnsi="宋体" w:cs="宋体" w:eastAsia="宋体" w:hint="default"/>
                <w:spacing w:val="-3"/>
                <w:sz w:val="18"/>
                <w:szCs w:val="18"/>
              </w:rPr>
              <w:t>（一）综合收益总</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31,254,608.45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31,254,608.45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73"/>
        <w:gridCol w:w="1092"/>
        <w:gridCol w:w="339"/>
        <w:gridCol w:w="341"/>
        <w:gridCol w:w="288"/>
        <w:gridCol w:w="1181"/>
        <w:gridCol w:w="574"/>
        <w:gridCol w:w="494"/>
        <w:gridCol w:w="394"/>
        <w:gridCol w:w="1090"/>
        <w:gridCol w:w="1181"/>
        <w:gridCol w:w="1222"/>
      </w:tblGrid>
      <w:tr>
        <w:trPr>
          <w:trHeight w:val="362"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3"/>
                <w:sz w:val="18"/>
                <w:szCs w:val="18"/>
              </w:rPr>
              <w:t>（二）所有者投入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和减少资本</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22,550,000.00</w:t>
            </w: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134,925,338.85</w:t>
            </w: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157,475,338.85</w:t>
            </w:r>
          </w:p>
        </w:tc>
      </w:tr>
      <w:tr>
        <w:trPr>
          <w:trHeight w:val="715"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22,550,000.00</w:t>
            </w: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134,925,338.85</w:t>
            </w: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157,475,338.85</w:t>
            </w:r>
          </w:p>
        </w:tc>
      </w:tr>
      <w:tr>
        <w:trPr>
          <w:trHeight w:val="713"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092" w:type="dxa"/>
            <w:tcBorders>
              <w:top w:val="single" w:sz="4" w:space="0" w:color="000000"/>
              <w:left w:val="single" w:sz="4" w:space="0" w:color="000000"/>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2" w:type="dxa"/>
            <w:tcBorders>
              <w:top w:val="single" w:sz="4" w:space="0" w:color="000000"/>
              <w:left w:val="single" w:sz="4" w:space="0" w:color="000000"/>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92" w:type="dxa"/>
            <w:tcBorders>
              <w:top w:val="single" w:sz="4" w:space="0" w:color="000000"/>
              <w:left w:val="single" w:sz="4" w:space="0" w:color="000000"/>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3,125,460.85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-3,125,460.85</w:t>
            </w: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92" w:type="dxa"/>
            <w:tcBorders>
              <w:top w:val="single" w:sz="4" w:space="0" w:color="000000"/>
              <w:left w:val="single" w:sz="4" w:space="0" w:color="000000"/>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3,125,460.85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-3,125,460.85</w:t>
            </w: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1092" w:type="dxa"/>
            <w:tcBorders>
              <w:top w:val="single" w:sz="4" w:space="0" w:color="000000"/>
              <w:left w:val="single" w:sz="4" w:space="0" w:color="000000"/>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92" w:type="dxa"/>
            <w:tcBorders>
              <w:top w:val="single" w:sz="4" w:space="0" w:color="000000"/>
              <w:left w:val="single" w:sz="4" w:space="0" w:color="000000"/>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3"/>
                <w:sz w:val="18"/>
                <w:szCs w:val="18"/>
              </w:rPr>
              <w:t>（四）所有者权益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内部结转</w:t>
            </w:r>
          </w:p>
        </w:tc>
        <w:tc>
          <w:tcPr>
            <w:tcW w:w="1092" w:type="dxa"/>
            <w:tcBorders>
              <w:top w:val="single" w:sz="4" w:space="0" w:color="000000"/>
              <w:left w:val="single" w:sz="4" w:space="0" w:color="000000"/>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092" w:type="dxa"/>
            <w:tcBorders>
              <w:top w:val="single" w:sz="4" w:space="0" w:color="000000"/>
              <w:left w:val="single" w:sz="4" w:space="0" w:color="000000"/>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092" w:type="dxa"/>
            <w:tcBorders>
              <w:top w:val="single" w:sz="4" w:space="0" w:color="000000"/>
              <w:left w:val="single" w:sz="4" w:space="0" w:color="000000"/>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092" w:type="dxa"/>
            <w:tcBorders>
              <w:top w:val="single" w:sz="4" w:space="0" w:color="000000"/>
              <w:left w:val="single" w:sz="4" w:space="0" w:color="000000"/>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2" w:type="dxa"/>
            <w:tcBorders>
              <w:top w:val="single" w:sz="4" w:space="0" w:color="000000"/>
              <w:left w:val="single" w:sz="4" w:space="0" w:color="000000"/>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92" w:type="dxa"/>
            <w:tcBorders>
              <w:top w:val="single" w:sz="4" w:space="0" w:color="000000"/>
              <w:left w:val="single" w:sz="4" w:space="0" w:color="000000"/>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92" w:type="dxa"/>
            <w:tcBorders>
              <w:top w:val="single" w:sz="4" w:space="0" w:color="000000"/>
              <w:left w:val="single" w:sz="4" w:space="0" w:color="000000"/>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92" w:type="dxa"/>
            <w:tcBorders>
              <w:top w:val="single" w:sz="4" w:space="0" w:color="000000"/>
              <w:left w:val="single" w:sz="4" w:space="0" w:color="000000"/>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92" w:type="dxa"/>
            <w:tcBorders>
              <w:top w:val="single" w:sz="4" w:space="0" w:color="000000"/>
              <w:left w:val="single" w:sz="4" w:space="0" w:color="000000"/>
              <w:bottom w:val="single" w:sz="4" w:space="0" w:color="000000"/>
              <w:right w:val="single" w:sz="4" w:space="0" w:color="000000"/>
            </w:tcBorders>
          </w:tcPr>
          <w:p>
            <w:pP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四、本期期末余额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90,150,000.00</w:t>
            </w:r>
          </w:p>
        </w:tc>
        <w:tc>
          <w:tcPr>
            <w:tcW w:w="33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196,631,124.85</w:t>
            </w:r>
          </w:p>
        </w:tc>
        <w:tc>
          <w:tcPr>
            <w:tcW w:w="57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36,925,460.85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210,541,835.48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534,248,421.18</w:t>
            </w:r>
          </w:p>
        </w:tc>
      </w:tr>
    </w:tbl>
    <w:p>
      <w:pPr>
        <w:spacing w:line="240" w:lineRule="auto" w:before="1"/>
        <w:rPr>
          <w:rFonts w:ascii="宋体" w:hAnsi="宋体" w:cs="宋体" w:eastAsia="宋体" w:hint="default"/>
          <w:sz w:val="18"/>
          <w:szCs w:val="18"/>
        </w:rPr>
      </w:pPr>
    </w:p>
    <w:p>
      <w:pPr>
        <w:pStyle w:val="Heading2"/>
        <w:spacing w:line="240" w:lineRule="auto" w:before="26"/>
        <w:ind w:right="93"/>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223"/>
        <w:jc w:val="left"/>
      </w:pPr>
      <w:r>
        <w:rPr/>
        <w:t>（一）公司注册地、组织形式和总部地址 新晨科技股份有限公司（以下简称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）前身为北京新晨计算机技术有限公司，于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日经北京</w:t>
      </w:r>
    </w:p>
    <w:p>
      <w:pPr>
        <w:pStyle w:val="BodyText"/>
        <w:spacing w:line="300" w:lineRule="auto"/>
        <w:ind w:right="93"/>
        <w:jc w:val="left"/>
      </w:pPr>
      <w:r>
        <w:rPr>
          <w:spacing w:val="-1"/>
        </w:rPr>
        <w:t>市人民政府核发的《中华人民共和国台港澳侨投资企业批准证书》（外经贸京字</w:t>
      </w:r>
      <w:r>
        <w:rPr>
          <w:rFonts w:ascii="Times New Roman" w:hAnsi="Times New Roman" w:cs="Times New Roman" w:eastAsia="Times New Roman" w:hint="default"/>
          <w:spacing w:val="-1"/>
        </w:rPr>
        <w:t>(1997)0429</w:t>
      </w:r>
      <w:r>
        <w:rPr>
          <w:spacing w:val="-1"/>
        </w:rPr>
        <w:t>号）批准设立。</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26</w:t>
      </w:r>
      <w:r>
        <w:rPr>
          <w:spacing w:val="-1"/>
        </w:rPr>
        <w:t>日，</w:t>
      </w:r>
      <w:r>
        <w:rPr>
          <w:spacing w:val="-59"/>
        </w:rPr>
        <w:t> </w:t>
      </w:r>
      <w:r>
        <w:rPr>
          <w:spacing w:val="-2"/>
        </w:rPr>
        <w:t>经北京市人民政府经济体制改革办公室京政体改股函【</w:t>
      </w:r>
      <w:r>
        <w:rPr>
          <w:rFonts w:ascii="Times New Roman" w:hAnsi="Times New Roman" w:cs="Times New Roman" w:eastAsia="Times New Roman" w:hint="default"/>
          <w:spacing w:val="-2"/>
        </w:rPr>
        <w:t>2001</w:t>
      </w:r>
      <w:r>
        <w:rPr>
          <w:spacing w:val="-2"/>
        </w:rPr>
        <w:t>】</w:t>
      </w:r>
      <w:r>
        <w:rPr>
          <w:rFonts w:ascii="Times New Roman" w:hAnsi="Times New Roman" w:cs="Times New Roman" w:eastAsia="Times New Roman" w:hint="default"/>
          <w:spacing w:val="-2"/>
        </w:rPr>
        <w:t>23</w:t>
      </w:r>
      <w:r>
        <w:rPr>
          <w:spacing w:val="-2"/>
        </w:rPr>
        <w:t>号文件批准，北京新晨计算机技术有限公司整体变更为股份</w:t>
      </w:r>
      <w:r>
        <w:rPr>
          <w:spacing w:val="-61"/>
        </w:rPr>
        <w:t> </w:t>
      </w:r>
      <w:r>
        <w:rPr>
          <w:spacing w:val="-61"/>
        </w:rPr>
      </w:r>
      <w:r>
        <w:rPr/>
        <w:t>有限公司，并于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日在深圳证券交易所创业板上市。公司现持有统一社会信用代码为</w:t>
      </w:r>
      <w:r>
        <w:rPr>
          <w:rFonts w:ascii="Times New Roman" w:hAnsi="Times New Roman" w:cs="Times New Roman" w:eastAsia="Times New Roman" w:hint="default"/>
        </w:rPr>
        <w:t>911101086000694820</w:t>
      </w:r>
      <w:r>
        <w:rPr/>
        <w:t>的营业 执照。</w:t>
      </w:r>
    </w:p>
    <w:p>
      <w:pPr>
        <w:spacing w:after="0" w:line="30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88" w:firstLine="360"/>
        <w:jc w:val="both"/>
      </w:pPr>
      <w:r>
        <w:rPr>
          <w:spacing w:val="-2"/>
        </w:rPr>
        <w:t>经过历年的增发新股，截止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日，本公司累计发行股本总数</w:t>
      </w:r>
      <w:r>
        <w:rPr>
          <w:rFonts w:ascii="Times New Roman" w:hAnsi="Times New Roman" w:cs="Times New Roman" w:eastAsia="Times New Roman" w:hint="default"/>
          <w:spacing w:val="-2"/>
        </w:rPr>
        <w:t>9,119.15</w:t>
      </w:r>
      <w:r>
        <w:rPr>
          <w:spacing w:val="-2"/>
        </w:rPr>
        <w:t>万股，注册资本为</w:t>
      </w:r>
      <w:r>
        <w:rPr>
          <w:rFonts w:ascii="Times New Roman" w:hAnsi="Times New Roman" w:cs="Times New Roman" w:eastAsia="Times New Roman" w:hint="default"/>
          <w:spacing w:val="-2"/>
        </w:rPr>
        <w:t>9,119.15</w:t>
      </w:r>
      <w:r>
        <w:rPr>
          <w:spacing w:val="-2"/>
        </w:rPr>
        <w:t>万元，公司注</w:t>
      </w:r>
      <w:r>
        <w:rPr/>
        <w:t> 册地址：北京市海淀区蓝靛厂东路</w:t>
      </w:r>
      <w:r>
        <w:rPr>
          <w:rFonts w:ascii="Times New Roman" w:hAnsi="Times New Roman" w:cs="Times New Roman" w:eastAsia="Times New Roman" w:hint="default"/>
        </w:rPr>
        <w:t>2</w:t>
      </w:r>
      <w:r>
        <w:rPr/>
        <w:t>号院金源时代商务中心</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B</w:t>
      </w:r>
      <w:r>
        <w:rPr/>
        <w:t>座</w:t>
      </w:r>
      <w:r>
        <w:rPr>
          <w:rFonts w:ascii="Times New Roman" w:hAnsi="Times New Roman" w:cs="Times New Roman" w:eastAsia="Times New Roman" w:hint="default"/>
        </w:rPr>
        <w:t>8</w:t>
      </w:r>
      <w:r>
        <w:rPr/>
        <w:t>层，法定代表人为康路。</w:t>
      </w:r>
    </w:p>
    <w:p>
      <w:pPr>
        <w:pStyle w:val="BodyText"/>
        <w:spacing w:line="316" w:lineRule="auto" w:before="13"/>
        <w:ind w:left="513" w:right="5133"/>
        <w:jc w:val="left"/>
      </w:pPr>
      <w:r>
        <w:rPr/>
        <w:t>（二）行业性质和范围 本公司所属行业为信息传输、软件和信息技术服务业。</w:t>
      </w:r>
    </w:p>
    <w:p>
      <w:pPr>
        <w:pStyle w:val="BodyText"/>
        <w:spacing w:line="316" w:lineRule="auto" w:before="19"/>
        <w:ind w:right="189" w:firstLine="360"/>
        <w:jc w:val="both"/>
      </w:pPr>
      <w:r>
        <w:rPr>
          <w:spacing w:val="-2"/>
        </w:rPr>
        <w:t>公司经营范围为：技术开发、技术服务、技术咨询；计算机系统服务；销售计算机、软件及辅助设备、电子产品、自行</w:t>
      </w:r>
      <w:r>
        <w:rPr/>
        <w:t> 开发后的产品；委托加工电子产品；产品设计；货物进出口，技术进出口，代理进出口。</w:t>
      </w:r>
    </w:p>
    <w:p>
      <w:pPr>
        <w:pStyle w:val="BodyText"/>
        <w:spacing w:line="316" w:lineRule="auto" w:before="19"/>
        <w:ind w:left="513" w:right="93"/>
        <w:jc w:val="left"/>
      </w:pPr>
      <w:r>
        <w:rPr/>
        <w:t>（三）主要产品或提供的主要劳务 本公司的主营业务为以自主研发的新晨交换平台为核心技术平台，主要从事面向银行业客户、空中交通管理行业客户、</w:t>
      </w:r>
    </w:p>
    <w:p>
      <w:pPr>
        <w:pStyle w:val="BodyText"/>
        <w:spacing w:line="316" w:lineRule="auto" w:before="19"/>
        <w:ind w:right="93"/>
        <w:jc w:val="left"/>
      </w:pPr>
      <w:r>
        <w:rPr>
          <w:spacing w:val="-2"/>
        </w:rPr>
        <w:t>政府机构以及大中型国有企事业单位等进行相关行业应用软件的开发与设计，提供业务处理、数据交换和整合、系统集成以</w:t>
      </w:r>
      <w:r>
        <w:rPr>
          <w:spacing w:val="-66"/>
        </w:rPr>
        <w:t> </w:t>
      </w:r>
      <w:r>
        <w:rPr>
          <w:spacing w:val="-66"/>
        </w:rPr>
      </w:r>
      <w:r>
        <w:rPr/>
        <w:t>及技术支持和系统运行维护等服务。</w:t>
      </w:r>
    </w:p>
    <w:p>
      <w:pPr>
        <w:pStyle w:val="BodyText"/>
        <w:spacing w:line="316" w:lineRule="auto" w:before="19"/>
        <w:ind w:left="513" w:right="5043"/>
        <w:jc w:val="left"/>
      </w:pPr>
      <w:r>
        <w:rPr/>
        <w:t>（四）财务报表的批准报出 本财务报表业经公司董事会于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日批准报出。</w:t>
      </w:r>
    </w:p>
    <w:p>
      <w:pPr>
        <w:spacing w:line="240" w:lineRule="auto" w:before="11"/>
        <w:rPr>
          <w:rFonts w:ascii="宋体" w:hAnsi="宋体" w:cs="宋体" w:eastAsia="宋体" w:hint="default"/>
          <w:sz w:val="23"/>
          <w:szCs w:val="23"/>
        </w:rPr>
      </w:pPr>
    </w:p>
    <w:p>
      <w:pPr>
        <w:pStyle w:val="BodyText"/>
        <w:spacing w:line="240" w:lineRule="auto"/>
        <w:ind w:right="93"/>
        <w:jc w:val="left"/>
      </w:pPr>
      <w:r>
        <w:rPr/>
        <w:t>本期纳入合并财务报表范围的主体共</w:t>
      </w:r>
      <w:r>
        <w:rPr>
          <w:rFonts w:ascii="Times New Roman" w:hAnsi="Times New Roman" w:cs="Times New Roman" w:eastAsia="Times New Roman" w:hint="default"/>
        </w:rPr>
        <w:t>7</w:t>
      </w:r>
      <w:r>
        <w:rPr/>
        <w:t>户，具体包括：</w:t>
      </w:r>
    </w:p>
    <w:p>
      <w:pPr>
        <w:spacing w:line="240" w:lineRule="auto" w:before="3"/>
        <w:rPr>
          <w:rFonts w:ascii="宋体" w:hAnsi="宋体" w:cs="宋体" w:eastAsia="宋体" w:hint="default"/>
          <w:sz w:val="15"/>
          <w:szCs w:val="15"/>
        </w:rPr>
      </w:pPr>
    </w:p>
    <w:p>
      <w:pPr>
        <w:spacing w:line="3450" w:lineRule="exact"/>
        <w:ind w:left="153"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5617128" cy="219075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7" cstate="print"/>
                    <a:stretch>
                      <a:fillRect/>
                    </a:stretch>
                  </pic:blipFill>
                  <pic:spPr>
                    <a:xfrm>
                      <a:off x="0" y="0"/>
                      <a:ext cx="5617128" cy="2190750"/>
                    </a:xfrm>
                    <a:prstGeom prst="rect">
                      <a:avLst/>
                    </a:prstGeom>
                  </pic:spPr>
                </pic:pic>
              </a:graphicData>
            </a:graphic>
          </wp:inline>
        </w:drawing>
      </w:r>
      <w:r>
        <w:rPr>
          <w:rFonts w:ascii="宋体" w:hAnsi="宋体" w:cs="宋体" w:eastAsia="宋体" w:hint="default"/>
          <w:position w:val="-68"/>
          <w:sz w:val="20"/>
          <w:szCs w:val="20"/>
        </w:rPr>
      </w:r>
    </w:p>
    <w:p>
      <w:pPr>
        <w:pStyle w:val="BodyText"/>
        <w:spacing w:line="240" w:lineRule="auto" w:before="157"/>
        <w:ind w:right="93"/>
        <w:jc w:val="left"/>
      </w:pPr>
      <w:r>
        <w:rPr/>
        <w:t>本期纳入合并财务报表范围的主体未发生变化。</w:t>
      </w:r>
    </w:p>
    <w:p>
      <w:pPr>
        <w:spacing w:line="240" w:lineRule="auto" w:before="3"/>
        <w:rPr>
          <w:rFonts w:ascii="宋体" w:hAnsi="宋体" w:cs="宋体" w:eastAsia="宋体" w:hint="default"/>
          <w:sz w:val="25"/>
          <w:szCs w:val="25"/>
        </w:rPr>
      </w:pPr>
    </w:p>
    <w:p>
      <w:pPr>
        <w:pStyle w:val="Heading2"/>
        <w:spacing w:line="240" w:lineRule="auto"/>
        <w:ind w:right="9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89" w:firstLine="420"/>
        <w:jc w:val="both"/>
      </w:pPr>
      <w:r>
        <w:rPr/>
        <w:t>本公司根据实际发生的交易和事项，按照财政部颁布的《企业会计准则</w:t>
      </w:r>
      <w:r>
        <w:rPr>
          <w:rFonts w:ascii="Times New Roman" w:hAnsi="Times New Roman" w:cs="Times New Roman" w:eastAsia="Times New Roman" w:hint="default"/>
        </w:rPr>
        <w:t>——</w:t>
      </w:r>
      <w:r>
        <w:rPr/>
        <w:t>基本准则》和具体企业会计准则、企业会 </w:t>
      </w:r>
      <w:r>
        <w:rPr>
          <w:spacing w:val="-2"/>
        </w:rPr>
        <w:t>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）进行确认和计量，在此基础上，结合中国</w:t>
      </w:r>
      <w:r>
        <w:rPr>
          <w:spacing w:val="-44"/>
        </w:rPr>
        <w:t> </w:t>
      </w:r>
      <w:r>
        <w:rPr>
          <w:spacing w:val="-44"/>
        </w:rPr>
      </w:r>
      <w:r>
        <w:rPr>
          <w:spacing w:val="-2"/>
        </w:rPr>
        <w:t>证券监督管理委员会《公开发行证券的公司信息披露编报规则第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年修订）的规定，编</w:t>
      </w:r>
      <w:r>
        <w:rPr>
          <w:spacing w:val="-61"/>
        </w:rPr>
        <w:t> </w:t>
      </w:r>
      <w:r>
        <w:rPr>
          <w:spacing w:val="-61"/>
        </w:rPr>
      </w:r>
      <w:r>
        <w:rPr/>
        <w:t>制财务报表。</w:t>
      </w:r>
    </w:p>
    <w:p>
      <w:pPr>
        <w:spacing w:line="240" w:lineRule="auto" w:before="10"/>
        <w:rPr>
          <w:rFonts w:ascii="宋体" w:hAnsi="宋体" w:cs="宋体" w:eastAsia="宋体" w:hint="default"/>
          <w:sz w:val="23"/>
          <w:szCs w:val="23"/>
        </w:rPr>
      </w:pPr>
    </w:p>
    <w:p>
      <w:pPr>
        <w:pStyle w:val="Heading3"/>
        <w:spacing w:line="240" w:lineRule="auto"/>
        <w:ind w:right="9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229" w:firstLine="420"/>
        <w:jc w:val="both"/>
      </w:pPr>
      <w:r>
        <w:rPr/>
        <w:t>本公司对报告期末起</w:t>
      </w:r>
      <w:r>
        <w:rPr>
          <w:rFonts w:ascii="Times New Roman" w:hAnsi="Times New Roman" w:cs="Times New Roman" w:eastAsia="Times New Roman" w:hint="default"/>
        </w:rPr>
        <w:t>12</w:t>
      </w:r>
      <w:r>
        <w:rPr/>
        <w:t>个月的持续经营能力进行了评价，未发现对持续经营能力产生重大怀疑的事项或情况。因此， 本财务报表系在持续经营假设的基础上编制。</w:t>
      </w:r>
    </w:p>
    <w:p>
      <w:pPr>
        <w:spacing w:line="240" w:lineRule="auto" w:before="11"/>
        <w:rPr>
          <w:rFonts w:ascii="宋体" w:hAnsi="宋体" w:cs="宋体" w:eastAsia="宋体" w:hint="default"/>
          <w:sz w:val="21"/>
          <w:szCs w:val="21"/>
        </w:rPr>
      </w:pPr>
    </w:p>
    <w:p>
      <w:pPr>
        <w:pStyle w:val="Heading2"/>
        <w:spacing w:line="240" w:lineRule="auto"/>
        <w:ind w:right="9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公司是否需要遵守特殊行业的披露要求</w:t>
      </w:r>
    </w:p>
    <w:p>
      <w:pPr>
        <w:spacing w:after="0" w:line="240" w:lineRule="auto"/>
        <w:jc w:val="left"/>
        <w:sectPr>
          <w:footerReference w:type="default" r:id="rId16"/>
          <w:pgSz w:w="11910" w:h="16840"/>
          <w:pgMar w:footer="980" w:header="745" w:top="1060" w:bottom="1160" w:left="980" w:right="940"/>
          <w:pgNumType w:start="88"/>
        </w:sectPr>
      </w:pPr>
    </w:p>
    <w:p>
      <w:pPr>
        <w:spacing w:line="240" w:lineRule="auto" w:before="9"/>
        <w:rPr>
          <w:rFonts w:ascii="宋体" w:hAnsi="宋体" w:cs="宋体" w:eastAsia="宋体" w:hint="default"/>
          <w:sz w:val="25"/>
          <w:szCs w:val="25"/>
        </w:rPr>
      </w:pPr>
    </w:p>
    <w:p>
      <w:pPr>
        <w:pStyle w:val="BodyText"/>
        <w:spacing w:line="360" w:lineRule="auto" w:before="44"/>
        <w:ind w:right="7294"/>
        <w:jc w:val="left"/>
      </w:pPr>
      <w:r>
        <w:rPr/>
        <w:t>否 具体会计政策和会计估计提示：</w:t>
      </w:r>
    </w:p>
    <w:p>
      <w:pPr>
        <w:pStyle w:val="BodyText"/>
        <w:spacing w:line="240" w:lineRule="auto" w:before="25"/>
        <w:ind w:right="93"/>
        <w:jc w:val="left"/>
      </w:pPr>
      <w:r>
        <w:rPr/>
        <w:t>本公司根据生产经营特点确定具体会计政策和会计估计，主要体现在收入的确认。</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jc w:val="left"/>
      </w:pPr>
      <w:r>
        <w:rPr>
          <w:spacing w:val="-2"/>
        </w:rPr>
        <w:t>本公司所编制的财务报表符合企业会计准则的要求，真实、完整地反映了报告期公司的财务状况、经营成果、现金流量等有</w:t>
      </w:r>
      <w:r>
        <w:rPr>
          <w:spacing w:val="-66"/>
        </w:rPr>
        <w:t> </w:t>
      </w:r>
      <w:r>
        <w:rPr>
          <w:spacing w:val="-66"/>
        </w:rPr>
      </w:r>
      <w:r>
        <w:rPr/>
        <w:t>关信息。</w:t>
      </w:r>
    </w:p>
    <w:p>
      <w:pPr>
        <w:spacing w:line="240" w:lineRule="auto" w:before="10"/>
        <w:rPr>
          <w:rFonts w:ascii="宋体" w:hAnsi="宋体" w:cs="宋体" w:eastAsia="宋体" w:hint="default"/>
          <w:sz w:val="22"/>
          <w:szCs w:val="22"/>
        </w:rPr>
      </w:pPr>
    </w:p>
    <w:p>
      <w:pPr>
        <w:spacing w:line="547" w:lineRule="auto" w:before="0"/>
        <w:ind w:left="152" w:right="62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6"/>
        <w:ind w:right="93"/>
        <w:jc w:val="left"/>
      </w:pPr>
      <w:r>
        <w:rPr/>
        <w:t>本公司以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2"/>
        <w:rPr>
          <w:rFonts w:ascii="宋体" w:hAnsi="宋体" w:cs="宋体" w:eastAsia="宋体" w:hint="default"/>
          <w:sz w:val="26"/>
          <w:szCs w:val="26"/>
        </w:rPr>
      </w:pPr>
    </w:p>
    <w:p>
      <w:pPr>
        <w:pStyle w:val="Heading3"/>
        <w:spacing w:line="240" w:lineRule="auto"/>
        <w:ind w:right="9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3"/>
        <w:jc w:val="left"/>
      </w:pPr>
      <w:r>
        <w:rPr/>
        <w:t>采用人民币为记账本位币。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84" w:firstLine="360"/>
        <w:jc w:val="left"/>
      </w:pPr>
      <w:r>
        <w:rPr>
          <w:rFonts w:ascii="Times New Roman" w:hAnsi="Times New Roman" w:cs="Times New Roman" w:eastAsia="Times New Roman" w:hint="default"/>
        </w:rPr>
        <w:t>1</w:t>
      </w:r>
      <w:r>
        <w:rPr/>
        <w:t>．分步实现企业合并过程中的各项交易的条款、条件以及经济影响符合以下一种或多种情况，将多次交易事项作为一 揽子交易进行会计处理</w:t>
      </w:r>
    </w:p>
    <w:p>
      <w:pPr>
        <w:pStyle w:val="BodyText"/>
        <w:spacing w:line="240" w:lineRule="auto" w:before="32"/>
        <w:ind w:left="513" w:right="93"/>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3"/>
        <w:ind w:left="513" w:right="93"/>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left="513" w:right="93"/>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63"/>
        <w:ind w:left="513" w:right="93"/>
        <w:jc w:val="left"/>
      </w:pPr>
      <w:r>
        <w:rPr/>
        <w:t>（</w:t>
      </w:r>
      <w:r>
        <w:rPr>
          <w:rFonts w:ascii="Times New Roman" w:hAnsi="Times New Roman" w:cs="Times New Roman" w:eastAsia="Times New Roman" w:hint="default"/>
        </w:rPr>
        <w:t>4</w:t>
      </w:r>
      <w:r>
        <w:rPr/>
        <w:t>）一项交易单独看是不经济的，但是和其他交易一并考虑时是经济的。</w:t>
      </w:r>
    </w:p>
    <w:p>
      <w:pPr>
        <w:pStyle w:val="BodyText"/>
        <w:spacing w:line="300" w:lineRule="auto" w:before="63"/>
        <w:ind w:left="513" w:right="93"/>
        <w:jc w:val="left"/>
      </w:pPr>
      <w:r>
        <w:rPr>
          <w:rFonts w:ascii="Times New Roman" w:hAnsi="Times New Roman" w:cs="Times New Roman" w:eastAsia="Times New Roman" w:hint="default"/>
        </w:rPr>
        <w:t>2</w:t>
      </w:r>
      <w:r>
        <w:rPr/>
        <w:t>．同一控制下的企业合并 </w:t>
      </w:r>
      <w:r>
        <w:rPr>
          <w:spacing w:val="-2"/>
        </w:rPr>
        <w:t>本公司在企业合并中取得的资产和负债，按照合并日在被合并方资产、负债（包括最终控制方收购被合并方而形成的商</w:t>
      </w:r>
    </w:p>
    <w:p>
      <w:pPr>
        <w:pStyle w:val="BodyText"/>
        <w:spacing w:line="316" w:lineRule="auto" w:before="31"/>
        <w:ind w:right="93"/>
        <w:jc w:val="left"/>
      </w:pPr>
      <w:r>
        <w:rPr>
          <w:spacing w:val="-2"/>
        </w:rPr>
        <w:t>誉）在最终控制方合并财务报表中的账面价值计量。在合并中取得的净资产账面价值与支付的合并对价账面价值（或发行股</w:t>
      </w:r>
      <w:r>
        <w:rPr>
          <w:spacing w:val="-63"/>
        </w:rPr>
        <w:t> </w:t>
      </w:r>
      <w:r>
        <w:rPr>
          <w:spacing w:val="-63"/>
        </w:rPr>
      </w:r>
      <w:r>
        <w:rPr/>
        <w:t>份面值总额）的差额，调整资本公积中的股本溢价，资本公积中的股本溢价不足冲减的，调整留存收益。</w:t>
      </w:r>
    </w:p>
    <w:p>
      <w:pPr>
        <w:pStyle w:val="BodyText"/>
        <w:spacing w:line="240" w:lineRule="auto" w:before="19"/>
        <w:ind w:left="513" w:right="0"/>
        <w:jc w:val="left"/>
      </w:pPr>
      <w:r>
        <w:rPr/>
        <w:t>如果存在或有对价并需要确认预计负债或资产，该预计负债或资产金额与后续或有对价结算金额的差额，调整资本公积</w:t>
      </w:r>
    </w:p>
    <w:p>
      <w:pPr>
        <w:pStyle w:val="BodyText"/>
        <w:spacing w:line="316" w:lineRule="auto" w:before="76"/>
        <w:ind w:left="513" w:right="93" w:hanging="361"/>
        <w:jc w:val="left"/>
      </w:pPr>
      <w:r>
        <w:rPr/>
        <w:t>（资本溢价或股本溢价），资本公积不足的，调整留存收益。 </w:t>
      </w:r>
      <w:r>
        <w:rPr>
          <w:spacing w:val="-2"/>
        </w:rPr>
        <w:t>对于通过多次交易最终实现企业合并的，属于一揽子交易的，将各项交易作为一项取得控制权的交易进行会计处理；不</w:t>
      </w:r>
    </w:p>
    <w:p>
      <w:pPr>
        <w:pStyle w:val="BodyText"/>
        <w:spacing w:line="319" w:lineRule="auto" w:before="19"/>
        <w:ind w:right="103"/>
        <w:jc w:val="both"/>
      </w:pPr>
      <w:r>
        <w:rPr>
          <w:spacing w:val="-2"/>
        </w:rPr>
        <w:t>属于一揽子交易的，在取得控制权日，长期股权投资初始投资成本，与达到合并前的长期股权投资账面价值加上合并日进一</w:t>
      </w:r>
      <w:r>
        <w:rPr>
          <w:spacing w:val="-63"/>
        </w:rPr>
        <w:t> </w:t>
      </w:r>
      <w:r>
        <w:rPr>
          <w:spacing w:val="-63"/>
        </w:rPr>
      </w:r>
      <w:r>
        <w:rPr>
          <w:spacing w:val="-2"/>
        </w:rPr>
        <w:t>步取得股份新支付对价的账面价值之和的差额，调整资本公积；资本公积不足冲减的，调整留存收益。对于合并日之前持有</w:t>
      </w:r>
      <w:r>
        <w:rPr>
          <w:spacing w:val="-64"/>
        </w:rPr>
        <w:t> </w:t>
      </w:r>
      <w:r>
        <w:rPr>
          <w:spacing w:val="-64"/>
        </w:rPr>
      </w:r>
      <w:r>
        <w:rPr>
          <w:spacing w:val="-2"/>
        </w:rPr>
        <w:t>的股权投资，因采用权益法核算或金融工具确认和计量准则核算而确认的其他综合收益，暂不进行会计处理，直至处置该项</w:t>
      </w:r>
      <w:r>
        <w:rPr>
          <w:spacing w:val="-63"/>
        </w:rPr>
        <w:t> </w:t>
      </w:r>
      <w:r>
        <w:rPr>
          <w:spacing w:val="-63"/>
        </w:rPr>
      </w:r>
      <w:r>
        <w:rPr>
          <w:spacing w:val="-2"/>
        </w:rPr>
        <w:t>投资时采用与被投资单位直接处置相关资产或负债相同的基础进行会计处理；因采用权益法核算而确认的被投资单位净资产</w:t>
      </w:r>
      <w:r>
        <w:rPr>
          <w:spacing w:val="-64"/>
        </w:rPr>
        <w:t> </w:t>
      </w:r>
      <w:r>
        <w:rPr>
          <w:spacing w:val="-64"/>
        </w:rPr>
      </w:r>
      <w:r>
        <w:rPr>
          <w:spacing w:val="-4"/>
        </w:rPr>
        <w:t>中除净损益、其他综合收益和利润分配以外的所有者权益其他变动，暂不进行会计处理，直至处置该项投资时转入当期损益。</w:t>
      </w:r>
    </w:p>
    <w:p>
      <w:pPr>
        <w:pStyle w:val="BodyText"/>
        <w:spacing w:line="300" w:lineRule="auto" w:before="17"/>
        <w:ind w:left="513" w:right="93"/>
        <w:jc w:val="left"/>
      </w:pPr>
      <w:r>
        <w:rPr>
          <w:rFonts w:ascii="Times New Roman" w:hAnsi="Times New Roman" w:cs="Times New Roman" w:eastAsia="Times New Roman" w:hint="default"/>
        </w:rPr>
        <w:t>3</w:t>
      </w:r>
      <w:r>
        <w:rPr/>
        <w:t>．非同一控制下的企业合并 </w:t>
      </w:r>
      <w:r>
        <w:rPr>
          <w:spacing w:val="-2"/>
        </w:rPr>
        <w:t>购买日是指本公司实际取得对被购买方控制权的日期，即被购买方的净资产或生产经营决策的控制权转移给本公司的日</w:t>
      </w:r>
    </w:p>
    <w:p>
      <w:pPr>
        <w:pStyle w:val="BodyText"/>
        <w:spacing w:line="240" w:lineRule="auto" w:before="31"/>
        <w:ind w:right="93"/>
        <w:jc w:val="left"/>
      </w:pPr>
      <w:r>
        <w:rPr/>
        <w:t>期。同时满足下列条件时，本公司一般认为实现了控制权的转移：</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93"/>
        <w:jc w:val="left"/>
      </w:pPr>
      <w:r>
        <w:rPr/>
        <w:t>①企业合并合同或协议已获本公司内部权力机构通过。</w:t>
      </w:r>
    </w:p>
    <w:p>
      <w:pPr>
        <w:pStyle w:val="BodyText"/>
        <w:spacing w:line="240" w:lineRule="auto" w:before="77"/>
        <w:ind w:left="513" w:right="93"/>
        <w:jc w:val="left"/>
      </w:pPr>
      <w:r>
        <w:rPr/>
        <w:t>②企业合并事项需要经过国家有关主管部门审批的，已获得批准。</w:t>
      </w:r>
    </w:p>
    <w:p>
      <w:pPr>
        <w:pStyle w:val="BodyText"/>
        <w:spacing w:line="240" w:lineRule="auto" w:before="76"/>
        <w:ind w:left="513" w:right="93"/>
        <w:jc w:val="left"/>
      </w:pPr>
      <w:r>
        <w:rPr/>
        <w:t>③已办理了必要的财产权转移手续。</w:t>
      </w:r>
    </w:p>
    <w:p>
      <w:pPr>
        <w:pStyle w:val="BodyText"/>
        <w:spacing w:line="240" w:lineRule="auto" w:before="76"/>
        <w:ind w:left="513" w:right="93"/>
        <w:jc w:val="left"/>
      </w:pPr>
      <w:r>
        <w:rPr/>
        <w:t>④本公司已支付了合并价款的大部分，并且有能力、有计划支付剩余款项。</w:t>
      </w:r>
    </w:p>
    <w:p>
      <w:pPr>
        <w:pStyle w:val="BodyText"/>
        <w:spacing w:line="316" w:lineRule="auto" w:before="76"/>
        <w:ind w:left="513" w:right="93"/>
        <w:jc w:val="left"/>
      </w:pPr>
      <w:r>
        <w:rPr/>
        <w:t>⑤本公司实际上已经控制了被购买方的财务和经营政策，并享有相应的利益、承担相应的风险。 </w:t>
      </w:r>
      <w:r>
        <w:rPr>
          <w:spacing w:val="-4"/>
        </w:rPr>
        <w:t>本公司在购买日对作为企业合并对价付出的资产、发生或承担的负债按照公允价值计量，公允价值与其账面价值的差额，</w:t>
      </w:r>
    </w:p>
    <w:p>
      <w:pPr>
        <w:pStyle w:val="BodyText"/>
        <w:spacing w:line="316" w:lineRule="auto" w:before="19"/>
        <w:ind w:left="513" w:right="93" w:hanging="361"/>
        <w:jc w:val="left"/>
      </w:pPr>
      <w:r>
        <w:rPr/>
        <w:t>计入当期损益。 </w:t>
      </w:r>
      <w:r>
        <w:rPr>
          <w:spacing w:val="-2"/>
        </w:rPr>
        <w:t>本公司对合并成本大于合并中取得的被购买方可辨认净资产公允价值份额的差额，确认为商誉；合并成本小于合并中取</w:t>
      </w:r>
    </w:p>
    <w:p>
      <w:pPr>
        <w:pStyle w:val="BodyText"/>
        <w:spacing w:line="316" w:lineRule="auto" w:before="19"/>
        <w:ind w:left="513" w:right="93" w:hanging="361"/>
        <w:jc w:val="left"/>
      </w:pPr>
      <w:r>
        <w:rPr/>
        <w:t>得的被购买方可辨认净资产公允价值份额的差额，经复核后，计入当期损益。 </w:t>
      </w:r>
      <w:r>
        <w:rPr>
          <w:spacing w:val="-2"/>
        </w:rPr>
        <w:t>通过多次交换交易分步实现的非同一控制下企业合并，属于一揽子交易的，将各项交易作为一项取得控制权的交易进行</w:t>
      </w:r>
    </w:p>
    <w:p>
      <w:pPr>
        <w:pStyle w:val="BodyText"/>
        <w:spacing w:line="319" w:lineRule="auto" w:before="19"/>
        <w:ind w:right="189"/>
        <w:jc w:val="both"/>
      </w:pPr>
      <w:r>
        <w:rPr>
          <w:spacing w:val="-2"/>
        </w:rPr>
        <w:t>会计处理；不属于一揽子交易的，合并日之前持有的股权投资采用权益法核算的，以购买日之前所持被购买方的股权投资的</w:t>
      </w:r>
      <w:r>
        <w:rPr>
          <w:spacing w:val="-62"/>
        </w:rPr>
        <w:t> </w:t>
      </w:r>
      <w:r>
        <w:rPr>
          <w:spacing w:val="-62"/>
        </w:rPr>
      </w:r>
      <w:r>
        <w:rPr>
          <w:spacing w:val="-2"/>
        </w:rPr>
        <w:t>账面价值与购买日新增投资成本之和，作为该项投资的初始投资成本；购买日之前持有的股权投资因采用权益法核算而确认</w:t>
      </w:r>
      <w:r>
        <w:rPr>
          <w:spacing w:val="-64"/>
        </w:rPr>
        <w:t> </w:t>
      </w:r>
      <w:r>
        <w:rPr>
          <w:spacing w:val="-64"/>
        </w:rPr>
      </w:r>
      <w:r>
        <w:rPr>
          <w:spacing w:val="-2"/>
        </w:rPr>
        <w:t>的其他综合收益，在处置该项投资时采用与被投资单位直接处置相关资产或负债相同的基础进行会计处理。合并日之前持有</w:t>
      </w:r>
      <w:r>
        <w:rPr>
          <w:spacing w:val="-64"/>
        </w:rPr>
        <w:t> </w:t>
      </w:r>
      <w:r>
        <w:rPr>
          <w:spacing w:val="-64"/>
        </w:rPr>
      </w:r>
      <w:r>
        <w:rPr>
          <w:spacing w:val="-2"/>
        </w:rPr>
        <w:t>的股权投资采用金融工具确认和计量准则核算的，以该股权投资在合并日的公允价值加上新增投资成本之和，作为合并日的</w:t>
      </w:r>
      <w:r>
        <w:rPr>
          <w:spacing w:val="-64"/>
        </w:rPr>
        <w:t> </w:t>
      </w:r>
      <w:r>
        <w:rPr>
          <w:spacing w:val="-64"/>
        </w:rPr>
      </w:r>
      <w:r>
        <w:rPr>
          <w:spacing w:val="-2"/>
        </w:rPr>
        <w:t>初始投资成本。原持有股权的公允价值与账面价值之间的差额以及原计入其他综合收益的累计公允价值变动应全部转入合并</w:t>
      </w:r>
      <w:r>
        <w:rPr>
          <w:spacing w:val="-64"/>
        </w:rPr>
        <w:t> </w:t>
      </w:r>
      <w:r>
        <w:rPr>
          <w:spacing w:val="-64"/>
        </w:rPr>
      </w:r>
      <w:r>
        <w:rPr/>
        <w:t>日当期的投资收益。</w:t>
      </w:r>
    </w:p>
    <w:p>
      <w:pPr>
        <w:pStyle w:val="BodyText"/>
        <w:spacing w:line="300" w:lineRule="auto" w:before="17"/>
        <w:ind w:left="513" w:right="93"/>
        <w:jc w:val="left"/>
      </w:pPr>
      <w:r>
        <w:rPr>
          <w:rFonts w:ascii="Times New Roman" w:hAnsi="Times New Roman" w:cs="Times New Roman" w:eastAsia="Times New Roman" w:hint="default"/>
        </w:rPr>
        <w:t>4</w:t>
      </w:r>
      <w:r>
        <w:rPr/>
        <w:t>．为合并发生的相关费用 </w:t>
      </w:r>
      <w:r>
        <w:rPr>
          <w:spacing w:val="-2"/>
        </w:rPr>
        <w:t>为企业合并发生的审计、法律服务、评估咨询等中介费用以及其他直接相关费用，于发生时计入当期损益；为企业合并</w:t>
      </w:r>
    </w:p>
    <w:p>
      <w:pPr>
        <w:pStyle w:val="BodyText"/>
        <w:spacing w:line="240" w:lineRule="auto" w:before="31"/>
        <w:ind w:right="93"/>
        <w:jc w:val="left"/>
      </w:pPr>
      <w:r>
        <w:rPr/>
        <w:t>而发行权益性证券的交易费用，可直接归属于权益性交易的从权益中扣减。</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left="513" w:right="93"/>
        <w:jc w:val="left"/>
      </w:pPr>
      <w:r>
        <w:rPr>
          <w:rFonts w:ascii="Times New Roman" w:hAnsi="Times New Roman" w:cs="Times New Roman" w:eastAsia="Times New Roman" w:hint="default"/>
        </w:rPr>
        <w:t>1</w:t>
      </w:r>
      <w:r>
        <w:rPr/>
        <w:t>．合并范围 </w:t>
      </w:r>
      <w:r>
        <w:rPr>
          <w:spacing w:val="-4"/>
        </w:rPr>
        <w:t>本公司合并财务报表的合并范围以控制为基础确定，所有子公司（包括本公司所控制的单独主体）均纳入合并财务报表。</w:t>
      </w:r>
      <w:r>
        <w:rPr>
          <w:spacing w:val="-52"/>
        </w:rPr>
        <w:t> </w:t>
      </w:r>
      <w:r>
        <w:rPr>
          <w:spacing w:val="-52"/>
        </w:rPr>
      </w:r>
      <w:r>
        <w:rPr>
          <w:rFonts w:ascii="Times New Roman" w:hAnsi="Times New Roman" w:cs="Times New Roman" w:eastAsia="Times New Roman" w:hint="default"/>
        </w:rPr>
        <w:t>2</w:t>
      </w:r>
      <w:r>
        <w:rPr/>
        <w:t>．合并程序 </w:t>
      </w:r>
      <w:r>
        <w:rPr>
          <w:spacing w:val="-2"/>
        </w:rPr>
        <w:t>本公司以自身和各子公司的财务报表为基础，根据其他有关资料，编制合并财务报表。本公司编制合并财务报表，将整</w:t>
      </w:r>
    </w:p>
    <w:p>
      <w:pPr>
        <w:pStyle w:val="BodyText"/>
        <w:spacing w:line="316" w:lineRule="auto" w:before="26"/>
        <w:ind w:right="189"/>
        <w:jc w:val="both"/>
      </w:pPr>
      <w:r>
        <w:rPr>
          <w:spacing w:val="-2"/>
        </w:rPr>
        <w:t>个企业集团视为一个会计主体，依据相关企业会计准则的确认、计量和列报要求，按照统一的会计政策，反映本企业集团整</w:t>
      </w:r>
      <w:r>
        <w:rPr>
          <w:spacing w:val="-63"/>
        </w:rPr>
        <w:t> </w:t>
      </w:r>
      <w:r>
        <w:rPr>
          <w:spacing w:val="-63"/>
        </w:rPr>
      </w:r>
      <w:r>
        <w:rPr/>
        <w:t>体财务状况、经营成果和现金流量。</w:t>
      </w:r>
    </w:p>
    <w:p>
      <w:pPr>
        <w:pStyle w:val="BodyText"/>
        <w:spacing w:line="316" w:lineRule="auto" w:before="19"/>
        <w:ind w:right="192" w:firstLine="360"/>
        <w:jc w:val="both"/>
      </w:pPr>
      <w:r>
        <w:rPr>
          <w:spacing w:val="-2"/>
        </w:rPr>
        <w:t>所有纳入合并财务报表合并范围的子公司所采用的会计政策、会计期间与本公司一致，如子公司采用的会计政策、会计</w:t>
      </w:r>
      <w:r>
        <w:rPr/>
        <w:t> 期间与本公司不一致的，在编制合并财务报表时，按本公司的会计政策、会计期间进行必要的调整。</w:t>
      </w:r>
    </w:p>
    <w:p>
      <w:pPr>
        <w:pStyle w:val="BodyText"/>
        <w:spacing w:line="316" w:lineRule="auto" w:before="19"/>
        <w:ind w:right="190" w:firstLine="360"/>
        <w:jc w:val="both"/>
      </w:pPr>
      <w:r>
        <w:rPr>
          <w:spacing w:val="-2"/>
        </w:rPr>
        <w:t>合并财务报表时抵销本公司与各子公司、各子公司相互之间发生的内部交易对合并资产负债表、合并利润表、合并现金</w:t>
      </w:r>
      <w:r>
        <w:rPr/>
        <w:t> </w:t>
      </w:r>
      <w:r>
        <w:rPr>
          <w:spacing w:val="-2"/>
        </w:rPr>
        <w:t>流量表、合并股东权益变动表的影响。如果站在企业集团合并财务报表角度与以本公司或子公司为会计主体对同一交易的认</w:t>
      </w:r>
      <w:r>
        <w:rPr>
          <w:spacing w:val="-64"/>
        </w:rPr>
        <w:t> </w:t>
      </w:r>
      <w:r>
        <w:rPr>
          <w:spacing w:val="-64"/>
        </w:rPr>
      </w:r>
      <w:r>
        <w:rPr/>
        <w:t>定不同时，从企业集团的角度对该交易予以调整。</w:t>
      </w:r>
    </w:p>
    <w:p>
      <w:pPr>
        <w:pStyle w:val="BodyText"/>
        <w:spacing w:line="316" w:lineRule="auto" w:before="19"/>
        <w:ind w:right="19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9" w:lineRule="auto" w:before="16"/>
        <w:ind w:right="195" w:firstLine="360"/>
        <w:jc w:val="both"/>
      </w:pPr>
      <w:r>
        <w:rPr>
          <w:spacing w:val="-2"/>
        </w:rPr>
        <w:t>对于同一控制下企业合并取得的子公司，以其资产、负债（包括最终控制方收购该子公司而形成的商誉）在最终控制方</w:t>
      </w:r>
      <w:r>
        <w:rPr/>
        <w:t> 财务报表中的账面价值为基础对其财务报表进行调整。</w:t>
      </w:r>
    </w:p>
    <w:p>
      <w:pPr>
        <w:pStyle w:val="BodyText"/>
        <w:spacing w:line="240" w:lineRule="auto" w:before="17"/>
        <w:ind w:left="513" w:right="93"/>
        <w:jc w:val="left"/>
      </w:pPr>
      <w:r>
        <w:rPr/>
        <w:t>对于非同一控制下企业合并取得的子公司，以购买日可辨认净资产公允价值为基础对其财务报表进行调整。</w:t>
      </w:r>
    </w:p>
    <w:p>
      <w:pPr>
        <w:pStyle w:val="BodyText"/>
        <w:spacing w:line="300" w:lineRule="auto" w:before="76"/>
        <w:ind w:left="513" w:right="93"/>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31"/>
        <w:ind w:right="193"/>
        <w:jc w:val="both"/>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240" w:lineRule="auto" w:before="18"/>
        <w:ind w:left="513" w:right="93"/>
        <w:jc w:val="left"/>
      </w:pPr>
      <w:r>
        <w:rPr/>
        <w:t>因追加投资等原因能够对同一控制下的被投资方实施控制的</w:t>
      </w:r>
      <w:r>
        <w:rPr>
          <w:spacing w:val="-82"/>
        </w:rPr>
        <w:t>，</w:t>
      </w:r>
      <w:r>
        <w:rPr/>
        <w:t>视同参与合并的各方在最终控制方开始控制时即以目前的</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1"/>
        <w:jc w:val="both"/>
      </w:pPr>
      <w:r>
        <w:rPr>
          <w:spacing w:val="-2"/>
        </w:rPr>
        <w:t>状态存在进行调整。在取得被合并方控制权之前持有的股权投资，在取得原股权之日与合并方和被合并方同处于同一控制之</w:t>
      </w:r>
      <w:r>
        <w:rPr>
          <w:spacing w:val="-63"/>
        </w:rPr>
        <w:t> </w:t>
      </w:r>
      <w:r>
        <w:rPr>
          <w:spacing w:val="-63"/>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7"/>
        <w:ind w:right="19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before="19"/>
        <w:ind w:right="192"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9"/>
        <w:ind w:left="513" w:right="93"/>
        <w:jc w:val="left"/>
      </w:pPr>
      <w:r>
        <w:rPr/>
        <w:t>（</w:t>
      </w:r>
      <w:r>
        <w:rPr>
          <w:rFonts w:ascii="Times New Roman" w:hAnsi="Times New Roman" w:cs="Times New Roman" w:eastAsia="Times New Roman" w:hint="default"/>
        </w:rPr>
        <w:t>2</w:t>
      </w:r>
      <w:r>
        <w:rPr/>
        <w:t>）处置子公司或业务</w:t>
      </w:r>
    </w:p>
    <w:p>
      <w:pPr>
        <w:pStyle w:val="BodyText"/>
        <w:spacing w:line="300" w:lineRule="auto" w:before="63"/>
        <w:ind w:left="513" w:right="93"/>
        <w:jc w:val="left"/>
      </w:pPr>
      <w:r>
        <w:rPr>
          <w:rFonts w:ascii="Times New Roman" w:hAnsi="Times New Roman" w:cs="Times New Roman" w:eastAsia="Times New Roman" w:hint="default"/>
        </w:rPr>
        <w:t>1</w:t>
      </w:r>
      <w:r>
        <w:rPr/>
        <w:t>）一般处理方法 </w:t>
      </w:r>
      <w:r>
        <w:rPr>
          <w:spacing w:val="-2"/>
        </w:rPr>
        <w:t>在报告期内，本公司处置子公司或业务，则该子公司或业务期初至处置日的收入、费用、利润纳入合并利润表；该子公</w:t>
      </w:r>
    </w:p>
    <w:p>
      <w:pPr>
        <w:pStyle w:val="BodyText"/>
        <w:spacing w:line="316" w:lineRule="auto" w:before="31"/>
        <w:ind w:left="513" w:right="93"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right="94"/>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00" w:lineRule="auto" w:before="19"/>
        <w:ind w:left="513" w:right="93"/>
        <w:jc w:val="left"/>
      </w:pPr>
      <w:r>
        <w:rPr>
          <w:rFonts w:ascii="Times New Roman" w:hAnsi="Times New Roman" w:cs="Times New Roman" w:eastAsia="Times New Roman" w:hint="default"/>
        </w:rPr>
        <w:t>2</w:t>
      </w:r>
      <w:r>
        <w:rPr/>
        <w:t>）分步处置子公司 </w:t>
      </w:r>
      <w:r>
        <w:rPr>
          <w:spacing w:val="-2"/>
        </w:rPr>
        <w:t>通过多次交易分步处置对子公司股权投资直至丧失控制权的，处置对子公司股权投资的各项交易的条款、条件以及经济</w:t>
      </w:r>
    </w:p>
    <w:p>
      <w:pPr>
        <w:pStyle w:val="BodyText"/>
        <w:spacing w:line="304" w:lineRule="auto" w:before="31"/>
        <w:ind w:left="513" w:right="2614" w:hanging="361"/>
        <w:jc w:val="left"/>
      </w:pPr>
      <w:r>
        <w:rPr/>
        <w:t>影响符合以下一种或多种情况，通常表明应将多次交易事项作为一揽子交易进行会计处理：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316" w:lineRule="auto" w:before="9"/>
        <w:ind w:right="19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6" w:lineRule="auto" w:before="19"/>
        <w:ind w:right="19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0" w:lineRule="auto" w:before="19"/>
        <w:ind w:left="513" w:right="93"/>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31"/>
        <w:ind w:right="93"/>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00" w:lineRule="auto" w:before="19"/>
        <w:ind w:left="513" w:right="273"/>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31"/>
        <w:ind w:right="93"/>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3"/>
        <w:jc w:val="left"/>
      </w:pPr>
      <w:r>
        <w:rPr>
          <w:rFonts w:ascii="Times New Roman" w:hAnsi="Times New Roman" w:cs="Times New Roman" w:eastAsia="Times New Roman" w:hint="default"/>
        </w:rPr>
        <w:t>1</w:t>
      </w:r>
      <w:r>
        <w:rPr/>
        <w:t>．合营安排的分类</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50" w:firstLine="360"/>
        <w:jc w:val="both"/>
      </w:pPr>
      <w:r>
        <w:rPr>
          <w:spacing w:val="-2"/>
        </w:rPr>
        <w:t>本公司根据合营安排的结构、法律形式以及合营安排中约定的条款、其他相关事实和情况等因素，将合营安排分为共同</w:t>
      </w:r>
      <w:r>
        <w:rPr/>
        <w:t> 经营和合营企业。</w:t>
      </w:r>
    </w:p>
    <w:p>
      <w:pPr>
        <w:pStyle w:val="BodyText"/>
        <w:spacing w:line="316" w:lineRule="auto" w:before="17"/>
        <w:ind w:right="153" w:firstLine="360"/>
        <w:jc w:val="both"/>
      </w:pPr>
      <w:r>
        <w:rPr>
          <w:spacing w:val="-2"/>
        </w:rPr>
        <w:t>未通过单独主体达成的合营安排，划分为共同经营；通过单独主体达成的合营安排，通常划分为合营企业；但有确凿证</w:t>
      </w:r>
      <w:r>
        <w:rPr/>
        <w:t> 据表明满足下列任一条件并且符合相关法律法规规定的合营安排划分为共同经营：</w:t>
      </w:r>
    </w:p>
    <w:p>
      <w:pPr>
        <w:pStyle w:val="BodyText"/>
        <w:spacing w:line="240" w:lineRule="auto" w:before="19"/>
        <w:ind w:left="513" w:right="153"/>
        <w:jc w:val="left"/>
      </w:pPr>
      <w:r>
        <w:rPr/>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63"/>
        <w:ind w:left="513" w:right="153"/>
        <w:jc w:val="left"/>
      </w:pP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300" w:lineRule="auto" w:before="63"/>
        <w:ind w:right="159" w:firstLine="360"/>
        <w:jc w:val="both"/>
      </w:pPr>
      <w:r>
        <w:rPr/>
        <w:t>（</w:t>
      </w:r>
      <w:r>
        <w:rPr>
          <w:rFonts w:ascii="Times New Roman" w:hAnsi="Times New Roman" w:cs="Times New Roman" w:eastAsia="Times New Roman" w:hint="default"/>
        </w:rPr>
        <w:t>3</w:t>
      </w:r>
      <w:r>
        <w:rPr/>
        <w:t>）其他相关事实和情况表明，合营方对该安排中的相关资产和负债分别享有权利和承担义务，如合营方享有与合营 安排相关的几乎所有产出，并且该安排中负债的清偿持续依赖于合营方的支持。</w:t>
      </w:r>
    </w:p>
    <w:p>
      <w:pPr>
        <w:pStyle w:val="BodyText"/>
        <w:spacing w:line="300" w:lineRule="auto" w:before="31"/>
        <w:ind w:left="513" w:right="773"/>
        <w:jc w:val="left"/>
      </w:pPr>
      <w:r>
        <w:rPr>
          <w:rFonts w:ascii="Times New Roman" w:hAnsi="Times New Roman" w:cs="Times New Roman" w:eastAsia="Times New Roman" w:hint="default"/>
        </w:rPr>
        <w:t>2</w:t>
      </w:r>
      <w:r>
        <w:rPr/>
        <w:t>．共同经营会计处理方法 本公司确认共同经营中利益份额中与本公司相关的下列项目，并按照相关企业会计准则的规定进行会计处理：</w:t>
      </w:r>
    </w:p>
    <w:p>
      <w:pPr>
        <w:pStyle w:val="BodyText"/>
        <w:spacing w:line="240" w:lineRule="auto" w:before="31"/>
        <w:ind w:left="513" w:right="153"/>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63"/>
        <w:ind w:left="513" w:right="153"/>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63"/>
        <w:ind w:left="513" w:right="153"/>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63"/>
        <w:ind w:left="513" w:right="153"/>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300" w:lineRule="auto" w:before="63"/>
        <w:ind w:left="513" w:right="0"/>
        <w:jc w:val="left"/>
      </w:pPr>
      <w:r>
        <w:rPr/>
        <w:t>（</w:t>
      </w:r>
      <w:r>
        <w:rPr>
          <w:rFonts w:ascii="Times New Roman" w:hAnsi="Times New Roman" w:cs="Times New Roman" w:eastAsia="Times New Roman" w:hint="default"/>
        </w:rPr>
        <w:t>5</w:t>
      </w:r>
      <w:r>
        <w:rPr/>
        <w:t>）确认单独所发生的费用，以及按其份额确认共同经营发生的费用。 </w:t>
      </w:r>
      <w:r>
        <w:rPr>
          <w:spacing w:val="-2"/>
        </w:rPr>
        <w:t>本公司向共同经营投出或出售资产等（该资产构成业务的除外），在该资产等由共同经营出售给第三方之前，仅确认因</w:t>
      </w:r>
    </w:p>
    <w:p>
      <w:pPr>
        <w:pStyle w:val="BodyText"/>
        <w:spacing w:line="300" w:lineRule="auto" w:before="31"/>
        <w:ind w:right="144"/>
        <w:jc w:val="left"/>
      </w:pPr>
      <w:r>
        <w:rPr/>
        <w:t>该交易产生的损益中归属于共同经营其他参与方的部分。投出或出售的资产发生符合《企业会计准则第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w:t>
      </w:r>
      <w:r>
        <w:rPr>
          <w:spacing w:val="-87"/>
        </w:rPr>
        <w:t> </w:t>
      </w:r>
      <w:r>
        <w:rPr/>
        <w:t>等规定的资产减值损失的，本公司全额确认该损失。</w:t>
      </w:r>
    </w:p>
    <w:p>
      <w:pPr>
        <w:pStyle w:val="BodyText"/>
        <w:spacing w:line="309" w:lineRule="auto" w:before="31"/>
        <w:ind w:right="155" w:firstLine="360"/>
        <w:jc w:val="both"/>
      </w:pPr>
      <w:r>
        <w:rPr>
          <w:spacing w:val="-2"/>
        </w:rPr>
        <w:t>本公司自共同经营购买资产等（该资产构成业务的除外），在将该资产等出售给第三方之前，仅确认因该交易产生的损</w:t>
      </w:r>
      <w:r>
        <w:rPr/>
        <w:t> 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 的，本公司按承担的份额确认该部分损失。</w:t>
      </w:r>
    </w:p>
    <w:p>
      <w:pPr>
        <w:pStyle w:val="BodyText"/>
        <w:spacing w:line="316" w:lineRule="auto" w:before="24"/>
        <w:ind w:right="152" w:firstLine="360"/>
        <w:jc w:val="both"/>
      </w:pPr>
      <w:r>
        <w:rPr>
          <w:spacing w:val="-2"/>
        </w:rPr>
        <w:t>本公司对共同经营不享有共同控制，如果本公司享有该共同经营相关资产且承担该共同经营相关负债的，仍按上述原则</w:t>
      </w:r>
      <w:r>
        <w:rPr/>
        <w:t> 进行会计处理，否则，应当按照相关企业会计准则的规定进行会计处理。</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50" w:firstLine="360"/>
        <w:jc w:val="both"/>
      </w:pPr>
      <w:r>
        <w:rPr>
          <w:spacing w:val="-2"/>
        </w:rPr>
        <w:t>在编制现金流量表时，将本公司库存现金以及可以随时用于支付的存款确认为现金。将同时具备期限短（一般从购买日</w:t>
      </w:r>
      <w:r>
        <w:rPr/>
        <w:t> 起三个月内到期）、流动性强、易于转换为已知金额的现金、价值变动风险很小四个条件的投资，确定为现金等价物。</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2213"/>
        <w:jc w:val="left"/>
      </w:pPr>
      <w:r>
        <w:rPr>
          <w:rFonts w:ascii="Times New Roman" w:hAnsi="Times New Roman" w:cs="Times New Roman" w:eastAsia="Times New Roman" w:hint="default"/>
        </w:rPr>
        <w:t>1</w:t>
      </w:r>
      <w:r>
        <w:rPr/>
        <w:t>．外币业务 外币业务交易在初始确认时，采用交易发生日的即期汇率作为折算汇率折合成人民币记账。</w:t>
      </w:r>
    </w:p>
    <w:p>
      <w:pPr>
        <w:pStyle w:val="BodyText"/>
        <w:spacing w:line="316" w:lineRule="auto" w:before="31"/>
        <w:ind w:right="152" w:firstLine="360"/>
        <w:jc w:val="both"/>
      </w:pPr>
      <w:r>
        <w:rPr>
          <w:spacing w:val="-2"/>
        </w:rPr>
        <w:t>资产负债表日，外币货币性项目按资产负债表日即期汇率折算，由此产生的汇兑差额，除属于与购建符合资本化条件的</w:t>
      </w:r>
      <w:r>
        <w:rPr/>
        <w:t> </w:t>
      </w:r>
      <w:r>
        <w:rPr>
          <w:spacing w:val="-2"/>
        </w:rPr>
        <w:t>资产相关的外币专门借款产生的汇兑差额按照借款费用资本化的原则处理外，均计入当期损益。以历史成本计量的外币非货</w:t>
      </w:r>
      <w:r>
        <w:rPr>
          <w:spacing w:val="-64"/>
        </w:rPr>
        <w:t> </w:t>
      </w:r>
      <w:r>
        <w:rPr>
          <w:spacing w:val="-64"/>
        </w:rPr>
      </w:r>
      <w:r>
        <w:rPr/>
        <w:t>币性项目，仍采用交易发生日的即期汇率折算，不改变其记账本位币金额。</w:t>
      </w:r>
    </w:p>
    <w:p>
      <w:pPr>
        <w:pStyle w:val="BodyText"/>
        <w:spacing w:line="319" w:lineRule="auto" w:before="19"/>
        <w:ind w:right="152" w:firstLine="360"/>
        <w:jc w:val="both"/>
      </w:pPr>
      <w:r>
        <w:rPr>
          <w:spacing w:val="-2"/>
        </w:rPr>
        <w:t>以公允价值计量的外币非货币性项目，采用公允价值确定日的即期汇率折算，由此产生的汇兑差额作为公允价值变动损</w:t>
      </w:r>
      <w:r>
        <w:rPr/>
        <w:t> 益计入当期损益。如属于可供出售外币非货币性项目的，形成的汇兑差额计入其他综合收益。</w:t>
      </w:r>
    </w:p>
    <w:p>
      <w:pPr>
        <w:pStyle w:val="BodyText"/>
        <w:spacing w:line="300" w:lineRule="auto" w:before="17"/>
        <w:ind w:left="513" w:right="153"/>
        <w:jc w:val="left"/>
      </w:pP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6" w:lineRule="auto" w:before="13"/>
        <w:ind w:right="0"/>
        <w:jc w:val="left"/>
      </w:pPr>
      <w:r>
        <w:rPr>
          <w:spacing w:val="-2"/>
        </w:rPr>
        <w:t>目采用发生时的即期汇率折算。利润表中的收入和费用项目，采用当期平均汇率折算。按照上述折算产生的外币财务报表折</w:t>
      </w:r>
      <w:r>
        <w:rPr>
          <w:spacing w:val="-66"/>
        </w:rPr>
        <w:t> </w:t>
      </w:r>
      <w:r>
        <w:rPr>
          <w:spacing w:val="-66"/>
        </w:rPr>
      </w:r>
      <w:r>
        <w:rPr/>
        <w:t>算差额计入其他综合收益。</w:t>
      </w:r>
    </w:p>
    <w:p>
      <w:pPr>
        <w:pStyle w:val="BodyText"/>
        <w:spacing w:line="316" w:lineRule="auto" w:before="19"/>
        <w:ind w:right="150" w:firstLine="360"/>
        <w:jc w:val="both"/>
      </w:pPr>
      <w:r>
        <w:rPr>
          <w:spacing w:val="-2"/>
        </w:rPr>
        <w:t>处置境外经营时，将资产负债表中其他综合收益项目中列示的、与该境外经营相关的外币财务报表折算差额，自其他综</w:t>
      </w:r>
      <w:r>
        <w:rPr/>
        <w:t> </w:t>
      </w:r>
      <w:r>
        <w:rPr>
          <w:spacing w:val="-2"/>
        </w:rPr>
        <w:t>合收益项目转入处置当期损益；在处置部分股权投资或其他原因导致持有境外经营权益比例降低但不丧失对境外经营控制权</w:t>
      </w:r>
      <w:r>
        <w:rPr>
          <w:spacing w:val="-64"/>
        </w:rPr>
        <w:t> </w:t>
      </w:r>
      <w:r>
        <w:rPr>
          <w:spacing w:val="-64"/>
        </w:rPr>
      </w:r>
      <w:r>
        <w:rPr>
          <w:spacing w:val="-2"/>
        </w:rPr>
        <w:t>时，与该境外经营处置部分相关的外币报表折算差额将归属于少数股东权益，不转入当期损益。在处置境外经营为联营企业</w:t>
      </w:r>
    </w:p>
    <w:p>
      <w:pPr>
        <w:spacing w:after="0" w:line="316" w:lineRule="auto"/>
        <w:jc w:val="both"/>
        <w:sectPr>
          <w:footerReference w:type="default" r:id="rId18"/>
          <w:pgSz w:w="11910" w:h="16840"/>
          <w:pgMar w:footer="980" w:header="745" w:top="1060" w:bottom="1160" w:left="980" w:right="980"/>
          <w:pgNumType w:start="92"/>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pPr>
      <w:r>
        <w:rPr/>
        <w:t>或合营企业的部分股权时，与该境外经营相关的外币报表折算差额，按处置该境外经营的比例转入处置当期损益。</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3"/>
        <w:jc w:val="left"/>
      </w:pPr>
      <w:r>
        <w:rPr/>
        <w:t>金融工具包括金融资产、金融负债和权益工具。</w:t>
      </w:r>
    </w:p>
    <w:p>
      <w:pPr>
        <w:pStyle w:val="BodyText"/>
        <w:spacing w:line="300" w:lineRule="auto" w:before="76"/>
        <w:ind w:left="513" w:right="93"/>
        <w:jc w:val="left"/>
      </w:pPr>
      <w:r>
        <w:rPr>
          <w:rFonts w:ascii="Times New Roman" w:hAnsi="Times New Roman" w:cs="Times New Roman" w:eastAsia="Times New Roman" w:hint="default"/>
        </w:rPr>
        <w:t>1</w:t>
      </w:r>
      <w:r>
        <w:rPr/>
        <w:t>．金融工具的分类 </w:t>
      </w:r>
      <w:r>
        <w:rPr>
          <w:spacing w:val="-2"/>
        </w:rPr>
        <w:t>本公司根据所发行金融工具的合同条款及其所反映的经济实质而非仅以法律形式，结合取得持有金融资产和承担金融负</w:t>
      </w:r>
    </w:p>
    <w:p>
      <w:pPr>
        <w:pStyle w:val="BodyText"/>
        <w:spacing w:line="316" w:lineRule="auto" w:before="31"/>
        <w:ind w:right="93"/>
        <w:jc w:val="left"/>
      </w:pPr>
      <w:r>
        <w:rPr>
          <w:spacing w:val="-2"/>
        </w:rPr>
        <w:t>债的目的，在初始确认时将金融资产和金融负债分为不同类别：以公允价值计量且其变动计入当期损益的金融资产（或金融</w:t>
      </w:r>
      <w:r>
        <w:rPr>
          <w:spacing w:val="-63"/>
        </w:rPr>
        <w:t> </w:t>
      </w:r>
      <w:r>
        <w:rPr>
          <w:spacing w:val="-63"/>
        </w:rPr>
      </w:r>
      <w:r>
        <w:rPr/>
        <w:t>负债）；持有至到期投资；应收款项；可供出售金融资产；其他金融负债等。</w:t>
      </w:r>
    </w:p>
    <w:p>
      <w:pPr>
        <w:pStyle w:val="BodyText"/>
        <w:spacing w:line="240" w:lineRule="auto" w:before="19"/>
        <w:ind w:left="513" w:right="93"/>
        <w:jc w:val="left"/>
      </w:pPr>
      <w:r>
        <w:rPr>
          <w:rFonts w:ascii="Times New Roman" w:hAnsi="Times New Roman" w:cs="Times New Roman" w:eastAsia="Times New Roman" w:hint="default"/>
        </w:rPr>
        <w:t>2</w:t>
      </w:r>
      <w:r>
        <w:rPr/>
        <w:t>．金融工具的确认依据和计量方法</w:t>
      </w:r>
    </w:p>
    <w:p>
      <w:pPr>
        <w:pStyle w:val="BodyText"/>
        <w:spacing w:line="300" w:lineRule="auto" w:before="63"/>
        <w:ind w:left="513" w:right="93"/>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以公允价值计量且其变动计入当期损益的金融资产或金融负债，包括交易性金融资产或金融负债和直接指定为以公允价</w:t>
      </w:r>
    </w:p>
    <w:p>
      <w:pPr>
        <w:pStyle w:val="BodyText"/>
        <w:spacing w:line="319" w:lineRule="auto" w:before="31"/>
        <w:ind w:left="513" w:right="3513" w:hanging="361"/>
        <w:jc w:val="left"/>
      </w:pPr>
      <w:r>
        <w:rPr/>
        <w:t>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300" w:lineRule="auto"/>
        <w:ind w:right="200" w:firstLine="360"/>
        <w:jc w:val="both"/>
      </w:pPr>
      <w:r>
        <w:rPr>
          <w:rFonts w:ascii="Times New Roman" w:hAnsi="Times New Roman" w:cs="Times New Roman" w:eastAsia="Times New Roman" w:hint="default"/>
        </w:rPr>
        <w:t>2</w:t>
      </w:r>
      <w:r>
        <w:rPr/>
        <w:t>）属于进行集中管理的可辨认金融工具组合的一部分，且有客观证据表明本公司近期采用短期获利方式对该组合进行 管理；</w:t>
      </w:r>
    </w:p>
    <w:p>
      <w:pPr>
        <w:pStyle w:val="BodyText"/>
        <w:spacing w:line="300" w:lineRule="auto" w:before="31"/>
        <w:ind w:right="199" w:firstLine="360"/>
        <w:jc w:val="both"/>
      </w:pPr>
      <w:r>
        <w:rPr>
          <w:rFonts w:ascii="Times New Roman" w:hAnsi="Times New Roman" w:cs="Times New Roman" w:eastAsia="Times New Roman" w:hint="default"/>
        </w:rPr>
        <w:t>3</w:t>
      </w:r>
      <w:r>
        <w:rPr/>
        <w:t>）属于衍生金融工具，但是被指定为有效套期工具的衍生工具、属于财务担保合同的衍生工具、与在活跃市场中没有 报价且其公允价值不能可靠计量的权益工具投资挂钩并须通过交付该权益工具结算的衍生工具除外。</w:t>
      </w:r>
    </w:p>
    <w:p>
      <w:pPr>
        <w:pStyle w:val="BodyText"/>
        <w:spacing w:line="316" w:lineRule="auto" w:before="31"/>
        <w:ind w:right="192" w:firstLine="360"/>
        <w:jc w:val="both"/>
      </w:pPr>
      <w:r>
        <w:rPr>
          <w:spacing w:val="-2"/>
        </w:rPr>
        <w:t>只有符合以下条件之一，金融资产或金融负债才可在初始计量时指定为以公允价值计量且其变动计入损益的金融资产或</w:t>
      </w:r>
      <w:r>
        <w:rPr/>
        <w:t> 金融负债：</w:t>
      </w:r>
    </w:p>
    <w:p>
      <w:pPr>
        <w:pStyle w:val="BodyText"/>
        <w:spacing w:line="300" w:lineRule="auto" w:before="19"/>
        <w:ind w:right="199" w:firstLine="360"/>
        <w:jc w:val="both"/>
      </w:pPr>
      <w:r>
        <w:rPr>
          <w:rFonts w:ascii="Times New Roman" w:hAnsi="Times New Roman" w:cs="Times New Roman" w:eastAsia="Times New Roman" w:hint="default"/>
        </w:rPr>
        <w:t>1</w:t>
      </w:r>
      <w:r>
        <w:rPr/>
        <w:t>）该项指定可以消除或明显减少由于金融资产或金融负债的计量基础不同所导致的相关利得或损失在确认或计量方面 不一致的情况；</w:t>
      </w:r>
    </w:p>
    <w:p>
      <w:pPr>
        <w:pStyle w:val="BodyText"/>
        <w:spacing w:line="300" w:lineRule="auto" w:before="31"/>
        <w:ind w:right="199" w:firstLine="360"/>
        <w:jc w:val="both"/>
      </w:pPr>
      <w:r>
        <w:rPr>
          <w:rFonts w:ascii="Times New Roman" w:hAnsi="Times New Roman" w:cs="Times New Roman" w:eastAsia="Times New Roman" w:hint="default"/>
        </w:rPr>
        <w:t>2</w:t>
      </w:r>
      <w:r>
        <w:rPr/>
        <w:t>）风险管理或投资策略的正式书面文件已载明，该金融资产组合、该金融负债组合、或该金融资产和金融负债组合， 以公允价值为基础进行管理、评价并向关键管理人员报告；</w:t>
      </w:r>
    </w:p>
    <w:p>
      <w:pPr>
        <w:pStyle w:val="BodyText"/>
        <w:spacing w:line="300" w:lineRule="auto" w:before="32"/>
        <w:ind w:right="199" w:firstLine="360"/>
        <w:jc w:val="both"/>
      </w:pPr>
      <w:r>
        <w:rPr>
          <w:rFonts w:ascii="Times New Roman" w:hAnsi="Times New Roman" w:cs="Times New Roman" w:eastAsia="Times New Roman" w:hint="default"/>
        </w:rPr>
        <w:t>3</w:t>
      </w:r>
      <w:r>
        <w:rPr/>
        <w:t>）包含一项或多项嵌入衍生工具的混合工具，除非嵌入衍生工具对混合工具的现金流量没有重大改变，或所嵌入的衍 生工具明显不应当从相关混合工具中分拆；</w:t>
      </w:r>
    </w:p>
    <w:p>
      <w:pPr>
        <w:pStyle w:val="BodyText"/>
        <w:spacing w:line="300" w:lineRule="auto" w:before="31"/>
        <w:ind w:left="513" w:right="93"/>
        <w:jc w:val="left"/>
      </w:pPr>
      <w:r>
        <w:rPr>
          <w:rFonts w:ascii="Times New Roman" w:hAnsi="Times New Roman" w:cs="Times New Roman" w:eastAsia="Times New Roman" w:hint="default"/>
        </w:rPr>
        <w:t>4</w:t>
      </w:r>
      <w:r>
        <w:rPr/>
        <w:t>）包含需要分拆但无法在取得时或后续的资产负债表日对其进行单独计量的嵌入衍生工具的混合工具。 </w:t>
      </w:r>
      <w:r>
        <w:rPr>
          <w:spacing w:val="-2"/>
        </w:rPr>
        <w:t>本公司对以公允价值计量且其变动计入当期损益的金融资产或金融负债，在取得时以公允价值（扣除已宣告但尚未发放</w:t>
      </w:r>
    </w:p>
    <w:p>
      <w:pPr>
        <w:pStyle w:val="BodyText"/>
        <w:spacing w:line="316" w:lineRule="auto" w:before="31"/>
        <w:ind w:right="189"/>
        <w:jc w:val="both"/>
      </w:pPr>
      <w:r>
        <w:rPr>
          <w:spacing w:val="-2"/>
        </w:rPr>
        <w:t>的现金股利或已到付息期但尚未领取的债券利息）作为初始确认金额，相关的交易费用计入当期损益。持有期间将取得的利</w:t>
      </w:r>
      <w:r>
        <w:rPr>
          <w:spacing w:val="-62"/>
        </w:rPr>
        <w:t> </w:t>
      </w:r>
      <w:r>
        <w:rPr>
          <w:spacing w:val="-62"/>
        </w:rPr>
      </w:r>
      <w:r>
        <w:rPr>
          <w:spacing w:val="-2"/>
        </w:rPr>
        <w:t>息或现金股利确认为投资收益，期末将公允价值变动计入当期损益。处置时，其公允价值与初始入账金额之间的差额确认为</w:t>
      </w:r>
      <w:r>
        <w:rPr>
          <w:spacing w:val="-66"/>
        </w:rPr>
        <w:t> </w:t>
      </w:r>
      <w:r>
        <w:rPr>
          <w:spacing w:val="-66"/>
        </w:rPr>
      </w:r>
      <w:r>
        <w:rPr/>
        <w:t>投资收益，同时调整公允价值变动损益。</w:t>
      </w:r>
    </w:p>
    <w:p>
      <w:pPr>
        <w:pStyle w:val="BodyText"/>
        <w:spacing w:line="300" w:lineRule="auto" w:before="19"/>
        <w:ind w:left="513" w:right="2973"/>
        <w:jc w:val="left"/>
      </w:pPr>
      <w:r>
        <w:rPr/>
        <w:t>（</w:t>
      </w:r>
      <w:r>
        <w:rPr>
          <w:rFonts w:ascii="Times New Roman" w:hAnsi="Times New Roman" w:cs="Times New Roman" w:eastAsia="Times New Roman" w:hint="default"/>
        </w:rPr>
        <w:t>2</w:t>
      </w:r>
      <w:r>
        <w:rPr/>
        <w:t>）应收款项 应收款项是指在活跃市场中没有报价、回收金额固定或可确定的非衍生金融资产。</w:t>
      </w:r>
    </w:p>
    <w:p>
      <w:pPr>
        <w:pStyle w:val="BodyText"/>
        <w:spacing w:line="316" w:lineRule="auto" w:before="31"/>
        <w:ind w:right="192" w:firstLine="360"/>
        <w:jc w:val="both"/>
      </w:pPr>
      <w:r>
        <w:rPr>
          <w:spacing w:val="-2"/>
        </w:rPr>
        <w:t>本公司对外销售商品或提供劳务形成的应收债权，以及公司持有的其他企业的债权（不包括在活跃市场上有报价的债务</w:t>
      </w:r>
      <w:r>
        <w:rPr/>
        <w:t> </w:t>
      </w:r>
      <w:r>
        <w:rPr>
          <w:spacing w:val="-2"/>
        </w:rPr>
        <w:t>工具），包括应收账款、其他应收款等，以向购货方应收的合同或协议价款作为初始确认金额；具有融资性质的，按其现值</w:t>
      </w:r>
      <w:r>
        <w:rPr>
          <w:spacing w:val="-68"/>
        </w:rPr>
        <w:t> </w:t>
      </w:r>
      <w:r>
        <w:rPr>
          <w:spacing w:val="-68"/>
        </w:rPr>
      </w:r>
      <w:r>
        <w:rPr/>
        <w:t>进行初始确认。</w:t>
      </w:r>
    </w:p>
    <w:p>
      <w:pPr>
        <w:pStyle w:val="BodyText"/>
        <w:spacing w:line="240" w:lineRule="auto" w:before="19"/>
        <w:ind w:left="513" w:right="93"/>
        <w:jc w:val="left"/>
      </w:pPr>
      <w:r>
        <w:rPr/>
        <w:t>收回或处置时，将取得的价款与该应收款项账面价值之间的差额计入当期损益。</w:t>
      </w:r>
    </w:p>
    <w:p>
      <w:pPr>
        <w:pStyle w:val="BodyText"/>
        <w:spacing w:line="309" w:lineRule="auto" w:before="76"/>
        <w:ind w:left="513" w:right="93"/>
        <w:jc w:val="left"/>
      </w:pPr>
      <w:r>
        <w:rPr/>
        <w:t>（</w:t>
      </w:r>
      <w:r>
        <w:rPr>
          <w:rFonts w:ascii="Times New Roman" w:hAnsi="Times New Roman" w:cs="Times New Roman" w:eastAsia="Times New Roman" w:hint="default"/>
        </w:rPr>
        <w:t>3</w:t>
      </w:r>
      <w:r>
        <w:rPr/>
        <w:t>）持有至到期投资 </w:t>
      </w:r>
      <w:r>
        <w:rPr>
          <w:spacing w:val="-4"/>
        </w:rPr>
        <w:t>持有至到期投资是指到期日固定、回收金额固定或可确定，且本公司有明确意图和能力持有至到期的非衍生性金融资产。</w:t>
      </w:r>
      <w:r>
        <w:rPr>
          <w:spacing w:val="-52"/>
        </w:rPr>
        <w:t> </w:t>
      </w:r>
      <w:r>
        <w:rPr>
          <w:spacing w:val="-52"/>
        </w:rPr>
      </w:r>
      <w:r>
        <w:rPr>
          <w:spacing w:val="-2"/>
        </w:rPr>
        <w:t>本公司对持有至到期投资，在取得时按公允价值（扣除已到付息期但尚未领取的债券利息）和相关交易费用之和作为初</w:t>
      </w:r>
    </w:p>
    <w:p>
      <w:pPr>
        <w:pStyle w:val="BodyText"/>
        <w:spacing w:line="316" w:lineRule="auto" w:before="24"/>
        <w:ind w:right="94"/>
        <w:jc w:val="left"/>
      </w:pPr>
      <w:r>
        <w:rPr/>
        <w:t>始确认金额。持有期间按照摊余成本和实际利率（如实际利率与票面利率差别较小的，可按票面利率）计算确认利息收入， </w:t>
      </w:r>
      <w:r>
        <w:rPr>
          <w:spacing w:val="-2"/>
        </w:rPr>
        <w:t>计入投资收益。实际利率在取得时确定，在该预期存续期间或适用的更短期间内保持不变。处置时，将所取得价款与该投资</w:t>
      </w:r>
      <w:r>
        <w:rPr>
          <w:spacing w:val="-63"/>
        </w:rPr>
        <w:t> </w:t>
      </w:r>
      <w:r>
        <w:rPr>
          <w:spacing w:val="-63"/>
        </w:rPr>
      </w:r>
      <w:r>
        <w:rPr/>
        <w:t>账面价值之间的差额计入投资收益。</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2" w:firstLine="360"/>
        <w:jc w:val="both"/>
      </w:pPr>
      <w:r>
        <w:rPr>
          <w:spacing w:val="-2"/>
        </w:rPr>
        <w:t>如果持有至到期投资处置或重分类为其他类金融资产的金额，相对于本公司全部持有至到期投资在出售或重分类前的总</w:t>
      </w:r>
      <w:r>
        <w:rPr/>
        <w:t> </w:t>
      </w:r>
      <w:r>
        <w:rPr>
          <w:spacing w:val="-2"/>
        </w:rPr>
        <w:t>额较大，在处置或重分类后应立即将其剩余的持有至到期投资重分类为可供出售金融资产；重分类日，该投资的账面价值与</w:t>
      </w:r>
      <w:r>
        <w:rPr>
          <w:spacing w:val="-66"/>
        </w:rPr>
        <w:t> </w:t>
      </w:r>
      <w:r>
        <w:rPr>
          <w:spacing w:val="-66"/>
        </w:rPr>
      </w:r>
      <w:r>
        <w:rPr>
          <w:spacing w:val="-2"/>
        </w:rPr>
        <w:t>其公允价值之间的差额计入其他综合收益，在该可供出售金融资产发生减值或终止确认时转出，计入当期损益。但是，遇到</w:t>
      </w:r>
      <w:r>
        <w:rPr>
          <w:spacing w:val="-66"/>
        </w:rPr>
        <w:t> </w:t>
      </w:r>
      <w:r>
        <w:rPr>
          <w:spacing w:val="-66"/>
        </w:rPr>
      </w:r>
      <w:r>
        <w:rPr/>
        <w:t>下列情况可以除外：</w:t>
      </w:r>
    </w:p>
    <w:p>
      <w:pPr>
        <w:pStyle w:val="BodyText"/>
        <w:spacing w:line="300" w:lineRule="auto" w:before="17"/>
        <w:ind w:right="244" w:firstLine="360"/>
        <w:jc w:val="left"/>
      </w:pPr>
      <w:r>
        <w:rPr>
          <w:rFonts w:ascii="Times New Roman" w:hAnsi="Times New Roman" w:cs="Times New Roman" w:eastAsia="Times New Roman" w:hint="default"/>
        </w:rPr>
        <w:t>1</w:t>
      </w:r>
      <w:r>
        <w:rPr/>
        <w:t>）出售日或重分类日距离该项投资到期日或赎回日较近</w:t>
      </w:r>
      <w:r>
        <w:rPr>
          <w:rFonts w:ascii="Times New Roman" w:hAnsi="Times New Roman" w:cs="Times New Roman" w:eastAsia="Times New Roman" w:hint="default"/>
        </w:rPr>
        <w:t>(</w:t>
      </w:r>
      <w:r>
        <w:rPr/>
        <w:t>如到期前三个月内</w:t>
      </w:r>
      <w:r>
        <w:rPr>
          <w:rFonts w:ascii="Times New Roman" w:hAnsi="Times New Roman" w:cs="Times New Roman" w:eastAsia="Times New Roman" w:hint="default"/>
        </w:rPr>
        <w:t>)</w:t>
      </w:r>
      <w:r>
        <w:rPr/>
        <w:t>，且市场利率变化对该项投资的公允价值 没有显著影响。</w:t>
      </w:r>
    </w:p>
    <w:p>
      <w:pPr>
        <w:pStyle w:val="BodyText"/>
        <w:spacing w:line="240" w:lineRule="auto" w:before="31"/>
        <w:ind w:left="513" w:right="93"/>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63"/>
        <w:ind w:left="513" w:right="93"/>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309" w:lineRule="auto" w:before="63"/>
        <w:ind w:left="513" w:right="93"/>
        <w:jc w:val="left"/>
      </w:pPr>
      <w:r>
        <w:rPr/>
        <w:t>（</w:t>
      </w:r>
      <w:r>
        <w:rPr>
          <w:rFonts w:ascii="Times New Roman" w:hAnsi="Times New Roman" w:cs="Times New Roman" w:eastAsia="Times New Roman" w:hint="default"/>
        </w:rPr>
        <w:t>4</w:t>
      </w:r>
      <w:r>
        <w:rPr/>
        <w:t>）可供出售金融资产 可供出售金融资产，是指初始确认时即指定为可供出售的非衍生金融资产，以及除其他金融资产类别以外的金融资产。 </w:t>
      </w:r>
      <w:r>
        <w:rPr>
          <w:spacing w:val="-2"/>
        </w:rPr>
        <w:t>本公司对可供出售金融资产，在取得时按公允价值（扣除已宣告但尚未发放的现金股利或已到付息期但尚未领取的债券</w:t>
      </w:r>
    </w:p>
    <w:p>
      <w:pPr>
        <w:pStyle w:val="BodyText"/>
        <w:spacing w:line="319" w:lineRule="auto" w:before="24"/>
        <w:ind w:right="190"/>
        <w:jc w:val="both"/>
      </w:pPr>
      <w:r>
        <w:rPr>
          <w:spacing w:val="-2"/>
        </w:rPr>
        <w:t>利息）和相关交易费用之和作为初始确认金额。持有期间将取得的利息或现金股利确认为投资收益。可供出售金融资产的公</w:t>
      </w:r>
      <w:r>
        <w:rPr>
          <w:spacing w:val="-63"/>
        </w:rPr>
        <w:t> </w:t>
      </w:r>
      <w:r>
        <w:rPr>
          <w:spacing w:val="-63"/>
        </w:rPr>
      </w:r>
      <w:r>
        <w:rPr>
          <w:spacing w:val="-2"/>
        </w:rPr>
        <w:t>允价值变动形成的利得或损失，除减值损失和外币货币性金融资产形成的汇兑差额外，直接计入其他综合收益。处置可供出</w:t>
      </w:r>
      <w:r>
        <w:rPr>
          <w:spacing w:val="-63"/>
        </w:rPr>
        <w:t> </w:t>
      </w:r>
      <w:r>
        <w:rPr>
          <w:spacing w:val="-63"/>
        </w:rPr>
      </w:r>
      <w:r>
        <w:rPr>
          <w:spacing w:val="-2"/>
        </w:rPr>
        <w:t>售金融资产时，将取得的价款与该金融资产账面价值之间的差额，计入投资损益；同时，将原直接计入其他综合收益的公允</w:t>
      </w:r>
      <w:r>
        <w:rPr>
          <w:spacing w:val="-66"/>
        </w:rPr>
        <w:t> </w:t>
      </w:r>
      <w:r>
        <w:rPr>
          <w:spacing w:val="-66"/>
        </w:rPr>
      </w:r>
      <w:r>
        <w:rPr/>
        <w:t>价值变动累计额对应处置部分的金额转出，计入投资损益。</w:t>
      </w:r>
    </w:p>
    <w:p>
      <w:pPr>
        <w:pStyle w:val="BodyText"/>
        <w:spacing w:line="316" w:lineRule="auto" w:before="17"/>
        <w:ind w:right="93" w:firstLine="360"/>
        <w:jc w:val="left"/>
      </w:pPr>
      <w:r>
        <w:rPr>
          <w:spacing w:val="-2"/>
        </w:rPr>
        <w:t>本公司对在活跃市场中没有报价且其公允价值不能可靠计量的权益工具投资，以及与该权益工具挂钩并须通过交付该权</w:t>
      </w:r>
      <w:r>
        <w:rPr/>
        <w:t> 益工具结算的衍生金融资产，按照成本计量。</w:t>
      </w:r>
    </w:p>
    <w:p>
      <w:pPr>
        <w:pStyle w:val="BodyText"/>
        <w:spacing w:line="309" w:lineRule="auto" w:before="19"/>
        <w:ind w:left="513" w:right="2793"/>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t>．金融资产转移的确认依据和计量方法</w:t>
      </w:r>
    </w:p>
    <w:p>
      <w:pPr>
        <w:pStyle w:val="BodyText"/>
        <w:spacing w:line="316" w:lineRule="auto" w:before="5"/>
        <w:ind w:right="93"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16" w:lineRule="auto" w:before="19"/>
        <w:ind w:right="93"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19"/>
        <w:ind w:left="513" w:right="93"/>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right="184"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316" w:lineRule="auto" w:before="31"/>
        <w:ind w:right="94"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3" w:right="93"/>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63"/>
        <w:ind w:right="184" w:firstLine="36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309" w:lineRule="auto" w:before="31"/>
        <w:ind w:left="513" w:right="93"/>
        <w:jc w:val="left"/>
      </w:pPr>
      <w:r>
        <w:rPr/>
        <w:t>金融资产转移不满足终止确认条件的，继续确认该金融资产，所收到的对价确认为一项金融负债。 </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316" w:lineRule="auto" w:before="24"/>
        <w:ind w:right="190"/>
        <w:jc w:val="both"/>
      </w:pP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316" w:lineRule="auto" w:before="19"/>
        <w:ind w:right="93"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93"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9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13" w:right="93"/>
        <w:jc w:val="left"/>
      </w:pPr>
      <w:r>
        <w:rPr>
          <w:rFonts w:ascii="Times New Roman" w:hAnsi="Times New Roman" w:cs="Times New Roman" w:eastAsia="Times New Roman" w:hint="default"/>
        </w:rPr>
        <w:t>5</w:t>
      </w:r>
      <w:r>
        <w:rPr/>
        <w:t>．金融资产和金融负债公允价值的确定方法 </w:t>
      </w:r>
      <w:r>
        <w:rPr>
          <w:spacing w:val="-4"/>
        </w:rPr>
        <w:t>存在活跃市场的金融资产或金融负债，以活跃市场的报价确定其公允价值；活跃市场的报价包括易于且可定期从交易所、</w:t>
      </w:r>
    </w:p>
    <w:p>
      <w:pPr>
        <w:pStyle w:val="BodyText"/>
        <w:spacing w:line="316" w:lineRule="auto" w:before="31"/>
        <w:ind w:right="193"/>
        <w:jc w:val="both"/>
      </w:pPr>
      <w:r>
        <w:rPr>
          <w:spacing w:val="-2"/>
        </w:rPr>
        <w:t>交易商、经纪人、行业集团、定价机构或监管机构等获得相关资产或负债的报价，且能代表在公平交易基础上实际并经常发</w:t>
      </w:r>
      <w:r>
        <w:rPr>
          <w:spacing w:val="-66"/>
        </w:rPr>
        <w:t> </w:t>
      </w:r>
      <w:r>
        <w:rPr>
          <w:spacing w:val="-66"/>
        </w:rPr>
      </w:r>
      <w:r>
        <w:rPr/>
        <w:t>生的市场交易。</w:t>
      </w:r>
    </w:p>
    <w:p>
      <w:pPr>
        <w:pStyle w:val="BodyText"/>
        <w:spacing w:line="316" w:lineRule="auto" w:before="19"/>
        <w:ind w:left="513" w:right="93"/>
        <w:jc w:val="left"/>
      </w:pPr>
      <w:r>
        <w:rPr/>
        <w:t>初始取得或衍生的金融资产或承担的金融负债，以市场交易价格作为确定其公允价值的基础。 </w:t>
      </w:r>
      <w:r>
        <w:rPr>
          <w:spacing w:val="-2"/>
        </w:rPr>
        <w:t>不存在活跃市场的金融资产或金融负债，采用估值技术确定其公允价值。在估值时，本公司采用在当前情况下适用并且</w:t>
      </w:r>
    </w:p>
    <w:p>
      <w:pPr>
        <w:pStyle w:val="BodyText"/>
        <w:spacing w:line="316" w:lineRule="auto" w:before="19"/>
        <w:ind w:right="190"/>
        <w:jc w:val="both"/>
      </w:pPr>
      <w:r>
        <w:rPr>
          <w:spacing w:val="-2"/>
        </w:rPr>
        <w:t>有足够可利用数据和其他信息支持的估值技术，选择与市场参与者在相关资产或负债的交易中所考虑的资产或负债特征相一</w:t>
      </w:r>
      <w:r>
        <w:rPr>
          <w:spacing w:val="-64"/>
        </w:rPr>
        <w:t> </w:t>
      </w:r>
      <w:r>
        <w:rPr>
          <w:spacing w:val="-64"/>
        </w:rPr>
      </w:r>
      <w:r>
        <w:rPr>
          <w:spacing w:val="-2"/>
        </w:rPr>
        <w:t>致的输入值，并尽可能优先使用相关可观察输入值。在相关可观察输入值无法取得或取得不切实可行的情况下，使用不可观</w:t>
      </w:r>
      <w:r>
        <w:rPr>
          <w:spacing w:val="-63"/>
        </w:rPr>
        <w:t> </w:t>
      </w:r>
      <w:r>
        <w:rPr>
          <w:spacing w:val="-63"/>
        </w:rPr>
      </w:r>
      <w:r>
        <w:rPr/>
        <w:t>察输入值。</w:t>
      </w:r>
    </w:p>
    <w:p>
      <w:pPr>
        <w:pStyle w:val="BodyText"/>
        <w:spacing w:line="300" w:lineRule="auto" w:before="19"/>
        <w:ind w:left="513" w:right="93"/>
        <w:jc w:val="left"/>
      </w:pPr>
      <w:r>
        <w:rPr>
          <w:rFonts w:ascii="Times New Roman" w:hAnsi="Times New Roman" w:cs="Times New Roman" w:eastAsia="Times New Roman" w:hint="default"/>
        </w:rPr>
        <w:t>6</w:t>
      </w:r>
      <w:r>
        <w:rPr/>
        <w:t>．金融资产（不含应收款项）减值准备计提 </w:t>
      </w:r>
      <w:r>
        <w:rPr>
          <w:spacing w:val="-2"/>
        </w:rPr>
        <w:t>资产负债表日对以公允价值计量且其变动计入当期损益的金融资产以外的金融资产的账面价值进行检查，如有客观证据</w:t>
      </w:r>
    </w:p>
    <w:p>
      <w:pPr>
        <w:pStyle w:val="BodyText"/>
        <w:spacing w:line="316" w:lineRule="auto" w:before="31"/>
        <w:ind w:left="513" w:right="5673" w:hanging="361"/>
        <w:jc w:val="left"/>
      </w:pPr>
      <w:r>
        <w:rPr/>
        <w:t>表明该金融资产发生减值的，计提减值准备。 金融资产发生减值的客观证据，包括但不限于：</w:t>
      </w:r>
    </w:p>
    <w:p>
      <w:pPr>
        <w:pStyle w:val="BodyText"/>
        <w:spacing w:line="240" w:lineRule="auto" w:before="19"/>
        <w:ind w:left="513" w:right="93"/>
        <w:jc w:val="left"/>
      </w:pPr>
      <w:r>
        <w:rPr/>
        <w:t>（</w:t>
      </w:r>
      <w:r>
        <w:rPr>
          <w:rFonts w:ascii="Times New Roman" w:hAnsi="Times New Roman" w:cs="Times New Roman" w:eastAsia="Times New Roman" w:hint="default"/>
        </w:rPr>
        <w:t>1</w:t>
      </w:r>
      <w:r>
        <w:rPr/>
        <w:t>）发行方或债务人发生严重财务困难；</w:t>
      </w:r>
    </w:p>
    <w:p>
      <w:pPr>
        <w:pStyle w:val="BodyText"/>
        <w:spacing w:line="240" w:lineRule="auto" w:before="63"/>
        <w:ind w:left="513" w:right="93"/>
        <w:jc w:val="left"/>
      </w:pPr>
      <w:r>
        <w:rPr/>
        <w:t>（</w:t>
      </w: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63"/>
        <w:ind w:left="513" w:right="93"/>
        <w:jc w:val="left"/>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63"/>
        <w:ind w:left="513" w:right="93"/>
        <w:jc w:val="left"/>
      </w:pPr>
      <w:r>
        <w:rPr/>
        <w:t>（</w:t>
      </w:r>
      <w:r>
        <w:rPr>
          <w:rFonts w:ascii="Times New Roman" w:hAnsi="Times New Roman" w:cs="Times New Roman" w:eastAsia="Times New Roman" w:hint="default"/>
        </w:rPr>
        <w:t>4</w:t>
      </w:r>
      <w:r>
        <w:rPr/>
        <w:t>）债务人很可能倒闭或进行其他财务重组；</w:t>
      </w:r>
    </w:p>
    <w:p>
      <w:pPr>
        <w:pStyle w:val="BodyText"/>
        <w:spacing w:line="240" w:lineRule="auto" w:before="63"/>
        <w:ind w:left="513" w:right="93"/>
        <w:jc w:val="left"/>
      </w:pPr>
      <w:r>
        <w:rPr/>
        <w:t>（</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09" w:lineRule="auto" w:before="63"/>
        <w:ind w:right="192" w:firstLine="360"/>
        <w:jc w:val="both"/>
      </w:pPr>
      <w:r>
        <w:rPr/>
        <w:t>（</w:t>
      </w:r>
      <w:r>
        <w:rPr>
          <w:rFonts w:ascii="Times New Roman" w:hAnsi="Times New Roman" w:cs="Times New Roman" w:eastAsia="Times New Roman" w:hint="default"/>
        </w:rPr>
        <w:t>6</w:t>
      </w:r>
      <w:r>
        <w:rPr/>
        <w:t>）无法辨认一组金融资产中的某项资产的现金流量是否已经减少，但根据公开的数据对其进行总体评价后发现，该 </w:t>
      </w:r>
      <w:r>
        <w:rPr>
          <w:spacing w:val="-2"/>
        </w:rPr>
        <w:t>组金融资产自初始确认以来的预计未来现金流量确已减少且可计量，如该组金融资产的债务人支付能力逐步恶化，或债务人</w:t>
      </w:r>
      <w:r>
        <w:rPr>
          <w:spacing w:val="-64"/>
        </w:rPr>
        <w:t> </w:t>
      </w:r>
      <w:r>
        <w:rPr>
          <w:spacing w:val="-64"/>
        </w:rPr>
      </w:r>
      <w:r>
        <w:rPr/>
        <w:t>所在国家或地区失业率提高、担保物在其所在地区的价格明显下降、所处行业不景气等；</w:t>
      </w:r>
    </w:p>
    <w:p>
      <w:pPr>
        <w:pStyle w:val="BodyText"/>
        <w:spacing w:line="300" w:lineRule="auto" w:before="24"/>
        <w:ind w:right="199" w:firstLine="360"/>
        <w:jc w:val="both"/>
      </w:pPr>
      <w:r>
        <w:rPr/>
        <w:t>（</w:t>
      </w:r>
      <w:r>
        <w:rPr>
          <w:rFonts w:ascii="Times New Roman" w:hAnsi="Times New Roman" w:cs="Times New Roman" w:eastAsia="Times New Roman" w:hint="default"/>
        </w:rPr>
        <w:t>7</w:t>
      </w:r>
      <w:r>
        <w:rPr/>
        <w:t>）权益工具发行方经营所处的技术、市场、经济或法律环境等发生重大不利变化，使权益工具投资人可能无法收回 投资成本；</w:t>
      </w:r>
    </w:p>
    <w:p>
      <w:pPr>
        <w:pStyle w:val="BodyText"/>
        <w:spacing w:line="300" w:lineRule="auto" w:before="31"/>
        <w:ind w:left="513" w:right="4863"/>
        <w:jc w:val="left"/>
      </w:pPr>
      <w:r>
        <w:rPr/>
        <w:t>（</w:t>
      </w:r>
      <w:r>
        <w:rPr>
          <w:rFonts w:ascii="Times New Roman" w:hAnsi="Times New Roman" w:cs="Times New Roman" w:eastAsia="Times New Roman" w:hint="default"/>
        </w:rPr>
        <w:t>8</w:t>
      </w:r>
      <w:r>
        <w:rPr/>
        <w:t>）权益工具投资的公允价值发生严重或非暂时性下跌； 金融资产的具体减值方法如下：</w:t>
      </w:r>
    </w:p>
    <w:p>
      <w:pPr>
        <w:pStyle w:val="BodyText"/>
        <w:spacing w:line="300" w:lineRule="auto" w:before="32"/>
        <w:ind w:left="513" w:right="93"/>
        <w:jc w:val="left"/>
      </w:pPr>
      <w:r>
        <w:rPr/>
        <w:t>（</w:t>
      </w:r>
      <w:r>
        <w:rPr>
          <w:rFonts w:ascii="Times New Roman" w:hAnsi="Times New Roman" w:cs="Times New Roman" w:eastAsia="Times New Roman" w:hint="default"/>
        </w:rPr>
        <w:t>1</w:t>
      </w:r>
      <w:r>
        <w:rPr/>
        <w:t>）可供出售金融资产减值准备 </w:t>
      </w:r>
      <w:r>
        <w:rPr>
          <w:spacing w:val="-2"/>
        </w:rPr>
        <w:t>本公司于资产负债表日对各项可供出售权益工具投资单独进行检查，若该权益工具投资于资产负债表日的公允价值低于</w:t>
      </w:r>
    </w:p>
    <w:p>
      <w:pPr>
        <w:pStyle w:val="BodyText"/>
        <w:spacing w:line="300" w:lineRule="auto" w:before="31"/>
        <w:ind w:right="191"/>
        <w:jc w:val="both"/>
      </w:pPr>
      <w:r>
        <w:rPr>
          <w:spacing w:val="-1"/>
        </w:rPr>
        <w:t>其成本超过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）或低于其成本持续时间超过一年（含一年）的，则表明其发生减值；若该权益工具投资于资产负</w:t>
      </w:r>
      <w:r>
        <w:rPr>
          <w:spacing w:val="-58"/>
        </w:rPr>
        <w:t> </w:t>
      </w:r>
      <w:r>
        <w:rPr>
          <w:spacing w:val="-58"/>
        </w:rPr>
      </w:r>
      <w:r>
        <w:rPr/>
        <w:t>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的，本公司会综合考虑其他相关因素诸如价格波动率等， 判断该权益工具投资是否发生减值。</w:t>
      </w:r>
    </w:p>
    <w:p>
      <w:pPr>
        <w:pStyle w:val="BodyText"/>
        <w:spacing w:line="316" w:lineRule="auto" w:before="31"/>
        <w:ind w:right="93" w:firstLine="360"/>
        <w:jc w:val="left"/>
      </w:pPr>
      <w:r>
        <w:rPr/>
        <w:t>上段所述成本按照可供出售权益工具投资的初始取得成本扣除已收回本金和已摊销金额、原已计入损益的减值损失确 </w:t>
      </w:r>
      <w:r>
        <w:rPr>
          <w:spacing w:val="-2"/>
        </w:rPr>
        <w:t>定；不存在活跃市场的可供出售权益工具投资的公允价值，按照类似金融资产当时市场收益率对未来现金流量折现确定的现</w:t>
      </w:r>
      <w:r>
        <w:rPr>
          <w:spacing w:val="-64"/>
        </w:rPr>
        <w:t> </w:t>
      </w:r>
      <w:r>
        <w:rPr>
          <w:spacing w:val="-64"/>
        </w:rPr>
      </w:r>
      <w:r>
        <w:rPr>
          <w:spacing w:val="-2"/>
        </w:rPr>
        <w:t>值确定；在活跃市场有报价的可供出售权益工具投资的公允价值根据证券交易所期末收盘价确定，除非该项可供出售权益工</w:t>
      </w:r>
      <w:r>
        <w:rPr>
          <w:spacing w:val="-63"/>
        </w:rPr>
        <w:t> </w:t>
      </w:r>
      <w:r>
        <w:rPr>
          <w:spacing w:val="-63"/>
        </w:rPr>
      </w:r>
      <w:r>
        <w:rPr>
          <w:spacing w:val="-2"/>
        </w:rPr>
        <w:t>具投资存在限售期。对于存在限售期的可供出售权益工具投资，按照证券交易所期末收盘价扣除市场参与者因承担指定期间</w:t>
      </w:r>
      <w:r>
        <w:rPr>
          <w:spacing w:val="-64"/>
        </w:rPr>
        <w:t> </w:t>
      </w:r>
      <w:r>
        <w:rPr>
          <w:spacing w:val="-64"/>
        </w:rPr>
      </w:r>
      <w:r>
        <w:rPr/>
        <w:t>内无法在公开市场上出售该权益工具的风险而要求获得的补偿金额后确定。</w:t>
      </w:r>
    </w:p>
    <w:p>
      <w:pPr>
        <w:pStyle w:val="BodyText"/>
        <w:spacing w:line="319" w:lineRule="auto" w:before="19"/>
        <w:ind w:right="192" w:firstLine="360"/>
        <w:jc w:val="both"/>
      </w:pPr>
      <w:r>
        <w:rPr>
          <w:spacing w:val="-2"/>
        </w:rPr>
        <w:t>可供出售金融资产发生减值时，即使该金融资产没有终止确认，本公司将原直接计入其他综合收益的因公允价值下降形</w:t>
      </w:r>
      <w:r>
        <w:rPr/>
        <w:t> </w:t>
      </w:r>
      <w:r>
        <w:rPr>
          <w:spacing w:val="-2"/>
        </w:rPr>
        <w:t>成的累计损失从其他综合收益转出，计入当期损益。该转出的累计损失，等于可供出售金融资产的初始取得成本扣除已收回</w:t>
      </w:r>
      <w:r>
        <w:rPr>
          <w:spacing w:val="-66"/>
        </w:rPr>
        <w:t> </w:t>
      </w:r>
      <w:r>
        <w:rPr>
          <w:spacing w:val="-66"/>
        </w:rPr>
      </w:r>
      <w:r>
        <w:rPr/>
        <w:t>本金和已摊余金额、当前公允价值和原已计入损益的减值损失后的余额。</w:t>
      </w:r>
    </w:p>
    <w:p>
      <w:pPr>
        <w:pStyle w:val="BodyText"/>
        <w:spacing w:line="316" w:lineRule="auto" w:before="17"/>
        <w:ind w:right="190" w:firstLine="360"/>
        <w:jc w:val="both"/>
      </w:pPr>
      <w:r>
        <w:rPr>
          <w:spacing w:val="-2"/>
        </w:rPr>
        <w:t>对于已确认减值损失的可供出售债务工具，在随后的会计期间公允价值已上升且客观上与确认原减值损失后发生的事项</w:t>
      </w:r>
      <w:r>
        <w:rPr/>
        <w:t> </w:t>
      </w:r>
      <w:r>
        <w:rPr>
          <w:spacing w:val="-2"/>
        </w:rPr>
        <w:t>有关的，原确认的减值损失予以转回计入当期损益；对于可供出售权益工具投资发生的减值损失，在该权益工具价值回升时</w:t>
      </w:r>
      <w:r>
        <w:rPr>
          <w:spacing w:val="-63"/>
        </w:rPr>
        <w:t> </w:t>
      </w:r>
      <w:r>
        <w:rPr>
          <w:spacing w:val="-63"/>
        </w:rPr>
      </w:r>
      <w:r>
        <w:rPr>
          <w:spacing w:val="-2"/>
        </w:rPr>
        <w:t>通过权益转回；但在活跃市场中没有报价且其公允价值不能可靠计量的权益工具投资，或与该权益工具挂钩并须通过交付该</w:t>
      </w:r>
      <w:r>
        <w:rPr>
          <w:spacing w:val="-64"/>
        </w:rPr>
        <w:t> </w:t>
      </w:r>
      <w:r>
        <w:rPr>
          <w:spacing w:val="-64"/>
        </w:rPr>
      </w:r>
      <w:r>
        <w:rPr/>
        <w:t>权益工具结算的衍生金融资产发生的减值损失，不得转回。</w:t>
      </w:r>
    </w:p>
    <w:p>
      <w:pPr>
        <w:pStyle w:val="BodyText"/>
        <w:spacing w:line="300" w:lineRule="auto" w:before="19"/>
        <w:ind w:left="513" w:right="93"/>
        <w:jc w:val="left"/>
      </w:pPr>
      <w:r>
        <w:rPr/>
        <w:t>（</w:t>
      </w:r>
      <w:r>
        <w:rPr>
          <w:rFonts w:ascii="Times New Roman" w:hAnsi="Times New Roman" w:cs="Times New Roman" w:eastAsia="Times New Roman" w:hint="default"/>
        </w:rPr>
        <w:t>2</w:t>
      </w:r>
      <w:r>
        <w:rPr/>
        <w:t>）持有至到期投资减值准备 </w:t>
      </w:r>
      <w:r>
        <w:rPr>
          <w:spacing w:val="-2"/>
        </w:rPr>
        <w:t>对于持有至到期投资，有客观证据表明其发生了减值的，根据其账面价值与预计未来现金流量现值之间差额计算确认减</w:t>
      </w:r>
    </w:p>
    <w:p>
      <w:pPr>
        <w:spacing w:after="0" w:line="30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值损失；计提后如有证据表明其价值已恢复，原确认的减值损失可予以转回，记入当期损益，但该转回的账面价值不超过假</w:t>
      </w:r>
      <w:r>
        <w:rPr>
          <w:spacing w:val="-65"/>
        </w:rPr>
        <w:t> </w:t>
      </w:r>
      <w:r>
        <w:rPr>
          <w:spacing w:val="-65"/>
        </w:rPr>
      </w:r>
      <w:r>
        <w:rPr/>
        <w:t>定不计提减值准备情况下该金融资产在转回日的摊余成本。</w:t>
      </w:r>
    </w:p>
    <w:p>
      <w:pPr>
        <w:pStyle w:val="BodyText"/>
        <w:spacing w:line="300" w:lineRule="auto" w:before="17"/>
        <w:ind w:left="513" w:right="0"/>
        <w:jc w:val="left"/>
      </w:pPr>
      <w:r>
        <w:rPr>
          <w:rFonts w:ascii="Times New Roman" w:hAnsi="Times New Roman" w:cs="Times New Roman" w:eastAsia="Times New Roman" w:hint="default"/>
        </w:rPr>
        <w:t>7</w:t>
      </w:r>
      <w:r>
        <w:rPr/>
        <w:t>．金融资产及金融负债的抵销 </w:t>
      </w:r>
      <w:r>
        <w:rPr>
          <w:spacing w:val="-2"/>
        </w:rPr>
        <w:t>金融资产和金融负债在资产负债表内分别列示，没有相互抵销。但是，同时满足下列条件的，以相互抵销后的净额在资</w:t>
      </w:r>
    </w:p>
    <w:p>
      <w:pPr>
        <w:pStyle w:val="BodyText"/>
        <w:spacing w:line="240" w:lineRule="auto" w:before="31"/>
        <w:ind w:right="153"/>
        <w:jc w:val="left"/>
      </w:pPr>
      <w:r>
        <w:rPr/>
        <w:t>产负债表内列示：</w:t>
      </w:r>
    </w:p>
    <w:p>
      <w:pPr>
        <w:pStyle w:val="BodyText"/>
        <w:spacing w:line="240" w:lineRule="auto" w:before="76"/>
        <w:ind w:left="513" w:right="153"/>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63"/>
        <w:ind w:left="513" w:right="153"/>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44"/>
        <w:ind w:left="0" w:right="158"/>
        <w:jc w:val="right"/>
      </w:pPr>
      <w:r>
        <w:rPr/>
        <w:pict>
          <v:shape style="position:absolute;margin-left:56.459999pt;margin-top:-.728289pt;width:479.2pt;height:87.5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69"/>
                    <w:gridCol w:w="5600"/>
                  </w:tblGrid>
                  <w:tr>
                    <w:trPr>
                      <w:trHeight w:val="716"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0"/>
                          <w:jc w:val="left"/>
                          <w:rPr>
                            <w:rFonts w:ascii="宋体" w:hAnsi="宋体" w:cs="宋体" w:eastAsia="宋体" w:hint="default"/>
                            <w:sz w:val="18"/>
                            <w:szCs w:val="18"/>
                          </w:rPr>
                        </w:pPr>
                        <w:r>
                          <w:rPr>
                            <w:rFonts w:ascii="宋体" w:hAnsi="宋体" w:cs="宋体" w:eastAsia="宋体" w:hint="default"/>
                            <w:sz w:val="18"/>
                            <w:szCs w:val="18"/>
                          </w:rPr>
                          <w:t>单项金额在</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500</w:t>
                        </w:r>
                        <w:r>
                          <w:rPr>
                            <w:rFonts w:ascii="Times New Roman" w:hAnsi="Times New Roman" w:cs="Times New Roman" w:eastAsia="Times New Roman" w:hint="default"/>
                            <w:spacing w:val="4"/>
                            <w:sz w:val="18"/>
                            <w:szCs w:val="18"/>
                          </w:rPr>
                          <w:t> </w:t>
                        </w:r>
                        <w:r>
                          <w:rPr>
                            <w:rFonts w:ascii="宋体" w:hAnsi="宋体" w:cs="宋体" w:eastAsia="宋体" w:hint="default"/>
                            <w:spacing w:val="-14"/>
                            <w:sz w:val="18"/>
                            <w:szCs w:val="18"/>
                          </w:rPr>
                          <w:t>万元以上（含）的应收账款、单项金额</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300</w:t>
                        </w:r>
                        <w:r>
                          <w:rPr>
                            <w:rFonts w:ascii="Times New Roman" w:hAnsi="Times New Roman" w:cs="Times New Roman" w:eastAsia="Times New Roman" w:hint="default"/>
                            <w:spacing w:val="3"/>
                            <w:sz w:val="18"/>
                            <w:szCs w:val="18"/>
                          </w:rPr>
                          <w:t> </w:t>
                        </w:r>
                        <w:r>
                          <w:rPr>
                            <w:rFonts w:ascii="宋体" w:hAnsi="宋体" w:cs="宋体" w:eastAsia="宋体" w:hint="default"/>
                            <w:spacing w:val="-14"/>
                            <w:sz w:val="18"/>
                            <w:szCs w:val="18"/>
                          </w:rPr>
                          <w:t>万元以上（含</w:t>
                        </w:r>
                        <w:r>
                          <w:rPr>
                            <w:rFonts w:ascii="宋体" w:hAnsi="宋体" w:cs="宋体" w:eastAsia="宋体" w:hint="default"/>
                            <w:sz w:val="18"/>
                            <w:szCs w:val="18"/>
                          </w:rPr>
                          <w:t> 的其他应收款，确定为单项金额重大的应收款项。</w:t>
                        </w:r>
                      </w:p>
                    </w:tc>
                  </w:tr>
                  <w:tr>
                    <w:trPr>
                      <w:trHeight w:val="1025"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单独进行减值测试，按预计未来现金流量现值低于其账面价值的差额计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提坏账准备，计入当期损益。单独测试未发生减值的应收款项，将其归</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入相应组合计提坏账准备。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3"/>
        <w:ind w:right="15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应收合并范围内关联方等特殊风险组合</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153"/>
        <w:jc w:val="left"/>
      </w:pPr>
      <w:r>
        <w:rPr/>
        <w:t>组合中，采用账龄分析法计提坏账准备的：</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53"/>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40"/>
        <w:gridCol w:w="7030"/>
      </w:tblGrid>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0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存在客观证据表明本公司将无法按应收款项的原有条款收回款项。</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2540"/>
        <w:gridCol w:w="7030"/>
      </w:tblGrid>
      <w:tr>
        <w:trPr>
          <w:trHeight w:val="334" w:hRule="exact"/>
        </w:trPr>
        <w:tc>
          <w:tcPr>
            <w:tcW w:w="2540" w:type="dxa"/>
            <w:tcBorders>
              <w:top w:val="single" w:sz="6" w:space="0" w:color="000000"/>
              <w:left w:val="nil" w:sz="6" w:space="0" w:color="auto"/>
              <w:bottom w:val="single" w:sz="4" w:space="0" w:color="000000"/>
              <w:right w:val="nil" w:sz="6" w:space="0" w:color="auto"/>
            </w:tcBorders>
          </w:tcPr>
          <w:p>
            <w:pPr/>
          </w:p>
        </w:tc>
        <w:tc>
          <w:tcPr>
            <w:tcW w:w="7030" w:type="dxa"/>
            <w:tcBorders>
              <w:top w:val="single" w:sz="6" w:space="0" w:color="000000"/>
              <w:left w:val="nil" w:sz="6" w:space="0" w:color="auto"/>
              <w:bottom w:val="single" w:sz="4" w:space="0" w:color="000000"/>
              <w:right w:val="nil" w:sz="6" w:space="0" w:color="auto"/>
            </w:tcBorders>
          </w:tcPr>
          <w:p>
            <w:pP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0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根据应收款项的预计未来现金流量现值低于其账面价值的差额进行计提。</w:t>
            </w:r>
          </w:p>
        </w:tc>
      </w:tr>
    </w:tbl>
    <w:p>
      <w:pPr>
        <w:spacing w:line="240" w:lineRule="auto" w:before="3"/>
        <w:rPr>
          <w:rFonts w:ascii="宋体" w:hAnsi="宋体" w:cs="宋体" w:eastAsia="宋体" w:hint="default"/>
          <w:b/>
          <w:bCs/>
          <w:sz w:val="19"/>
          <w:szCs w:val="19"/>
        </w:rPr>
      </w:pPr>
    </w:p>
    <w:p>
      <w:pPr>
        <w:pStyle w:val="Heading3"/>
        <w:spacing w:line="240" w:lineRule="auto" w:before="36"/>
        <w:ind w:left="112" w:right="15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112" w:right="6754"/>
        <w:jc w:val="left"/>
      </w:pPr>
      <w:r>
        <w:rPr/>
        <w:t>公司是否需要遵守特殊行业的披露要求 否</w:t>
      </w:r>
    </w:p>
    <w:p>
      <w:pPr>
        <w:pStyle w:val="BodyText"/>
        <w:spacing w:line="300" w:lineRule="auto" w:before="27"/>
        <w:ind w:left="473" w:right="153"/>
        <w:jc w:val="left"/>
      </w:pPr>
      <w:r>
        <w:rPr>
          <w:rFonts w:ascii="Times New Roman" w:hAnsi="Times New Roman" w:cs="Times New Roman" w:eastAsia="Times New Roman" w:hint="default"/>
        </w:rPr>
        <w:t>1</w:t>
      </w:r>
      <w:r>
        <w:rPr/>
        <w:t>．存货的分类 </w:t>
      </w:r>
      <w:r>
        <w:rPr>
          <w:spacing w:val="-2"/>
        </w:rPr>
        <w:t>存货是指本公司在日常活动中持有以备出售的产成品或商品、处在生产过程中的在产品、在生产过程或提供劳务过程中</w:t>
      </w:r>
    </w:p>
    <w:p>
      <w:pPr>
        <w:pStyle w:val="BodyText"/>
        <w:spacing w:line="240" w:lineRule="auto" w:before="31"/>
        <w:ind w:left="112" w:right="153"/>
        <w:jc w:val="left"/>
      </w:pPr>
      <w:r>
        <w:rPr/>
        <w:t>耗用的材料和物料等。主要包括原材料、在产品、自制半成品、产成品（库存商品）等。</w:t>
      </w:r>
    </w:p>
    <w:p>
      <w:pPr>
        <w:pStyle w:val="BodyText"/>
        <w:spacing w:line="307" w:lineRule="auto" w:before="76"/>
        <w:ind w:left="473" w:right="153"/>
        <w:jc w:val="left"/>
      </w:pPr>
      <w:r>
        <w:rPr>
          <w:rFonts w:ascii="Times New Roman" w:hAnsi="Times New Roman" w:cs="Times New Roman" w:eastAsia="Times New Roman" w:hint="default"/>
        </w:rPr>
        <w:t>2</w:t>
      </w:r>
      <w:r>
        <w:rPr/>
        <w:t>．存货的计价方法 存货在取得时，按成本进行初始计量，包括采购成本、加工成本和其他成本。存货发出时按个别认定法计价。 </w:t>
      </w:r>
      <w:r>
        <w:rPr>
          <w:rFonts w:ascii="Times New Roman" w:hAnsi="Times New Roman" w:cs="Times New Roman" w:eastAsia="Times New Roman" w:hint="default"/>
        </w:rPr>
        <w:t>3</w:t>
      </w:r>
      <w:r>
        <w:rPr/>
        <w:t>．存货可变现净值的确定依据及存货跌价准备的计提方法 </w:t>
      </w:r>
      <w:r>
        <w:rPr>
          <w:spacing w:val="-2"/>
        </w:rPr>
        <w:t>期末对存货进行全面清查后，按存货的成本与可变现净值孰低提取或调整存货跌价准备。产成品、库存商品和用于出售</w:t>
      </w:r>
    </w:p>
    <w:p>
      <w:pPr>
        <w:pStyle w:val="BodyText"/>
        <w:spacing w:line="316" w:lineRule="auto" w:before="26"/>
        <w:ind w:left="112" w:right="0"/>
        <w:jc w:val="left"/>
      </w:pPr>
      <w:r>
        <w:rPr>
          <w:spacing w:val="-4"/>
        </w:rPr>
        <w:t>的材料等直接用于出售的商品存货，在正常生产经营过程中，以该存货的估计售价减去估计的销售费用和相关税费后的金额，</w:t>
      </w:r>
      <w:r>
        <w:rPr>
          <w:spacing w:val="-44"/>
        </w:rPr>
        <w:t> </w:t>
      </w:r>
      <w:r>
        <w:rPr>
          <w:spacing w:val="-44"/>
        </w:rPr>
      </w:r>
      <w:r>
        <w:rPr>
          <w:spacing w:val="-2"/>
        </w:rPr>
        <w:t>确定其可变现净值；需要经过加工的材料存货，在正常生产经营过程中，以所生产的产成品的估计售价减去至完工时估计将</w:t>
      </w:r>
      <w:r>
        <w:rPr>
          <w:spacing w:val="-63"/>
        </w:rPr>
        <w:t> </w:t>
      </w:r>
      <w:r>
        <w:rPr>
          <w:spacing w:val="-63"/>
        </w:rPr>
      </w:r>
      <w:r>
        <w:rPr>
          <w:spacing w:val="-2"/>
        </w:rPr>
        <w:t>要发生的成本、估计的销售费用和相关税费后的金额，确定其可变现净值；为执行销售合同或者劳务合同而持有的存货，其</w:t>
      </w:r>
      <w:r>
        <w:rPr>
          <w:spacing w:val="-63"/>
        </w:rPr>
        <w:t> </w:t>
      </w:r>
      <w:r>
        <w:rPr>
          <w:spacing w:val="-63"/>
        </w:rPr>
      </w:r>
      <w:r>
        <w:rPr>
          <w:spacing w:val="-2"/>
        </w:rPr>
        <w:t>可变现净值以合同价格为基础计算，若持有存货的数量多于销售合同订购数量的，超出部分的存货的可变现净值以一般销售</w:t>
      </w:r>
      <w:r>
        <w:rPr>
          <w:spacing w:val="-64"/>
        </w:rPr>
        <w:t> </w:t>
      </w:r>
      <w:r>
        <w:rPr>
          <w:spacing w:val="-64"/>
        </w:rPr>
      </w:r>
      <w:r>
        <w:rPr/>
        <w:t>价格为基础计算。</w:t>
      </w:r>
    </w:p>
    <w:p>
      <w:pPr>
        <w:pStyle w:val="BodyText"/>
        <w:spacing w:line="316" w:lineRule="auto" w:before="19"/>
        <w:ind w:left="112" w:right="19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9"/>
        <w:ind w:left="112" w:right="190" w:firstLine="360"/>
        <w:jc w:val="both"/>
      </w:pPr>
      <w:r>
        <w:rPr>
          <w:spacing w:val="-2"/>
        </w:rPr>
        <w:t>以前减记存货价值的影响因素已经消失的，减记的金额予以恢复，并在原已计提的存货跌价准备金额内转回，转回的金</w:t>
      </w:r>
      <w:r>
        <w:rPr/>
        <w:t> 额计入当期损益。</w:t>
      </w:r>
    </w:p>
    <w:p>
      <w:pPr>
        <w:pStyle w:val="BodyText"/>
        <w:spacing w:line="300" w:lineRule="auto" w:before="19"/>
        <w:ind w:left="473" w:right="7923"/>
        <w:jc w:val="left"/>
      </w:pPr>
      <w:r>
        <w:rPr>
          <w:rFonts w:ascii="Times New Roman" w:hAnsi="Times New Roman" w:cs="Times New Roman" w:eastAsia="Times New Roman" w:hint="default"/>
        </w:rPr>
        <w:t>4</w:t>
      </w:r>
      <w:r>
        <w:rPr/>
        <w:t>．存货的盘存制度 采用永续盘存制</w:t>
      </w:r>
    </w:p>
    <w:p>
      <w:pPr>
        <w:spacing w:line="240" w:lineRule="auto" w:before="10"/>
        <w:rPr>
          <w:rFonts w:ascii="宋体" w:hAnsi="宋体" w:cs="宋体" w:eastAsia="宋体" w:hint="default"/>
          <w:sz w:val="23"/>
          <w:szCs w:val="23"/>
        </w:rPr>
      </w:pPr>
    </w:p>
    <w:p>
      <w:pPr>
        <w:pStyle w:val="Heading3"/>
        <w:spacing w:line="240" w:lineRule="auto"/>
        <w:ind w:left="112" w:right="153"/>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473" w:right="3333"/>
        <w:jc w:val="left"/>
      </w:pPr>
      <w:r>
        <w:rPr>
          <w:rFonts w:ascii="Times New Roman" w:hAnsi="Times New Roman" w:cs="Times New Roman" w:eastAsia="Times New Roman" w:hint="default"/>
        </w:rPr>
        <w:t>1</w:t>
      </w:r>
      <w:r>
        <w:rPr/>
        <w:t>．划分为持有待售确认标准 本公司将同时满足下列条件的非流动资产或处置组确认为持有待售组成部分：</w:t>
      </w:r>
    </w:p>
    <w:p>
      <w:pPr>
        <w:pStyle w:val="BodyText"/>
        <w:spacing w:line="240" w:lineRule="auto" w:before="31"/>
        <w:ind w:left="473" w:right="153"/>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left="473" w:right="183"/>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 </w:t>
      </w:r>
      <w:r>
        <w:rPr>
          <w:spacing w:val="-2"/>
        </w:rPr>
        <w:t>确定的购买承诺，是指本公司与其他方签订的具有法律约束力的购买协议，该协议包含交易价格、时间和足够严厉的违</w:t>
      </w:r>
    </w:p>
    <w:p>
      <w:pPr>
        <w:pStyle w:val="BodyText"/>
        <w:spacing w:line="240" w:lineRule="auto" w:before="31"/>
        <w:ind w:left="112" w:right="153"/>
        <w:jc w:val="left"/>
      </w:pPr>
      <w:r>
        <w:rPr/>
        <w:t>约惩罚等重要条款，使协议出现重大调整或者撤销的可能性极小。</w:t>
      </w:r>
    </w:p>
    <w:p>
      <w:pPr>
        <w:pStyle w:val="BodyText"/>
        <w:spacing w:line="300" w:lineRule="auto" w:before="76"/>
        <w:ind w:left="473" w:right="153"/>
        <w:jc w:val="left"/>
      </w:pPr>
      <w:r>
        <w:rPr>
          <w:rFonts w:ascii="Times New Roman" w:hAnsi="Times New Roman" w:cs="Times New Roman" w:eastAsia="Times New Roman" w:hint="default"/>
        </w:rPr>
        <w:t>2</w:t>
      </w:r>
      <w:r>
        <w:rPr/>
        <w:t>．持有待售核算方法 </w:t>
      </w:r>
      <w:r>
        <w:rPr>
          <w:spacing w:val="-2"/>
        </w:rPr>
        <w:t>本公司对于持有待售的非流动资产或处置组不计提折旧或摊销，其账面价值高于公允价值减去出售费用后的净额的，应</w:t>
      </w:r>
    </w:p>
    <w:p>
      <w:pPr>
        <w:pStyle w:val="BodyText"/>
        <w:spacing w:line="316" w:lineRule="auto" w:before="32"/>
        <w:ind w:left="112" w:right="153"/>
        <w:jc w:val="left"/>
      </w:pPr>
      <w:r>
        <w:rPr>
          <w:spacing w:val="-2"/>
        </w:rPr>
        <w:t>当将账面价值减记至公允价值减去出售费用后的净额，减记的金额确认为资产减值损失，计入当期损益，同时计提持有待售</w:t>
      </w:r>
      <w:r>
        <w:rPr>
          <w:spacing w:val="-63"/>
        </w:rPr>
        <w:t> </w:t>
      </w:r>
      <w:r>
        <w:rPr>
          <w:spacing w:val="-63"/>
        </w:rPr>
      </w:r>
      <w:r>
        <w:rPr/>
        <w:t>资产减值准备。</w:t>
      </w:r>
    </w:p>
    <w:p>
      <w:pPr>
        <w:pStyle w:val="BodyText"/>
        <w:spacing w:line="316" w:lineRule="auto" w:before="19"/>
        <w:ind w:left="112" w:right="192" w:firstLine="360"/>
        <w:jc w:val="both"/>
      </w:pPr>
      <w:r>
        <w:rPr>
          <w:spacing w:val="-2"/>
        </w:rPr>
        <w:t>对于取得日划分为持有待售类别的非流动资产或处置组，在初始计量时比较假定其不划分为持有待售类别情况下的初始</w:t>
      </w:r>
      <w:r>
        <w:rPr/>
        <w:t> 计量金额和公允价值减去出售费用后的净额，以两者孰低计量。</w:t>
      </w:r>
    </w:p>
    <w:p>
      <w:pPr>
        <w:pStyle w:val="BodyText"/>
        <w:spacing w:line="316" w:lineRule="auto" w:before="19"/>
        <w:ind w:left="112" w:right="191" w:firstLine="360"/>
        <w:jc w:val="both"/>
      </w:pPr>
      <w:r>
        <w:rPr>
          <w:spacing w:val="-2"/>
        </w:rPr>
        <w:t>上述原则适用于所有非流动资产，但不包括采用公允价值模式进行后续计量的投资性房地产、采用公允价值减去出售费</w:t>
      </w:r>
      <w:r>
        <w:rPr/>
        <w:t> </w:t>
      </w:r>
      <w:r>
        <w:rPr>
          <w:spacing w:val="-2"/>
        </w:rPr>
        <w:t>用后的净额计量的生物资产、职工薪酬形成的资产、递延所得税资产、由金融工具相关会计准则规范的金融资产、由保险合</w:t>
      </w:r>
      <w:r>
        <w:rPr>
          <w:spacing w:val="-65"/>
        </w:rPr>
        <w:t> </w:t>
      </w:r>
      <w:r>
        <w:rPr>
          <w:spacing w:val="-65"/>
        </w:rPr>
      </w:r>
      <w:r>
        <w:rPr/>
        <w:t>同相关会计准则规范的保险合同所产生的权利。</w:t>
      </w:r>
    </w:p>
    <w:p>
      <w:pPr>
        <w:spacing w:after="0" w:line="316" w:lineRule="auto"/>
        <w:jc w:val="both"/>
        <w:sectPr>
          <w:pgSz w:w="11910" w:h="16840"/>
          <w:pgMar w:header="745" w:footer="980" w:top="1060" w:bottom="1160" w:left="102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3"/>
        <w:spacing w:line="240" w:lineRule="auto" w:before="36"/>
        <w:ind w:right="93"/>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93"/>
        <w:jc w:val="left"/>
      </w:pPr>
      <w:r>
        <w:rPr>
          <w:rFonts w:ascii="Times New Roman" w:hAnsi="Times New Roman" w:cs="Times New Roman" w:eastAsia="Times New Roman" w:hint="default"/>
        </w:rPr>
        <w:t>1</w:t>
      </w:r>
      <w:r>
        <w:rPr/>
        <w:t>．初始投资成本的确定</w:t>
      </w:r>
    </w:p>
    <w:p>
      <w:pPr>
        <w:pStyle w:val="BodyText"/>
        <w:spacing w:line="300" w:lineRule="auto" w:before="63"/>
        <w:ind w:right="184" w:firstLine="360"/>
        <w:jc w:val="left"/>
      </w:pPr>
      <w:r>
        <w:rPr/>
        <w:t>（</w:t>
      </w:r>
      <w:r>
        <w:rPr>
          <w:rFonts w:ascii="Times New Roman" w:hAnsi="Times New Roman" w:cs="Times New Roman" w:eastAsia="Times New Roman" w:hint="default"/>
        </w:rPr>
        <w:t>1</w:t>
      </w:r>
      <w:r>
        <w:rPr/>
        <w:t>）企业合并形成的长期股权投资，具体会计政策详见本附注四／（五）同一控制下和非同一控制下企业合并的会计 处理方法</w:t>
      </w:r>
    </w:p>
    <w:p>
      <w:pPr>
        <w:pStyle w:val="BodyText"/>
        <w:spacing w:line="300" w:lineRule="auto" w:before="31"/>
        <w:ind w:left="513" w:right="93"/>
        <w:jc w:val="left"/>
      </w:pPr>
      <w:r>
        <w:rPr/>
        <w:t>（</w:t>
      </w: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316" w:lineRule="auto" w:before="31"/>
        <w:ind w:left="513" w:right="93" w:hanging="361"/>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316" w:lineRule="auto" w:before="19"/>
        <w:ind w:left="513" w:right="93" w:hanging="361"/>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316" w:lineRule="auto" w:before="19"/>
        <w:ind w:right="93"/>
        <w:jc w:val="left"/>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240" w:lineRule="auto" w:before="19"/>
        <w:ind w:left="513" w:right="93"/>
        <w:jc w:val="left"/>
      </w:pPr>
      <w:r>
        <w:rPr/>
        <w:t>通过债务重组取得的长期股权投资，其初始投资成本按照公允价值为基础确定。</w:t>
      </w:r>
    </w:p>
    <w:p>
      <w:pPr>
        <w:pStyle w:val="BodyText"/>
        <w:spacing w:line="240" w:lineRule="auto" w:before="76"/>
        <w:ind w:left="513" w:right="93"/>
        <w:jc w:val="left"/>
      </w:pPr>
      <w:r>
        <w:rPr>
          <w:rFonts w:ascii="Times New Roman" w:hAnsi="Times New Roman" w:cs="Times New Roman" w:eastAsia="Times New Roman" w:hint="default"/>
        </w:rPr>
        <w:t>2</w:t>
      </w:r>
      <w:r>
        <w:rPr/>
        <w:t>．后续计量及损益确认</w:t>
      </w:r>
    </w:p>
    <w:p>
      <w:pPr>
        <w:pStyle w:val="BodyText"/>
        <w:spacing w:line="300" w:lineRule="auto" w:before="63"/>
        <w:ind w:left="513" w:right="93"/>
        <w:jc w:val="left"/>
      </w:pPr>
      <w:r>
        <w:rPr/>
        <w:t>（</w:t>
      </w:r>
      <w:r>
        <w:rPr>
          <w:rFonts w:ascii="Times New Roman" w:hAnsi="Times New Roman" w:cs="Times New Roman" w:eastAsia="Times New Roman" w:hint="default"/>
        </w:rPr>
        <w:t>1</w:t>
      </w:r>
      <w:r>
        <w:rPr/>
        <w:t>）成本法 </w:t>
      </w:r>
      <w:r>
        <w:rPr>
          <w:spacing w:val="-2"/>
        </w:rPr>
        <w:t>本公司能够对被投资单位实施控制的长期股权投资采用成本法核算，并按照初始投资成本计价，追加或收回投资调整长</w:t>
      </w:r>
    </w:p>
    <w:p>
      <w:pPr>
        <w:pStyle w:val="BodyText"/>
        <w:spacing w:line="316" w:lineRule="auto" w:before="31"/>
        <w:ind w:left="513" w:right="93" w:hanging="361"/>
        <w:jc w:val="left"/>
      </w:pPr>
      <w:r>
        <w:rPr/>
        <w:t>期股权投资的成本。 </w:t>
      </w:r>
      <w:r>
        <w:rPr>
          <w:spacing w:val="-2"/>
        </w:rPr>
        <w:t>除取得投资时实际支付的价款或对价中包含的已宣告但尚未发放的现金股利或利润外，本公司按照享有被投资单位宣告</w:t>
      </w:r>
    </w:p>
    <w:p>
      <w:pPr>
        <w:pStyle w:val="BodyText"/>
        <w:spacing w:line="240" w:lineRule="auto" w:before="19"/>
        <w:ind w:right="93"/>
        <w:jc w:val="left"/>
      </w:pPr>
      <w:r>
        <w:rPr/>
        <w:t>分派的现金股利或利润确认为当期投资收益。</w:t>
      </w:r>
    </w:p>
    <w:p>
      <w:pPr>
        <w:pStyle w:val="BodyText"/>
        <w:spacing w:line="300" w:lineRule="auto" w:before="76"/>
        <w:ind w:left="513" w:right="93"/>
        <w:jc w:val="left"/>
      </w:pPr>
      <w:r>
        <w:rPr/>
        <w:t>（</w:t>
      </w:r>
      <w:r>
        <w:rPr>
          <w:rFonts w:ascii="Times New Roman" w:hAnsi="Times New Roman" w:cs="Times New Roman" w:eastAsia="Times New Roman" w:hint="default"/>
        </w:rPr>
        <w:t>2</w:t>
      </w:r>
      <w:r>
        <w:rPr/>
        <w:t>）权益法 </w:t>
      </w:r>
      <w:r>
        <w:rPr>
          <w:spacing w:val="-2"/>
        </w:rPr>
        <w:t>本公司对联营企业和合营企业的长期股权投资采用权益法核算；对于其中一部分通过风险投资机构、共同基金、信托公</w:t>
      </w:r>
    </w:p>
    <w:p>
      <w:pPr>
        <w:pStyle w:val="BodyText"/>
        <w:spacing w:line="316" w:lineRule="auto" w:before="31"/>
        <w:ind w:left="513" w:right="93" w:hanging="361"/>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319" w:lineRule="auto" w:before="19"/>
        <w:ind w:left="513" w:right="93" w:hanging="361"/>
        <w:jc w:val="left"/>
      </w:pPr>
      <w:r>
        <w:rPr/>
        <w:t>初始投资成本；初始投资成本小于投资时应享有被投资单位可辨认净资产公允价值份额的差额，计入当期损益。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本公司取得长期股权投资后，按照应享有或应分担的被投资单位实现的净损益和其他综合收益的份额，分别确认投资收</w:t>
      </w:r>
    </w:p>
    <w:p>
      <w:pPr>
        <w:pStyle w:val="BodyText"/>
        <w:spacing w:line="316" w:lineRule="auto" w:before="17"/>
        <w:ind w:right="94"/>
        <w:jc w:val="left"/>
      </w:pPr>
      <w:r>
        <w:rPr/>
        <w:t>益和其他综合收益，同时调整长期股权投资的账面价值；并按照被投资单位宣告分派的利润或现金股利计算应享有的部分， </w:t>
      </w:r>
      <w:r>
        <w:rPr>
          <w:spacing w:val="-2"/>
        </w:rPr>
        <w:t>相应减少长期股权投资的账面价值；对于被投资单位除净损益、其他综合收益和利润分配以外所有者权益的其他变动，调整</w:t>
      </w:r>
      <w:r>
        <w:rPr>
          <w:spacing w:val="-62"/>
        </w:rPr>
        <w:t> </w:t>
      </w:r>
      <w:r>
        <w:rPr>
          <w:spacing w:val="-62"/>
        </w:rPr>
      </w:r>
      <w:r>
        <w:rPr/>
        <w:t>长期股权投资的账面价值并计入所有者权益。</w:t>
      </w:r>
    </w:p>
    <w:p>
      <w:pPr>
        <w:pStyle w:val="BodyText"/>
        <w:spacing w:line="316" w:lineRule="auto" w:before="19"/>
        <w:ind w:right="192"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316" w:lineRule="auto" w:before="19"/>
        <w:ind w:right="94"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9" w:lineRule="auto" w:before="19"/>
        <w:ind w:right="93" w:firstLine="360"/>
        <w:jc w:val="left"/>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w:t>
      </w:r>
    </w:p>
    <w:p>
      <w:pPr>
        <w:pStyle w:val="BodyText"/>
        <w:spacing w:line="240" w:lineRule="auto" w:before="17"/>
        <w:ind w:left="513" w:right="93"/>
        <w:jc w:val="left"/>
      </w:pPr>
      <w:r>
        <w:rPr>
          <w:rFonts w:ascii="Times New Roman" w:hAnsi="Times New Roman" w:cs="Times New Roman" w:eastAsia="Times New Roman" w:hint="default"/>
        </w:rPr>
        <w:t>3</w:t>
      </w:r>
      <w:r>
        <w:rPr/>
        <w:t>．长期股权投资核算方法的转换</w:t>
      </w:r>
    </w:p>
    <w:p>
      <w:pPr>
        <w:pStyle w:val="BodyText"/>
        <w:spacing w:line="300" w:lineRule="auto" w:before="63"/>
        <w:ind w:left="513" w:right="93"/>
        <w:jc w:val="left"/>
      </w:pPr>
      <w:r>
        <w:rPr/>
        <w:t>（</w:t>
      </w:r>
      <w:r>
        <w:rPr>
          <w:rFonts w:ascii="Times New Roman" w:hAnsi="Times New Roman" w:cs="Times New Roman" w:eastAsia="Times New Roman" w:hint="default"/>
        </w:rPr>
        <w:t>1</w:t>
      </w:r>
      <w:r>
        <w:rPr/>
        <w:t>）公允价值计量转权益法核算 </w:t>
      </w:r>
      <w:r>
        <w:rPr>
          <w:spacing w:val="-2"/>
        </w:rPr>
        <w:t>本公司原持有的对被投资单位不具有控制、共同控制或重大影响的按金融工具确认和计量准则进行会计处理的权益性投</w:t>
      </w:r>
    </w:p>
    <w:p>
      <w:pPr>
        <w:pStyle w:val="BodyText"/>
        <w:spacing w:line="300" w:lineRule="auto" w:before="31"/>
        <w:ind w:right="93"/>
        <w:jc w:val="left"/>
      </w:pPr>
      <w:r>
        <w:rPr>
          <w:spacing w:val="-2"/>
        </w:rPr>
        <w:t>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w:t>
      </w:r>
      <w:r>
        <w:rPr>
          <w:spacing w:val="-60"/>
        </w:rPr>
        <w:t> </w:t>
      </w:r>
      <w:r>
        <w:rPr/>
        <w:t>融工具确认和计量》确定的原持有的股权投资的公允价值加上新增投资成本之和，作为改按权益法核算的初始投资成本。</w:t>
      </w:r>
    </w:p>
    <w:p>
      <w:pPr>
        <w:pStyle w:val="BodyText"/>
        <w:spacing w:line="240" w:lineRule="auto" w:before="31"/>
        <w:ind w:left="513" w:right="0"/>
        <w:jc w:val="left"/>
      </w:pPr>
      <w:r>
        <w:rPr/>
        <w:t>原持有的股权投资分类为可供出售金融资产的，其公允价值与账面价值之间的差额，以及原计入其他综合收益的累计公</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273" w:hanging="361"/>
        <w:jc w:val="left"/>
      </w:pPr>
      <w:r>
        <w:rPr/>
        <w:t>允价值变动转入改按权益法核算的当期损益。 按权益法核算的初始投资成本小于按照追加投资后全新的持股比例计算确定的应享有被投资单位在追加投资日可辨认</w:t>
      </w:r>
    </w:p>
    <w:p>
      <w:pPr>
        <w:pStyle w:val="BodyText"/>
        <w:spacing w:line="240" w:lineRule="auto" w:before="17"/>
        <w:ind w:right="93"/>
        <w:jc w:val="left"/>
      </w:pPr>
      <w:r>
        <w:rPr/>
        <w:t>净资产公允价值份额之间的差额，调整长期股权投资的账面价值，并计入当期营业外收入。</w:t>
      </w:r>
    </w:p>
    <w:p>
      <w:pPr>
        <w:pStyle w:val="BodyText"/>
        <w:spacing w:line="300" w:lineRule="auto" w:before="76"/>
        <w:ind w:left="513" w:right="93"/>
        <w:jc w:val="left"/>
      </w:pPr>
      <w:r>
        <w:rPr/>
        <w:t>（</w:t>
      </w:r>
      <w:r>
        <w:rPr>
          <w:rFonts w:ascii="Times New Roman" w:hAnsi="Times New Roman" w:cs="Times New Roman" w:eastAsia="Times New Roman" w:hint="default"/>
        </w:rPr>
        <w:t>2</w:t>
      </w:r>
      <w:r>
        <w:rPr/>
        <w:t>）公允价值计量或权益法核算转成本法核算 </w:t>
      </w:r>
      <w:r>
        <w:rPr>
          <w:spacing w:val="-2"/>
        </w:rPr>
        <w:t>本公司原持有的对被投资单位不具有控制、共同控制或重大影响的按金融工具确认和计量准则进行会计处理的权益性投</w:t>
      </w:r>
    </w:p>
    <w:p>
      <w:pPr>
        <w:pStyle w:val="BodyText"/>
        <w:spacing w:line="316" w:lineRule="auto" w:before="31"/>
        <w:ind w:right="93"/>
        <w:jc w:val="left"/>
      </w:pP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w:t>
      </w:r>
    </w:p>
    <w:p>
      <w:pPr>
        <w:pStyle w:val="BodyText"/>
        <w:spacing w:line="316" w:lineRule="auto" w:before="19"/>
        <w:ind w:right="93" w:firstLine="360"/>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300" w:lineRule="auto" w:before="19"/>
        <w:ind w:right="93" w:firstLine="36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t> 其他综合收益的累计公允价值变动在改按成本法核算时转入当期损益。</w:t>
      </w:r>
    </w:p>
    <w:p>
      <w:pPr>
        <w:pStyle w:val="BodyText"/>
        <w:spacing w:line="300" w:lineRule="auto" w:before="31"/>
        <w:ind w:left="513" w:right="93"/>
        <w:jc w:val="left"/>
      </w:pPr>
      <w:r>
        <w:rPr/>
        <w:t>（</w:t>
      </w:r>
      <w:r>
        <w:rPr>
          <w:rFonts w:ascii="Times New Roman" w:hAnsi="Times New Roman" w:cs="Times New Roman" w:eastAsia="Times New Roman" w:hint="default"/>
        </w:rPr>
        <w:t>3</w:t>
      </w:r>
      <w:r>
        <w:rPr/>
        <w:t>）权益法核算转公允价值计量 </w:t>
      </w:r>
      <w:r>
        <w:rPr>
          <w:spacing w:val="-2"/>
        </w:rPr>
        <w:t>本公司因处置部分股权投资等原因丧失了对被投资单位的共同控制或重大影响的，处置后的剩余股权改按《企业会计准</w:t>
      </w:r>
    </w:p>
    <w:p>
      <w:pPr>
        <w:pStyle w:val="BodyText"/>
        <w:spacing w:line="300" w:lineRule="auto" w:before="32"/>
        <w:ind w:right="93"/>
        <w:jc w:val="left"/>
      </w:pPr>
      <w:r>
        <w:rPr>
          <w:spacing w:val="-2"/>
        </w:rPr>
        <w:t>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金融工具确认和计量》核算，其在丧失共同控制或重大影响之日的公允价值与账面价值之间的差额计入当期损</w:t>
      </w:r>
      <w:r>
        <w:rPr>
          <w:spacing w:val="-64"/>
        </w:rPr>
        <w:t> </w:t>
      </w:r>
      <w:r>
        <w:rPr>
          <w:spacing w:val="-64"/>
        </w:rPr>
      </w:r>
      <w:r>
        <w:rPr/>
        <w:t>益。</w:t>
      </w:r>
    </w:p>
    <w:p>
      <w:pPr>
        <w:pStyle w:val="BodyText"/>
        <w:spacing w:line="316" w:lineRule="auto" w:before="31"/>
        <w:ind w:right="192" w:firstLine="360"/>
        <w:jc w:val="both"/>
      </w:pPr>
      <w:r>
        <w:rPr>
          <w:spacing w:val="-2"/>
        </w:rPr>
        <w:t>原股权投资因采用权益法核算而确认的其他综合收益，在终止采用权益法核算时采用与被投资单位直接处置相关资产或</w:t>
      </w:r>
      <w:r>
        <w:rPr/>
        <w:t> 负债相同的基础进行会计处理。</w:t>
      </w:r>
    </w:p>
    <w:p>
      <w:pPr>
        <w:pStyle w:val="BodyText"/>
        <w:spacing w:line="300" w:lineRule="auto" w:before="19"/>
        <w:ind w:left="513" w:right="93"/>
        <w:jc w:val="left"/>
      </w:pPr>
      <w:r>
        <w:rPr/>
        <w:t>（</w:t>
      </w:r>
      <w:r>
        <w:rPr>
          <w:rFonts w:ascii="Times New Roman" w:hAnsi="Times New Roman" w:cs="Times New Roman" w:eastAsia="Times New Roman" w:hint="default"/>
        </w:rPr>
        <w:t>4</w:t>
      </w:r>
      <w:r>
        <w:rPr/>
        <w:t>）成本法转权益法 </w:t>
      </w:r>
      <w:r>
        <w:rPr>
          <w:spacing w:val="-2"/>
        </w:rPr>
        <w:t>本公司因处置部分权益性投资等原因丧失了对被投资单位的控制的，在编制个别财务报表时，处置后的剩余股权能够对</w:t>
      </w:r>
    </w:p>
    <w:p>
      <w:pPr>
        <w:pStyle w:val="BodyText"/>
        <w:spacing w:line="240" w:lineRule="auto" w:before="31"/>
        <w:ind w:right="0"/>
        <w:jc w:val="left"/>
      </w:pPr>
      <w:r>
        <w:rPr/>
        <w:t>被投资单位实施共同控制或施加重大影响的，改按权益法核算，并对该剩余股权视同自取得时即采用权益法核算进行调整。</w:t>
      </w:r>
    </w:p>
    <w:p>
      <w:pPr>
        <w:pStyle w:val="BodyText"/>
        <w:spacing w:line="300" w:lineRule="auto" w:before="76"/>
        <w:ind w:left="513" w:right="93"/>
        <w:jc w:val="left"/>
      </w:pPr>
      <w:r>
        <w:rPr/>
        <w:t>（</w:t>
      </w:r>
      <w:r>
        <w:rPr>
          <w:rFonts w:ascii="Times New Roman" w:hAnsi="Times New Roman" w:cs="Times New Roman" w:eastAsia="Times New Roman" w:hint="default"/>
        </w:rPr>
        <w:t>5</w:t>
      </w:r>
      <w:r>
        <w:rPr/>
        <w:t>）成本法转公允价值计量 </w:t>
      </w:r>
      <w:r>
        <w:rPr>
          <w:spacing w:val="-2"/>
        </w:rPr>
        <w:t>本公司因处置部分权益性投资等原因丧失了对被投资单位的控制的，在编制个别财务报表时，处置后的剩余股权不能对</w:t>
      </w:r>
    </w:p>
    <w:p>
      <w:pPr>
        <w:pStyle w:val="BodyText"/>
        <w:spacing w:line="300" w:lineRule="auto" w:before="31"/>
        <w:ind w:right="93"/>
        <w:jc w:val="left"/>
      </w:pPr>
      <w:r>
        <w:rPr>
          <w:spacing w:val="-2"/>
        </w:rPr>
        <w:t>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w:t>
      </w:r>
      <w:r>
        <w:rPr>
          <w:spacing w:val="-64"/>
        </w:rPr>
        <w:t> </w:t>
      </w:r>
      <w:r>
        <w:rPr>
          <w:spacing w:val="-64"/>
        </w:rPr>
      </w:r>
      <w:r>
        <w:rPr/>
        <w:t>理，其在丧失控制之日的公允价值与账面价值间的差额计入当期损益。</w:t>
      </w:r>
    </w:p>
    <w:p>
      <w:pPr>
        <w:pStyle w:val="BodyText"/>
        <w:spacing w:line="300" w:lineRule="auto" w:before="31"/>
        <w:ind w:left="513" w:right="93"/>
        <w:jc w:val="left"/>
      </w:pPr>
      <w:r>
        <w:rPr>
          <w:rFonts w:ascii="Times New Roman" w:hAnsi="Times New Roman" w:cs="Times New Roman" w:eastAsia="Times New Roman" w:hint="default"/>
        </w:rPr>
        <w:t>4</w:t>
      </w:r>
      <w:r>
        <w:rPr/>
        <w:t>．长期股权投资的处置 </w:t>
      </w:r>
      <w:r>
        <w:rPr>
          <w:spacing w:val="-2"/>
        </w:rPr>
        <w:t>处置长期股权投资，其账面价值与实际取得价款之间的差额，应当计入当期损益。采用权益法核算的长期股权投资，在</w:t>
      </w:r>
    </w:p>
    <w:p>
      <w:pPr>
        <w:pStyle w:val="BodyText"/>
        <w:spacing w:line="316" w:lineRule="auto" w:before="31"/>
        <w:ind w:right="93"/>
        <w:jc w:val="left"/>
      </w:pP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16" w:lineRule="auto" w:before="19"/>
        <w:ind w:right="192" w:firstLine="360"/>
        <w:jc w:val="both"/>
      </w:pPr>
      <w:r>
        <w:rPr>
          <w:spacing w:val="-2"/>
        </w:rPr>
        <w:t>处置对子公司股权投资的各项交易的条款、条件以及经济影响符合以下一种或多种情况，将多次交易事项作为一揽子交</w:t>
      </w:r>
      <w:r>
        <w:rPr/>
        <w:t> 易进行会计处理：</w:t>
      </w:r>
    </w:p>
    <w:p>
      <w:pPr>
        <w:pStyle w:val="BodyText"/>
        <w:spacing w:line="240" w:lineRule="auto" w:before="19"/>
        <w:ind w:left="513" w:right="93"/>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3"/>
        <w:ind w:left="513" w:right="93"/>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left="513" w:right="93"/>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300" w:lineRule="auto" w:before="63"/>
        <w:ind w:left="513" w:right="93"/>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2"/>
        </w:rPr>
        <w:t>因处置部分股权投资或其他原因丧失了对原有子公司控制权的，不属于一揽子交易的，区分个别财务报表和合并财务报</w:t>
      </w:r>
    </w:p>
    <w:p>
      <w:pPr>
        <w:pStyle w:val="BodyText"/>
        <w:spacing w:line="240" w:lineRule="auto" w:before="31"/>
        <w:ind w:right="93"/>
        <w:jc w:val="left"/>
      </w:pPr>
      <w:r>
        <w:rPr/>
        <w:t>表进行相关会计处理：</w:t>
      </w:r>
    </w:p>
    <w:p>
      <w:pPr>
        <w:pStyle w:val="BodyText"/>
        <w:spacing w:line="307" w:lineRule="auto" w:before="76"/>
        <w:ind w:right="191" w:firstLine="36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 </w:t>
      </w:r>
      <w:r>
        <w:rPr>
          <w:spacing w:val="-2"/>
        </w:rPr>
        <w:t>能够对被投资单位实施共同控制或施加重大影响的，改按权益法核算，并对该剩余股权视同自取得时即采用权益法核算进行</w:t>
      </w:r>
      <w:r>
        <w:rPr>
          <w:spacing w:val="-63"/>
        </w:rPr>
        <w:t> </w:t>
      </w:r>
      <w:r>
        <w:rPr>
          <w:spacing w:val="-63"/>
        </w:rPr>
      </w:r>
      <w:r>
        <w:rPr>
          <w:spacing w:val="-2"/>
        </w:rPr>
        <w:t>调整；处置后的剩余股权不能对被投资单位实施共同控制或施加重大影响的，改按《企业会计准则第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w:t>
      </w:r>
      <w:r>
        <w:rPr>
          <w:spacing w:val="-63"/>
        </w:rPr>
        <w:t> </w:t>
      </w:r>
      <w:r>
        <w:rPr>
          <w:spacing w:val="-63"/>
        </w:rPr>
      </w:r>
      <w:r>
        <w:rPr/>
        <w:t>和计量》的有关规定进行会计处理，其在丧失控制之日的公允价值与账面价值间的差额计入当期损益。</w:t>
      </w:r>
    </w:p>
    <w:p>
      <w:pPr>
        <w:pStyle w:val="BodyText"/>
        <w:spacing w:line="312" w:lineRule="auto" w:before="26"/>
        <w:ind w:right="190" w:firstLine="36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 </w:t>
      </w:r>
      <w:r>
        <w:rPr>
          <w:spacing w:val="-2"/>
        </w:rPr>
        <w:t>司自购买日或合并日开始持续计算的净资产份额之间的差额，调整资本公积（股本溢价），资本公积不足冲减的，调整留存</w:t>
      </w:r>
      <w:r>
        <w:rPr>
          <w:spacing w:val="-65"/>
        </w:rPr>
        <w:t> </w:t>
      </w:r>
      <w:r>
        <w:rPr>
          <w:spacing w:val="-65"/>
        </w:rPr>
      </w:r>
      <w:r>
        <w:rPr>
          <w:spacing w:val="-2"/>
        </w:rPr>
        <w:t>收益；在丧失对子公司控制权时，对于剩余股权，按照其在丧失控制权日的公允价值进行重新计量。处置股权取得的对价与</w:t>
      </w:r>
      <w:r>
        <w:rPr>
          <w:spacing w:val="-63"/>
        </w:rPr>
        <w:t> </w:t>
      </w:r>
      <w:r>
        <w:rPr>
          <w:spacing w:val="-63"/>
        </w:rPr>
      </w:r>
      <w:r>
        <w:rPr>
          <w:spacing w:val="-2"/>
        </w:rPr>
        <w:t>剩余股权公允价值之和，减去按原持股比例计算应享有原有子公司自购买日开始持续计算的净资产的份额之间的差额，计入</w:t>
      </w:r>
    </w:p>
    <w:p>
      <w:pPr>
        <w:spacing w:after="0" w:line="312"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3"/>
        <w:jc w:val="left"/>
      </w:pPr>
      <w:r>
        <w:rPr>
          <w:spacing w:val="-2"/>
        </w:rPr>
        <w:t>丧失控制权当期的投资收益，同时冲减商誉。与原有子公司股权投资相关的其他综合收益等，在丧失控制权时转为当期投资</w:t>
      </w:r>
      <w:r>
        <w:rPr>
          <w:spacing w:val="-63"/>
        </w:rPr>
        <w:t> </w:t>
      </w:r>
      <w:r>
        <w:rPr>
          <w:spacing w:val="-63"/>
        </w:rPr>
      </w:r>
      <w:r>
        <w:rPr/>
        <w:t>收益。</w:t>
      </w:r>
    </w:p>
    <w:p>
      <w:pPr>
        <w:pStyle w:val="BodyText"/>
        <w:spacing w:line="316" w:lineRule="auto" w:before="17"/>
        <w:ind w:right="93" w:firstLine="360"/>
        <w:jc w:val="left"/>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300" w:lineRule="auto" w:before="19"/>
        <w:ind w:right="184" w:firstLine="360"/>
        <w:jc w:val="left"/>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 确认为其他综合收益，在丧失控制权时一并转入丧失控制权当期的损益。</w:t>
      </w:r>
    </w:p>
    <w:p>
      <w:pPr>
        <w:pStyle w:val="BodyText"/>
        <w:spacing w:line="300" w:lineRule="auto" w:before="31"/>
        <w:ind w:right="184" w:firstLine="360"/>
        <w:jc w:val="left"/>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 为其他综合收益，在丧失控制权时一并转入丧失控制权当期的损益。</w:t>
      </w:r>
    </w:p>
    <w:p>
      <w:pPr>
        <w:pStyle w:val="BodyText"/>
        <w:spacing w:line="300" w:lineRule="auto" w:before="31"/>
        <w:ind w:left="513" w:right="93"/>
        <w:jc w:val="left"/>
      </w:pPr>
      <w:r>
        <w:rPr>
          <w:rFonts w:ascii="Times New Roman" w:hAnsi="Times New Roman" w:cs="Times New Roman" w:eastAsia="Times New Roman" w:hint="default"/>
        </w:rPr>
        <w:t>5</w:t>
      </w:r>
      <w:r>
        <w:rPr/>
        <w:t>．共同控制、重大影响的判断标准 </w:t>
      </w:r>
      <w:r>
        <w:rPr>
          <w:spacing w:val="-2"/>
        </w:rPr>
        <w:t>如果本公司按照相关约定与其他参与方集体控制某项安排，并且对该安排回报具有重大影响的活动决策，需要经过分享</w:t>
      </w:r>
    </w:p>
    <w:p>
      <w:pPr>
        <w:pStyle w:val="BodyText"/>
        <w:spacing w:line="316" w:lineRule="auto" w:before="31"/>
        <w:ind w:left="513" w:right="93" w:hanging="361"/>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319" w:lineRule="auto" w:before="19"/>
        <w:ind w:right="93"/>
        <w:jc w:val="left"/>
      </w:pPr>
      <w:r>
        <w:rPr>
          <w:spacing w:val="-2"/>
        </w:rPr>
        <w:t>业，采用权益法核算。若根据相关约定判断本公司并非对该单独主体的净资产享有权利时，该单独主体作为共同经营，本公</w:t>
      </w:r>
      <w:r>
        <w:rPr>
          <w:spacing w:val="-66"/>
        </w:rPr>
        <w:t> </w:t>
      </w:r>
      <w:r>
        <w:rPr>
          <w:spacing w:val="-66"/>
        </w:rPr>
      </w:r>
      <w:r>
        <w:rPr/>
        <w:t>司确认与共同经营利益份额相关的项目，并按照相关企业会计准则的规定进行会计处理。</w:t>
      </w:r>
    </w:p>
    <w:p>
      <w:pPr>
        <w:pStyle w:val="BodyText"/>
        <w:spacing w:line="307" w:lineRule="auto" w:before="17"/>
        <w:ind w:right="93" w:firstLine="360"/>
        <w:jc w:val="left"/>
      </w:pPr>
      <w:r>
        <w:rPr>
          <w:spacing w:val="-2"/>
        </w:rPr>
        <w:t>重大影响，是指投资方对被投资单位的财务和经营政策有参与决策的权力，但并不能够控制或者与其他方一起共同控制</w:t>
      </w:r>
      <w:r>
        <w:rPr/>
        <w:t> </w:t>
      </w:r>
      <w:r>
        <w:rPr>
          <w:spacing w:val="-2"/>
        </w:rPr>
        <w:t>这些政策的制定。本公司通过以下一种或多种情形，并综合考虑所有事实和情况后，判断对被投资单位具有重大影响。（</w:t>
      </w:r>
      <w:r>
        <w:rPr>
          <w:rFonts w:ascii="Times New Roman" w:hAnsi="Times New Roman" w:cs="Times New Roman" w:eastAsia="Times New Roman" w:hint="default"/>
          <w:spacing w:val="-2"/>
        </w:rPr>
        <w:t>1</w:t>
      </w:r>
      <w:r>
        <w:rPr>
          <w:spacing w:val="-2"/>
        </w:rPr>
        <w:t>）</w:t>
      </w:r>
      <w:r>
        <w:rPr>
          <w:spacing w:val="-63"/>
        </w:rPr>
        <w:t> </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w:t>
      </w:r>
      <w:r>
        <w:rPr>
          <w:spacing w:val="-64"/>
        </w:rPr>
        <w:t> </w:t>
      </w:r>
      <w:r>
        <w:rPr>
          <w:spacing w:val="-64"/>
        </w:rPr>
      </w:r>
      <w:r>
        <w:rPr/>
        <w:t>间发生重要交易；（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40" w:lineRule="auto" w:before="12"/>
        <w:rPr>
          <w:rFonts w:ascii="宋体" w:hAnsi="宋体" w:cs="宋体" w:eastAsia="宋体" w:hint="default"/>
          <w:sz w:val="21"/>
          <w:szCs w:val="21"/>
        </w:rPr>
      </w:pPr>
    </w:p>
    <w:p>
      <w:pPr>
        <w:pStyle w:val="Heading3"/>
        <w:spacing w:line="240" w:lineRule="auto"/>
        <w:ind w:right="93"/>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7653"/>
        <w:jc w:val="left"/>
      </w:pPr>
      <w:r>
        <w:rPr/>
        <w:t>投资性房地产计量模式 成本法计量 折旧或摊销方法</w:t>
      </w:r>
    </w:p>
    <w:p>
      <w:pPr>
        <w:pStyle w:val="BodyText"/>
        <w:spacing w:line="319" w:lineRule="auto" w:before="29"/>
        <w:ind w:right="93" w:firstLine="360"/>
        <w:jc w:val="left"/>
      </w:pPr>
      <w:r>
        <w:rPr>
          <w:spacing w:val="-2"/>
        </w:rPr>
        <w:t>投资性房地产是指为赚取租金或资本增值，或两者兼有而持有的房地产，包括已出租的土地使用权、持有并准备增值后</w:t>
      </w:r>
      <w:r>
        <w:rPr/>
        <w:t> 转让的土地使用权、已出租的建筑物。</w:t>
      </w:r>
    </w:p>
    <w:p>
      <w:pPr>
        <w:pStyle w:val="BodyText"/>
        <w:spacing w:line="316" w:lineRule="auto" w:before="17"/>
        <w:ind w:right="93" w:firstLine="360"/>
        <w:jc w:val="left"/>
      </w:pPr>
      <w:r>
        <w:rPr>
          <w:spacing w:val="-2"/>
        </w:rPr>
        <w:t>本公司的投资性房地产按其成本作为入账价值，外购投资性房地产的成本包括购买价款、相关税费和可直接归属于该资</w:t>
      </w:r>
      <w:r>
        <w:rPr/>
        <w:t> 产的其他支出；自行建造投资性房地产的成本，由建造该项资产达到预定可使用状态前所发生的必要支出构成。</w:t>
      </w:r>
    </w:p>
    <w:p>
      <w:pPr>
        <w:pStyle w:val="BodyText"/>
        <w:spacing w:line="316" w:lineRule="auto" w:before="19"/>
        <w:ind w:right="93" w:firstLine="360"/>
        <w:jc w:val="left"/>
      </w:pPr>
      <w:r>
        <w:rPr>
          <w:spacing w:val="-2"/>
        </w:rPr>
        <w:t>本公司对投资性房地产采用成本模式进行后续计量，按其预计使用寿命及净残值率对建筑物和土地使用权计提折旧或摊</w:t>
      </w:r>
      <w:r>
        <w:rPr/>
        <w:t> 销。投资性房地产的预计使用寿命、净残值率及年折旧（摊销）率列示如下：</w:t>
      </w:r>
    </w:p>
    <w:p>
      <w:pPr>
        <w:spacing w:line="240" w:lineRule="auto" w:before="9"/>
        <w:rPr>
          <w:rFonts w:ascii="宋体" w:hAnsi="宋体" w:cs="宋体" w:eastAsia="宋体" w:hint="default"/>
          <w:sz w:val="7"/>
          <w:szCs w:val="7"/>
        </w:rPr>
      </w:pPr>
    </w:p>
    <w:p>
      <w:pPr>
        <w:spacing w:line="750" w:lineRule="exact"/>
        <w:ind w:left="153" w:right="0" w:firstLine="0"/>
        <w:rPr>
          <w:rFonts w:ascii="宋体" w:hAnsi="宋体" w:cs="宋体" w:eastAsia="宋体" w:hint="default"/>
          <w:sz w:val="20"/>
          <w:szCs w:val="20"/>
        </w:rPr>
      </w:pPr>
      <w:r>
        <w:rPr>
          <w:rFonts w:ascii="宋体" w:hAnsi="宋体" w:cs="宋体" w:eastAsia="宋体" w:hint="default"/>
          <w:position w:val="-14"/>
          <w:sz w:val="20"/>
          <w:szCs w:val="20"/>
        </w:rPr>
        <w:drawing>
          <wp:inline distT="0" distB="0" distL="0" distR="0">
            <wp:extent cx="5449923" cy="4762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0" cstate="print"/>
                    <a:stretch>
                      <a:fillRect/>
                    </a:stretch>
                  </pic:blipFill>
                  <pic:spPr>
                    <a:xfrm>
                      <a:off x="0" y="0"/>
                      <a:ext cx="5449923" cy="476250"/>
                    </a:xfrm>
                    <a:prstGeom prst="rect">
                      <a:avLst/>
                    </a:prstGeom>
                  </pic:spPr>
                </pic:pic>
              </a:graphicData>
            </a:graphic>
          </wp:inline>
        </w:drawing>
      </w:r>
      <w:r>
        <w:rPr>
          <w:rFonts w:ascii="宋体" w:hAnsi="宋体" w:cs="宋体" w:eastAsia="宋体" w:hint="default"/>
          <w:position w:val="-14"/>
          <w:sz w:val="20"/>
          <w:szCs w:val="20"/>
        </w:rPr>
      </w:r>
    </w:p>
    <w:p>
      <w:pPr>
        <w:pStyle w:val="BodyText"/>
        <w:spacing w:line="316" w:lineRule="auto" w:before="104"/>
        <w:ind w:right="192" w:firstLine="360"/>
        <w:jc w:val="both"/>
      </w:pPr>
      <w:r>
        <w:rPr>
          <w:spacing w:val="-2"/>
        </w:rPr>
        <w:t>投资性房地产的用途改变为自用时，自改变之日起，本公司将该投资性房地产转换为固定资产或无形资产。自用房地产</w:t>
      </w:r>
      <w:r>
        <w:rPr/>
        <w:t> </w:t>
      </w:r>
      <w:r>
        <w:rPr>
          <w:spacing w:val="-2"/>
        </w:rPr>
        <w:t>的用途改变为赚取租金或资本增值时，自改变之日起，本公司将固定资产或无形资产转换为投资性房地产。发生转换时，以</w:t>
      </w:r>
      <w:r>
        <w:rPr>
          <w:spacing w:val="-66"/>
        </w:rPr>
        <w:t> </w:t>
      </w:r>
      <w:r>
        <w:rPr>
          <w:spacing w:val="-66"/>
        </w:rPr>
      </w:r>
      <w:r>
        <w:rPr/>
        <w:t>转换前的账面价值作为转换后的入账价值。</w:t>
      </w:r>
    </w:p>
    <w:p>
      <w:pPr>
        <w:pStyle w:val="BodyText"/>
        <w:spacing w:line="319" w:lineRule="auto" w:before="16"/>
        <w:ind w:right="93" w:firstLine="360"/>
        <w:jc w:val="left"/>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性房地产出售、转让、报废或毁损的处置收入扣除其账面价值和相关税费后的金额计入当期损益。</w:t>
      </w:r>
    </w:p>
    <w:p>
      <w:pPr>
        <w:spacing w:line="240" w:lineRule="auto" w:before="9"/>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固定资产指为生产商品、提供劳务、出租或经营管理而持有，并且使用寿命超过一个会计年度的有形资产。固定资产在同时</w:t>
      </w:r>
    </w:p>
    <w:p>
      <w:pPr>
        <w:spacing w:after="0" w:line="240" w:lineRule="auto"/>
        <w:jc w:val="left"/>
        <w:sectPr>
          <w:footerReference w:type="default" r:id="rId19"/>
          <w:pgSz w:w="11910" w:h="16840"/>
          <w:pgMar w:footer="980" w:header="745"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pPr>
      <w:r>
        <w:rPr/>
        <w:t>满足下列条件时予以确认</w:t>
      </w:r>
      <w:r>
        <w:rPr>
          <w:spacing w:val="-92"/>
        </w:rPr>
        <w:t>：</w:t>
      </w:r>
      <w:r>
        <w:rPr/>
        <w:t>（</w:t>
      </w:r>
      <w:r>
        <w:rPr>
          <w:rFonts w:ascii="Times New Roman" w:hAnsi="Times New Roman" w:cs="Times New Roman" w:eastAsia="Times New Roman" w:hint="default"/>
          <w:spacing w:val="1"/>
        </w:rPr>
        <w:t>1</w:t>
      </w:r>
      <w:r>
        <w:rPr/>
        <w:t>）与该固定资产有关的经济利益很可能流入企业</w:t>
      </w:r>
      <w:r>
        <w:rPr>
          <w:spacing w:val="-92"/>
        </w:rPr>
        <w:t>；</w:t>
      </w:r>
      <w:r>
        <w:rPr>
          <w:spacing w:val="1"/>
        </w:rPr>
        <w:t>（</w:t>
      </w:r>
      <w:r>
        <w:rPr>
          <w:rFonts w:ascii="Times New Roman" w:hAnsi="Times New Roman" w:cs="Times New Roman" w:eastAsia="Times New Roman" w:hint="default"/>
          <w:spacing w:val="1"/>
        </w:rPr>
        <w:t>2</w:t>
      </w:r>
      <w:r>
        <w:rPr/>
        <w:t>）该固定资产的成本能够可靠地计量。</w:t>
      </w:r>
    </w:p>
    <w:p>
      <w:pPr>
        <w:spacing w:line="240" w:lineRule="auto" w:before="2"/>
        <w:rPr>
          <w:rFonts w:ascii="宋体" w:hAnsi="宋体" w:cs="宋体" w:eastAsia="宋体" w:hint="default"/>
          <w:sz w:val="26"/>
          <w:szCs w:val="26"/>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4.75-2.38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19-31.67</w:t>
            </w:r>
          </w:p>
        </w:tc>
      </w:tr>
    </w:tbl>
    <w:p>
      <w:pPr>
        <w:spacing w:line="240" w:lineRule="auto" w:before="3"/>
        <w:rPr>
          <w:rFonts w:ascii="宋体" w:hAnsi="宋体" w:cs="宋体" w:eastAsia="宋体" w:hint="default"/>
          <w:b/>
          <w:bCs/>
          <w:sz w:val="19"/>
          <w:szCs w:val="19"/>
        </w:rPr>
      </w:pPr>
    </w:p>
    <w:p>
      <w:pPr>
        <w:pStyle w:val="Heading3"/>
        <w:spacing w:line="240" w:lineRule="auto" w:before="36"/>
        <w:ind w:right="9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93" w:firstLine="360"/>
        <w:jc w:val="left"/>
      </w:pPr>
      <w:r>
        <w:rPr>
          <w:spacing w:val="-4"/>
        </w:rPr>
        <w:t>当本公司租入的固定资产符合下列一项或数项标准时，确认为融资租入固定资产：（</w:t>
      </w:r>
      <w:r>
        <w:rPr>
          <w:rFonts w:ascii="Times New Roman" w:hAnsi="Times New Roman" w:cs="Times New Roman" w:eastAsia="Times New Roman" w:hint="default"/>
          <w:spacing w:val="-4"/>
        </w:rPr>
        <w:t>1</w:t>
      </w:r>
      <w:r>
        <w:rPr>
          <w:spacing w:val="-4"/>
        </w:rPr>
        <w:t>）在租赁期届满时，租赁资产的所</w:t>
      </w:r>
      <w:r>
        <w:rPr/>
        <w:t> </w:t>
      </w:r>
      <w:r>
        <w:rPr>
          <w:spacing w:val="-4"/>
        </w:rPr>
        <w:t>有权转移给本公司。（</w:t>
      </w:r>
      <w:r>
        <w:rPr>
          <w:rFonts w:ascii="Times New Roman" w:hAnsi="Times New Roman" w:cs="Times New Roman" w:eastAsia="Times New Roman" w:hint="default"/>
          <w:spacing w:val="-4"/>
        </w:rPr>
        <w:t>2</w:t>
      </w:r>
      <w:r>
        <w:rPr>
          <w:spacing w:val="-4"/>
        </w:rPr>
        <w:t>）本公司有购买租赁资产的选择权，所订立的购买价款预计将远低于行使选择权时租赁资产的公允价</w:t>
      </w:r>
      <w:r>
        <w:rPr>
          <w:spacing w:val="-44"/>
        </w:rPr>
        <w:t> </w:t>
      </w:r>
      <w:r>
        <w:rPr>
          <w:spacing w:val="-44"/>
        </w:rPr>
      </w:r>
      <w:r>
        <w:rPr>
          <w:spacing w:val="-4"/>
        </w:rPr>
        <w:t>值，因而在租赁开始日就可以合理确定本公司将会行使这种选择权。（</w:t>
      </w:r>
      <w:r>
        <w:rPr>
          <w:rFonts w:ascii="Times New Roman" w:hAnsi="Times New Roman" w:cs="Times New Roman" w:eastAsia="Times New Roman" w:hint="default"/>
          <w:spacing w:val="-4"/>
        </w:rPr>
        <w:t>3</w:t>
      </w:r>
      <w:r>
        <w:rPr>
          <w:spacing w:val="-4"/>
        </w:rPr>
        <w:t>）即使资产的所有权不转移，但租赁期占租赁资产使</w:t>
      </w:r>
      <w:r>
        <w:rPr>
          <w:spacing w:val="-41"/>
        </w:rPr>
        <w:t> </w:t>
      </w:r>
      <w:r>
        <w:rPr>
          <w:spacing w:val="-41"/>
        </w:rPr>
      </w:r>
      <w:r>
        <w:rPr>
          <w:spacing w:val="-5"/>
        </w:rPr>
        <w:t>用寿命的大部分。（</w:t>
      </w:r>
      <w:r>
        <w:rPr>
          <w:rFonts w:ascii="Times New Roman" w:hAnsi="Times New Roman" w:cs="Times New Roman" w:eastAsia="Times New Roman" w:hint="default"/>
          <w:spacing w:val="-5"/>
        </w:rPr>
        <w:t>4</w:t>
      </w:r>
      <w:r>
        <w:rPr>
          <w:spacing w:val="-5"/>
        </w:rPr>
        <w:t>）本公司在租赁开始日的最低租赁付款额现值，几乎相当于租赁开始日租赁资产公允价值。（</w:t>
      </w:r>
      <w:r>
        <w:rPr>
          <w:rFonts w:ascii="Times New Roman" w:hAnsi="Times New Roman" w:cs="Times New Roman" w:eastAsia="Times New Roman" w:hint="default"/>
          <w:spacing w:val="-5"/>
        </w:rPr>
        <w:t>5</w:t>
      </w:r>
      <w:r>
        <w:rPr>
          <w:spacing w:val="-5"/>
        </w:rPr>
        <w:t>）租赁资</w:t>
      </w:r>
      <w:r>
        <w:rPr>
          <w:spacing w:val="-74"/>
        </w:rPr>
        <w:t> </w:t>
      </w:r>
      <w:r>
        <w:rPr>
          <w:spacing w:val="-74"/>
        </w:rPr>
      </w:r>
      <w:r>
        <w:rPr>
          <w:spacing w:val="-2"/>
        </w:rPr>
        <w:t>产性质特殊，如果不作较大改造，只有本公司才能使用。融资租赁租入的固定资产，按租赁开始日租赁资产公允价值与最低</w:t>
      </w:r>
      <w:r>
        <w:rPr>
          <w:spacing w:val="-64"/>
        </w:rPr>
        <w:t> </w:t>
      </w:r>
      <w:r>
        <w:rPr>
          <w:spacing w:val="-64"/>
        </w:rPr>
      </w:r>
      <w:r>
        <w:rPr>
          <w:spacing w:val="-4"/>
        </w:rPr>
        <w:t>租赁付款额的现值两者中较低者，作为入账价值。最低租赁付款额作为长期应付款的入账价值，其差额作为未确认融资费用。</w:t>
      </w:r>
      <w:r>
        <w:rPr>
          <w:spacing w:val="-44"/>
        </w:rPr>
        <w:t> </w:t>
      </w:r>
      <w:r>
        <w:rPr>
          <w:spacing w:val="-44"/>
        </w:rPr>
      </w:r>
      <w:r>
        <w:rPr>
          <w:spacing w:val="-2"/>
        </w:rPr>
        <w:t>在租赁谈判和签订租赁合同过程中发生的，可归属于租赁项目的手续费、律师费、差旅费、印花税等初始直接费用，计入租</w:t>
      </w:r>
      <w:r>
        <w:rPr>
          <w:spacing w:val="-67"/>
        </w:rPr>
        <w:t> </w:t>
      </w:r>
      <w:r>
        <w:rPr>
          <w:spacing w:val="-67"/>
        </w:rPr>
      </w:r>
      <w:r>
        <w:rPr>
          <w:spacing w:val="-2"/>
        </w:rPr>
        <w:t>入资产价值。未确认融资费用在租赁期内各个期间采用实际利率法进行分摊。本公司采用与自有固定资产相一致的折旧政策</w:t>
      </w:r>
      <w:r>
        <w:rPr>
          <w:spacing w:val="-64"/>
        </w:rPr>
        <w:t> </w:t>
      </w:r>
      <w:r>
        <w:rPr>
          <w:spacing w:val="-64"/>
        </w:rPr>
      </w:r>
      <w:r>
        <w:rPr>
          <w:spacing w:val="-2"/>
        </w:rPr>
        <w:t>计提融资租入固定资产折旧。能够合理确定租赁期届满时取得租赁资产所有权的，在租赁资产使用寿命内计提折旧。无法合</w:t>
      </w:r>
      <w:r>
        <w:rPr>
          <w:spacing w:val="-63"/>
        </w:rPr>
        <w:t> </w:t>
      </w:r>
      <w:r>
        <w:rPr>
          <w:spacing w:val="-63"/>
        </w:rPr>
      </w:r>
      <w:r>
        <w:rPr/>
        <w:t>理确定租赁期届满时能够取得租赁资产所有权的，在租赁期与租赁资产使用寿命两者中较短的期间内计提折旧。</w:t>
      </w:r>
    </w:p>
    <w:p>
      <w:pPr>
        <w:spacing w:line="240" w:lineRule="auto" w:before="3"/>
        <w:rPr>
          <w:rFonts w:ascii="宋体" w:hAnsi="宋体" w:cs="宋体" w:eastAsia="宋体" w:hint="default"/>
          <w:sz w:val="23"/>
          <w:szCs w:val="23"/>
        </w:rPr>
      </w:pPr>
    </w:p>
    <w:p>
      <w:pPr>
        <w:pStyle w:val="Heading3"/>
        <w:spacing w:line="240" w:lineRule="auto"/>
        <w:ind w:right="93"/>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300" w:lineRule="auto" w:before="29"/>
        <w:ind w:left="513" w:right="93"/>
        <w:jc w:val="left"/>
      </w:pPr>
      <w:r>
        <w:rPr>
          <w:rFonts w:ascii="Times New Roman" w:hAnsi="Times New Roman" w:cs="Times New Roman" w:eastAsia="Times New Roman" w:hint="default"/>
        </w:rPr>
        <w:t>1</w:t>
      </w:r>
      <w:r>
        <w:rPr/>
        <w:t>．在建工程初始计量 本公司自行建造的在建工程按实际成本计价，实际成本由建造该项资产达到预定可使用状态前所发生的必要支出构成，</w:t>
      </w:r>
    </w:p>
    <w:p>
      <w:pPr>
        <w:pStyle w:val="BodyText"/>
        <w:spacing w:line="316" w:lineRule="auto" w:before="31"/>
        <w:ind w:right="93"/>
        <w:jc w:val="left"/>
      </w:pPr>
      <w:r>
        <w:rPr>
          <w:spacing w:val="-2"/>
        </w:rPr>
        <w:t>包括工程用物资成本、人工成本、交纳的相关税费、应予资本化的借款费用以及应分摊的间接费用等。本公司的在建工程以</w:t>
      </w:r>
      <w:r>
        <w:rPr>
          <w:spacing w:val="-63"/>
        </w:rPr>
        <w:t> </w:t>
      </w:r>
      <w:r>
        <w:rPr>
          <w:spacing w:val="-63"/>
        </w:rPr>
      </w:r>
      <w:r>
        <w:rPr/>
        <w:t>项目分类核算。</w:t>
      </w:r>
    </w:p>
    <w:p>
      <w:pPr>
        <w:pStyle w:val="BodyText"/>
        <w:spacing w:line="300" w:lineRule="auto" w:before="19"/>
        <w:ind w:left="513" w:right="93"/>
        <w:jc w:val="left"/>
      </w:pPr>
      <w:r>
        <w:rPr>
          <w:rFonts w:ascii="Times New Roman" w:hAnsi="Times New Roman" w:cs="Times New Roman" w:eastAsia="Times New Roman" w:hint="default"/>
        </w:rPr>
        <w:t>2</w:t>
      </w:r>
      <w:r>
        <w:rPr/>
        <w:t>．在建工程结转为固定资产的标准和时点 </w:t>
      </w:r>
      <w:r>
        <w:rPr>
          <w:spacing w:val="-2"/>
        </w:rPr>
        <w:t>在建工程项目按建造该项资产达到预定可使用状态前所发生的全部支出，作为固定资产的入账价值。所建造的在建工程</w:t>
      </w:r>
    </w:p>
    <w:p>
      <w:pPr>
        <w:pStyle w:val="BodyText"/>
        <w:spacing w:line="316" w:lineRule="auto" w:before="31"/>
        <w:ind w:right="93"/>
        <w:jc w:val="left"/>
      </w:pPr>
      <w:r>
        <w:rPr>
          <w:spacing w:val="-4"/>
        </w:rPr>
        <w:t>已达到预定可使用状态，但尚未办理竣工决算的，自达到预定可使用状态之日起，根据工程预算、造价或者工程实际成本等，</w:t>
      </w:r>
      <w:r>
        <w:rPr>
          <w:spacing w:val="-46"/>
        </w:rPr>
        <w:t> </w:t>
      </w:r>
      <w:r>
        <w:rPr>
          <w:spacing w:val="-46"/>
        </w:rPr>
      </w:r>
      <w:r>
        <w:rPr>
          <w:spacing w:val="-2"/>
        </w:rPr>
        <w:t>按估计的价值转入固定资产，并按本公司固定资产折旧政策计提固定资产的折旧，待办理竣工决算后，再按实际成本调整原</w:t>
      </w:r>
      <w:r>
        <w:rPr>
          <w:spacing w:val="-63"/>
        </w:rPr>
        <w:t> </w:t>
      </w:r>
      <w:r>
        <w:rPr>
          <w:spacing w:val="-63"/>
        </w:rPr>
      </w:r>
      <w:r>
        <w:rPr/>
        <w:t>来的暂估价值，但不调整原已计提的折旧额。</w:t>
      </w:r>
    </w:p>
    <w:p>
      <w:pPr>
        <w:spacing w:line="240" w:lineRule="auto" w:before="11"/>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93"/>
        <w:jc w:val="left"/>
      </w:pPr>
      <w:r>
        <w:rPr>
          <w:rFonts w:ascii="Times New Roman" w:hAnsi="Times New Roman" w:cs="Times New Roman" w:eastAsia="Times New Roman" w:hint="default"/>
        </w:rPr>
        <w:t>1</w:t>
      </w:r>
      <w:r>
        <w:rPr/>
        <w:t>．借款费用资本化的确认原则 </w:t>
      </w:r>
      <w:r>
        <w:rPr>
          <w:spacing w:val="-2"/>
        </w:rPr>
        <w:t>本公司发生的借款费用，可直接归属于符合资本化条件的资产的购建或者生产的，予以资本化，计入相关资产成本；其</w:t>
      </w:r>
    </w:p>
    <w:p>
      <w:pPr>
        <w:pStyle w:val="BodyText"/>
        <w:spacing w:line="316" w:lineRule="auto" w:before="31"/>
        <w:ind w:left="513" w:right="273" w:hanging="361"/>
        <w:jc w:val="left"/>
      </w:pPr>
      <w:r>
        <w:rPr/>
        <w:t>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240" w:lineRule="auto" w:before="18"/>
        <w:ind w:right="93"/>
        <w:jc w:val="left"/>
      </w:pPr>
      <w:r>
        <w:rPr/>
        <w:t>产、投资性房地产和存货等资产。</w:t>
      </w:r>
    </w:p>
    <w:p>
      <w:pPr>
        <w:spacing w:after="0" w:line="240" w:lineRule="auto"/>
        <w:jc w:val="left"/>
        <w:sectPr>
          <w:footerReference w:type="default" r:id="rId21"/>
          <w:pgSz w:w="11910" w:h="16840"/>
          <w:pgMar w:footer="980" w:header="745" w:top="1060" w:bottom="1160" w:left="980" w:right="940"/>
          <w:pgNumType w:start="101"/>
        </w:sectPr>
      </w:pPr>
    </w:p>
    <w:p>
      <w:pPr>
        <w:spacing w:line="240" w:lineRule="auto" w:before="9"/>
        <w:rPr>
          <w:rFonts w:ascii="宋体" w:hAnsi="宋体" w:cs="宋体" w:eastAsia="宋体" w:hint="default"/>
          <w:sz w:val="25"/>
          <w:szCs w:val="25"/>
        </w:rPr>
      </w:pPr>
    </w:p>
    <w:p>
      <w:pPr>
        <w:pStyle w:val="BodyText"/>
        <w:spacing w:line="240" w:lineRule="auto" w:before="44"/>
        <w:ind w:left="513" w:right="93"/>
        <w:jc w:val="left"/>
      </w:pPr>
      <w:r>
        <w:rPr/>
        <w:t>借款费用同时满足下列条件时开始资本化：</w:t>
      </w:r>
    </w:p>
    <w:p>
      <w:pPr>
        <w:pStyle w:val="BodyText"/>
        <w:spacing w:line="300" w:lineRule="auto" w:before="77"/>
        <w:ind w:right="184"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31"/>
        <w:ind w:left="513" w:right="93"/>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513" w:right="93"/>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14" w:lineRule="auto" w:before="63"/>
        <w:ind w:left="513" w:right="93"/>
        <w:jc w:val="left"/>
      </w:pP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93"/>
        <w:jc w:val="left"/>
      </w:pPr>
      <w:r>
        <w:rPr/>
        <w:t>款费用资本化。</w:t>
      </w:r>
    </w:p>
    <w:p>
      <w:pPr>
        <w:pStyle w:val="BodyText"/>
        <w:spacing w:line="300" w:lineRule="auto" w:before="76"/>
        <w:ind w:left="513" w:right="93"/>
        <w:jc w:val="left"/>
      </w:pPr>
      <w:r>
        <w:rPr>
          <w:rFonts w:ascii="Times New Roman" w:hAnsi="Times New Roman" w:cs="Times New Roman" w:eastAsia="Times New Roman" w:hint="default"/>
        </w:rPr>
        <w:t>3</w:t>
      </w:r>
      <w:r>
        <w:rPr/>
        <w:t>．暂停资本化期间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right="93"/>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BodyText"/>
        <w:spacing w:line="300" w:lineRule="auto" w:before="19"/>
        <w:ind w:left="513" w:right="93"/>
        <w:jc w:val="left"/>
      </w:pPr>
      <w:r>
        <w:rPr>
          <w:rFonts w:ascii="Times New Roman" w:hAnsi="Times New Roman" w:cs="Times New Roman" w:eastAsia="Times New Roman" w:hint="default"/>
        </w:rPr>
        <w:t>4</w:t>
      </w:r>
      <w:r>
        <w:rPr/>
        <w:t>．借款费用资本化金额的计算方法 </w:t>
      </w:r>
      <w:r>
        <w:rPr>
          <w:spacing w:val="-2"/>
        </w:rPr>
        <w:t>专门借款的利息费用（扣除尚未动用的借款资金存入银行取得的利息收入或者进行暂时性投资取得的投资收益）及其辅</w:t>
      </w:r>
    </w:p>
    <w:p>
      <w:pPr>
        <w:pStyle w:val="BodyText"/>
        <w:spacing w:line="316" w:lineRule="auto" w:before="31"/>
        <w:ind w:left="513" w:right="93" w:hanging="361"/>
        <w:jc w:val="left"/>
      </w:pPr>
      <w:r>
        <w:rPr/>
        <w:t>助费用在所购建或者生产的符合资本化条件的资产达到预定可使用或者可销售状态前，予以资本化。 </w:t>
      </w:r>
      <w:r>
        <w:rPr>
          <w:spacing w:val="-2"/>
        </w:rPr>
        <w:t>根据累计资产支出超过专门借款部分的资产支出加权平均数乘以所占用一般借款的资本化率，计算确定一般借款应予资</w:t>
      </w:r>
    </w:p>
    <w:p>
      <w:pPr>
        <w:pStyle w:val="BodyText"/>
        <w:spacing w:line="316" w:lineRule="auto" w:before="19"/>
        <w:ind w:left="513" w:right="633" w:hanging="361"/>
        <w:jc w:val="left"/>
      </w:pPr>
      <w:r>
        <w:rPr/>
        <w:t>本化的利息金额。资本化率根据一般借款加权平均利率计算确定。 借款存在折价或者溢价的，按照实际利率法确定每一会计期间应摊销的折价或者溢价金额，调整每期利息金额。</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09" w:lineRule="auto" w:before="25"/>
        <w:ind w:left="513" w:right="93"/>
        <w:jc w:val="left"/>
      </w:pPr>
      <w:r>
        <w:rPr/>
        <w:t>无形资产是指本公司拥有或者控制的没有实物形态的可辨认非货币性资产，包括土地使用权及计算机软件。 </w:t>
      </w:r>
      <w:r>
        <w:rPr>
          <w:rFonts w:ascii="Times New Roman" w:hAnsi="Times New Roman" w:cs="Times New Roman" w:eastAsia="Times New Roman" w:hint="default"/>
        </w:rPr>
        <w:t>1</w:t>
      </w:r>
      <w:r>
        <w:rPr/>
        <w:t>．无形资产的初始计量 </w:t>
      </w:r>
      <w:r>
        <w:rPr>
          <w:spacing w:val="-2"/>
        </w:rPr>
        <w:t>外购无形资产的成本，包括购买价款、相关税费以及直接归属于使该项资产达到预定用途所发生的其他支出。购买无形</w:t>
      </w:r>
    </w:p>
    <w:p>
      <w:pPr>
        <w:pStyle w:val="BodyText"/>
        <w:spacing w:line="316" w:lineRule="auto" w:before="24"/>
        <w:ind w:left="513" w:right="93" w:hanging="36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513" w:right="93" w:hanging="361"/>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93"/>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9"/>
        <w:ind w:right="93"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240" w:lineRule="auto" w:before="18"/>
        <w:ind w:left="513" w:right="0"/>
        <w:jc w:val="left"/>
      </w:pPr>
      <w:r>
        <w:rPr/>
        <w:t>内部自行开发的无形资产，其成本包括：开发该无形资产时耗用的材料、劳务成本、注册费、在开发过程中使用的其他</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9" w:lineRule="auto" w:before="44"/>
        <w:ind w:left="513" w:right="454" w:hanging="361"/>
        <w:jc w:val="left"/>
      </w:pPr>
      <w:r>
        <w:rPr/>
        <w:t>专利权和特许权的摊销以及满足资本化条件的利息费用，以及为使该无形资产达到预定用途前所发生的其他直接费用。 </w:t>
      </w:r>
      <w:r>
        <w:rPr>
          <w:rFonts w:ascii="Times New Roman" w:hAnsi="Times New Roman" w:cs="Times New Roman" w:eastAsia="Times New Roman" w:hint="default"/>
        </w:rPr>
        <w:t>2</w:t>
      </w:r>
      <w:r>
        <w:rPr/>
        <w:t>．无形资产的后续计量 本公司在取得无形资产时分析判断其使用寿命，划分为使用寿命有限和使用寿命不确定的无形资产。</w:t>
      </w:r>
    </w:p>
    <w:p>
      <w:pPr>
        <w:pStyle w:val="BodyText"/>
        <w:spacing w:line="300" w:lineRule="auto" w:before="24"/>
        <w:ind w:left="513" w:right="93"/>
        <w:jc w:val="left"/>
      </w:pPr>
      <w:r>
        <w:rPr/>
        <w:t>（</w:t>
      </w:r>
      <w:r>
        <w:rPr>
          <w:rFonts w:ascii="Times New Roman" w:hAnsi="Times New Roman" w:cs="Times New Roman" w:eastAsia="Times New Roman" w:hint="default"/>
        </w:rPr>
        <w:t>1</w:t>
      </w:r>
      <w:r>
        <w:rPr/>
        <w:t>）使用寿命有限的无形资产 </w:t>
      </w:r>
      <w:r>
        <w:rPr>
          <w:spacing w:val="-2"/>
        </w:rPr>
        <w:t>对于使用寿命有限的无形资产，在为企业带来经济利益的期限内按直线法摊销。使用寿命有限的无形资产预计寿命及依</w:t>
      </w:r>
    </w:p>
    <w:p>
      <w:pPr>
        <w:pStyle w:val="BodyText"/>
        <w:spacing w:line="240" w:lineRule="auto" w:before="31"/>
        <w:ind w:right="93"/>
        <w:jc w:val="left"/>
      </w:pPr>
      <w:r>
        <w:rPr/>
        <w:t>据如下：</w:t>
      </w:r>
    </w:p>
    <w:p>
      <w:pPr>
        <w:spacing w:line="240" w:lineRule="auto" w:before="2"/>
        <w:rPr>
          <w:rFonts w:ascii="宋体" w:hAnsi="宋体" w:cs="宋体" w:eastAsia="宋体" w:hint="default"/>
          <w:sz w:val="12"/>
          <w:szCs w:val="12"/>
        </w:rPr>
      </w:pPr>
    </w:p>
    <w:p>
      <w:pPr>
        <w:spacing w:line="750" w:lineRule="exact"/>
        <w:ind w:left="153" w:right="0" w:firstLine="0"/>
        <w:rPr>
          <w:rFonts w:ascii="宋体" w:hAnsi="宋体" w:cs="宋体" w:eastAsia="宋体" w:hint="default"/>
          <w:sz w:val="20"/>
          <w:szCs w:val="20"/>
        </w:rPr>
      </w:pPr>
      <w:r>
        <w:rPr>
          <w:rFonts w:ascii="宋体" w:hAnsi="宋体" w:cs="宋体" w:eastAsia="宋体" w:hint="default"/>
          <w:position w:val="-14"/>
          <w:sz w:val="20"/>
          <w:szCs w:val="20"/>
        </w:rPr>
        <w:drawing>
          <wp:inline distT="0" distB="0" distL="0" distR="0">
            <wp:extent cx="5364946" cy="47625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2" cstate="print"/>
                    <a:stretch>
                      <a:fillRect/>
                    </a:stretch>
                  </pic:blipFill>
                  <pic:spPr>
                    <a:xfrm>
                      <a:off x="0" y="0"/>
                      <a:ext cx="5364946" cy="476250"/>
                    </a:xfrm>
                    <a:prstGeom prst="rect">
                      <a:avLst/>
                    </a:prstGeom>
                  </pic:spPr>
                </pic:pic>
              </a:graphicData>
            </a:graphic>
          </wp:inline>
        </w:drawing>
      </w:r>
      <w:r>
        <w:rPr>
          <w:rFonts w:ascii="宋体" w:hAnsi="宋体" w:cs="宋体" w:eastAsia="宋体" w:hint="default"/>
          <w:position w:val="-14"/>
          <w:sz w:val="20"/>
          <w:szCs w:val="20"/>
        </w:rPr>
      </w:r>
    </w:p>
    <w:p>
      <w:pPr>
        <w:pStyle w:val="BodyText"/>
        <w:spacing w:line="316" w:lineRule="auto" w:before="103"/>
        <w:ind w:left="513" w:right="93"/>
        <w:jc w:val="left"/>
      </w:pPr>
      <w:r>
        <w:rPr/>
        <w:t>每期末，对使用寿命有限的无形资产的使用寿命及摊销方法进行复核，如与原先估计数存在差异的，进行相应的调整。 经复核，本期期末无形资产的使用寿命及摊销方法与以前估计未有不同。</w:t>
      </w:r>
    </w:p>
    <w:p>
      <w:pPr>
        <w:pStyle w:val="BodyText"/>
        <w:spacing w:line="300" w:lineRule="auto" w:before="19"/>
        <w:ind w:left="513" w:right="2973"/>
        <w:jc w:val="left"/>
      </w:pPr>
      <w:r>
        <w:rPr/>
        <w:t>（</w:t>
      </w:r>
      <w:r>
        <w:rPr>
          <w:rFonts w:ascii="Times New Roman" w:hAnsi="Times New Roman" w:cs="Times New Roman" w:eastAsia="Times New Roman" w:hint="default"/>
        </w:rPr>
        <w:t>2</w:t>
      </w:r>
      <w:r>
        <w:rPr/>
        <w:t>）使用寿命不确定的无形资产 无法预见无形资产为企业带来经济利益期限的，视为使用寿命不确定的无形资产。</w:t>
      </w:r>
    </w:p>
    <w:p>
      <w:pPr>
        <w:pStyle w:val="BodyText"/>
        <w:spacing w:line="316" w:lineRule="auto" w:before="32"/>
        <w:ind w:right="93" w:firstLine="360"/>
        <w:jc w:val="left"/>
      </w:pPr>
      <w:r>
        <w:rPr>
          <w:spacing w:val="-2"/>
        </w:rPr>
        <w:t>对于使用寿命不确定的无形资产，在持有期间内不摊销，每期末对无形资产的寿命进行复核。如果期末重新复核后仍为</w:t>
      </w:r>
      <w:r>
        <w:rPr/>
        <w:t> 不确定的，在每个会计期间继续进行减值测试。</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left="513" w:right="93"/>
        <w:jc w:val="left"/>
      </w:pPr>
      <w:r>
        <w:rPr>
          <w:rFonts w:ascii="Times New Roman" w:hAnsi="Times New Roman" w:cs="Times New Roman" w:eastAsia="Times New Roman" w:hint="default"/>
        </w:rPr>
        <w:t>1</w:t>
      </w:r>
      <w:r>
        <w:rPr/>
        <w:t>．划分公司内部研究开发项目的研究阶段和开发阶段具体标准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312" w:lineRule="auto" w:before="24"/>
        <w:ind w:left="513" w:right="3513" w:hanging="361"/>
        <w:jc w:val="left"/>
      </w:pPr>
      <w:r>
        <w:rPr/>
        <w:t>进的材料、装置、产品等活动的阶段。 内部研究开发项目研究阶段的支出，在发生时计入当期损益。 </w:t>
      </w:r>
      <w:r>
        <w:rPr>
          <w:rFonts w:ascii="Times New Roman" w:hAnsi="Times New Roman" w:cs="Times New Roman" w:eastAsia="Times New Roman" w:hint="default"/>
        </w:rPr>
        <w:t>2</w:t>
      </w:r>
      <w:r>
        <w:rPr/>
        <w:t>．开发阶段支出符合资本化的具体标准 内部研究开发项目开发阶段的支出，同时满足下列条件时确认为无形资产：</w:t>
      </w:r>
    </w:p>
    <w:p>
      <w:pPr>
        <w:pStyle w:val="BodyText"/>
        <w:spacing w:line="240" w:lineRule="auto" w:before="23"/>
        <w:ind w:left="513" w:right="9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513" w:right="9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right="184"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31"/>
        <w:ind w:left="513" w:right="93"/>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513" w:right="93"/>
        <w:jc w:val="left"/>
      </w:pPr>
      <w:r>
        <w:rPr/>
        <w:t>（</w:t>
      </w: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不满足上述条件的开发阶段的支出，于发生时计入当期损益。以前期间已计入损益的开发支出不在以后期间重新确认为</w:t>
      </w:r>
    </w:p>
    <w:p>
      <w:pPr>
        <w:pStyle w:val="BodyText"/>
        <w:spacing w:line="240" w:lineRule="auto" w:before="31"/>
        <w:ind w:right="93"/>
        <w:jc w:val="left"/>
      </w:pPr>
      <w:r>
        <w:rPr/>
        <w:t>资产。已资本化的开发阶段的支出在资产负债表上列示为开发支出，自该项目达到预定用途之日起转为无形资产。</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93" w:firstLine="360"/>
        <w:jc w:val="left"/>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w:t>
      </w:r>
    </w:p>
    <w:p>
      <w:pPr>
        <w:pStyle w:val="BodyText"/>
        <w:spacing w:line="316" w:lineRule="auto" w:before="17"/>
        <w:ind w:left="513" w:right="93"/>
        <w:jc w:val="left"/>
      </w:pPr>
      <w:r>
        <w:rPr/>
        <w:t>资产可收回金额的估计，根据其公允价值减去处置费用后的净额与资产预计未来现金流量的现值两者之间较高者确定。 </w:t>
      </w:r>
      <w:r>
        <w:rPr>
          <w:spacing w:val="-2"/>
        </w:rPr>
        <w:t>可收回金额的计量结果表明，长期资产的可收回金额低于其账面价值的，将长期资产的账面价值减记至可收回金额，减</w:t>
      </w:r>
    </w:p>
    <w:p>
      <w:pPr>
        <w:pStyle w:val="BodyText"/>
        <w:spacing w:line="316" w:lineRule="auto" w:before="19"/>
        <w:ind w:right="93"/>
        <w:jc w:val="left"/>
      </w:pPr>
      <w:r>
        <w:rPr>
          <w:spacing w:val="-2"/>
        </w:rPr>
        <w:t>记的金额确认为资产减值损失，计入当期损益，同时计提相应的资产减值准备。资产减值损失一经确认，在以后会计期间不</w:t>
      </w:r>
      <w:r>
        <w:rPr>
          <w:spacing w:val="-64"/>
        </w:rPr>
        <w:t> </w:t>
      </w:r>
      <w:r>
        <w:rPr>
          <w:spacing w:val="-64"/>
        </w:rPr>
      </w:r>
      <w:r>
        <w:rPr/>
        <w:t>得转回。</w:t>
      </w:r>
    </w:p>
    <w:p>
      <w:pPr>
        <w:pStyle w:val="BodyText"/>
        <w:spacing w:line="316" w:lineRule="auto" w:before="19"/>
        <w:ind w:right="93" w:firstLine="360"/>
        <w:jc w:val="left"/>
      </w:pPr>
      <w:r>
        <w:rPr>
          <w:spacing w:val="-2"/>
        </w:rPr>
        <w:t>资产减值损失确认后，减值资产的折旧或者摊销费用在未来期间作相应调整，以使该资产在剩余使用寿命内，系统地分</w:t>
      </w:r>
      <w:r>
        <w:rPr/>
        <w:t> 摊调整后的资产账面价值（扣除预计净残值）。</w:t>
      </w:r>
    </w:p>
    <w:p>
      <w:pPr>
        <w:pStyle w:val="BodyText"/>
        <w:spacing w:line="240" w:lineRule="auto" w:before="19"/>
        <w:ind w:left="513" w:right="93"/>
        <w:jc w:val="left"/>
      </w:pPr>
      <w:r>
        <w:rPr/>
        <w:t>因企业合并所形成的商誉和使用寿命不确定的无形资产，无论是否存在减值迹象，每年都进行减值测试。</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1" w:firstLine="360"/>
        <w:jc w:val="both"/>
      </w:pPr>
      <w:r>
        <w:rPr>
          <w:spacing w:val="-2"/>
        </w:rPr>
        <w:t>在对商誉进行减值测试时，将商誉的账面价值分摊至预期从企业合并的协同效应中受益的资产组或资产组组合。在对包</w:t>
      </w:r>
      <w:r>
        <w:rPr/>
        <w:t> </w:t>
      </w:r>
      <w:r>
        <w:rPr>
          <w:spacing w:val="-2"/>
        </w:rPr>
        <w:t>含商誉的相关资产组或者资产组组合进行减值测试时，如与商誉相关的资产组或者资产组组合存在减值迹象的，先对不包含</w:t>
      </w:r>
      <w:r>
        <w:rPr>
          <w:spacing w:val="-64"/>
        </w:rPr>
        <w:t> </w:t>
      </w:r>
      <w:r>
        <w:rPr>
          <w:spacing w:val="-64"/>
        </w:rPr>
      </w:r>
      <w:r>
        <w:rPr>
          <w:spacing w:val="-2"/>
        </w:rPr>
        <w:t>商誉的资产组或者资产组组合进行减值测试，计算可收回金额，并与相关账面价值相比较，确认相应的减值损失。再对包含</w:t>
      </w:r>
      <w:r>
        <w:rPr>
          <w:spacing w:val="-64"/>
        </w:rPr>
        <w:t> </w:t>
      </w:r>
      <w:r>
        <w:rPr>
          <w:spacing w:val="-64"/>
        </w:rPr>
      </w:r>
      <w:r>
        <w:rPr>
          <w:spacing w:val="-2"/>
        </w:rPr>
        <w:t>商誉的资产组或者资产组组合进行减值测试，比较这些相关资产组或者资产组组合的账面价值（包括所分摊的商誉的账面价</w:t>
      </w:r>
      <w:r>
        <w:rPr>
          <w:spacing w:val="-62"/>
        </w:rPr>
        <w:t> </w:t>
      </w:r>
      <w:r>
        <w:rPr>
          <w:spacing w:val="-62"/>
        </w:rPr>
      </w:r>
      <w:r>
        <w:rPr/>
        <w:t>值部分）与其可收回金额，如相关资产组或者资产组组合的可收回金额低于其账面价值的，确认商誉的减值损失。</w:t>
      </w:r>
    </w:p>
    <w:p>
      <w:pPr>
        <w:spacing w:line="240" w:lineRule="auto" w:before="9"/>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4" w:firstLine="360"/>
        <w:jc w:val="left"/>
      </w:pP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年以上的各项费用，以及本公司共同经 营利益份额中确认的单独所持有的资产，具体为共同经营项目系统建设成本。长期待摊费用在受益期内按直线法分期摊销。</w:t>
      </w:r>
    </w:p>
    <w:p>
      <w:pPr>
        <w:spacing w:line="240" w:lineRule="auto" w:before="10"/>
        <w:rPr>
          <w:rFonts w:ascii="宋体" w:hAnsi="宋体" w:cs="宋体" w:eastAsia="宋体" w:hint="default"/>
          <w:sz w:val="23"/>
          <w:szCs w:val="23"/>
        </w:rPr>
      </w:pPr>
    </w:p>
    <w:p>
      <w:pPr>
        <w:pStyle w:val="Heading3"/>
        <w:spacing w:line="240" w:lineRule="auto"/>
        <w:ind w:right="93"/>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2"/>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3"/>
        </w:rPr>
        <w:t> </w:t>
      </w:r>
      <w:r>
        <w:rPr>
          <w:spacing w:val="-63"/>
        </w:rPr>
      </w:r>
      <w:r>
        <w:rPr/>
        <w:t>相关资产成本和费用。</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t>离职后福利是指本公司为获得职工提供的服务而在职工退休或与企业解除劳动关系后，提供的各种形式的报酬和福利， 短期薪酬和辞退福利除外。</w:t>
      </w:r>
    </w:p>
    <w:p>
      <w:pPr>
        <w:pStyle w:val="BodyText"/>
        <w:spacing w:line="316" w:lineRule="auto" w:before="19"/>
        <w:ind w:left="513" w:right="93"/>
        <w:jc w:val="left"/>
      </w:pPr>
      <w:r>
        <w:rPr/>
        <w:t>本公司的离职后福利计划全部为设定提存计划。 </w:t>
      </w:r>
      <w:r>
        <w:rPr>
          <w:spacing w:val="-2"/>
        </w:rPr>
        <w:t>离职后福利设定提存计划主要为参加由各地劳动及社会保障机构组织实施的社会基本养老保险、失业保险等。在职工为</w:t>
      </w:r>
    </w:p>
    <w:p>
      <w:pPr>
        <w:pStyle w:val="BodyText"/>
        <w:spacing w:line="316" w:lineRule="auto" w:before="19"/>
        <w:ind w:left="513" w:right="634" w:hanging="361"/>
        <w:jc w:val="left"/>
      </w:pPr>
      <w:r>
        <w:rPr/>
        <w:t>本公司提供服务的会计期间，将根据设定提存计划计算的应缴存金额确认为负债，并计入当期损益或相关资产成本。 本公司按照国家规定的标准定期缴付上述款项后，不再有其他的支付义务。</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firstLine="360"/>
        <w:jc w:val="left"/>
      </w:pPr>
      <w:r>
        <w:rPr/>
        <w:t>辞退福利是指本公司在职工劳动合同到期之前解除与职工的劳动关系，或者为鼓励职工自愿接受裁减而给予职工的补 </w:t>
      </w:r>
      <w:r>
        <w:rPr>
          <w:spacing w:val="-2"/>
        </w:rPr>
        <w:t>偿，在本公司不能单方面撤回解除劳动关系计划或裁减建议时和确认与涉及支付辞退福利的重组相关的成本费用时两者孰早</w:t>
      </w:r>
      <w:r>
        <w:rPr>
          <w:spacing w:val="-64"/>
        </w:rPr>
        <w:t> </w:t>
      </w:r>
      <w:r>
        <w:rPr>
          <w:spacing w:val="-64"/>
        </w:rPr>
      </w:r>
      <w:r>
        <w:rPr/>
        <w:t>日，确认因解除与职工的劳动关系给予补偿而产生的负债，同时计入当期损益。</w:t>
      </w:r>
    </w:p>
    <w:p>
      <w:pPr>
        <w:pStyle w:val="BodyText"/>
        <w:spacing w:line="319" w:lineRule="auto" w:before="19"/>
        <w:ind w:right="93" w:firstLine="360"/>
        <w:jc w:val="left"/>
      </w:pPr>
      <w:r>
        <w:rPr>
          <w:spacing w:val="-2"/>
        </w:rPr>
        <w:t>本公司向接受内部退休安排的职工提供内退福利。内退福利是指，向未达到国家规定的退休年龄、经本公司管理层批准</w:t>
      </w:r>
      <w:r>
        <w:rPr/>
        <w:t> </w:t>
      </w:r>
      <w:r>
        <w:rPr>
          <w:spacing w:val="-2"/>
        </w:rPr>
        <w:t>自愿退出工作岗位的职工支付的工资及为其缴纳的社会保险费等。本公司自内部退休安排开始之日起至职工达到正常退休年</w:t>
      </w:r>
      <w:r>
        <w:rPr>
          <w:spacing w:val="-64"/>
        </w:rPr>
        <w:t> </w:t>
      </w:r>
      <w:r>
        <w:rPr>
          <w:spacing w:val="-64"/>
        </w:rPr>
      </w:r>
      <w:r>
        <w:rPr>
          <w:spacing w:val="-4"/>
        </w:rPr>
        <w:t>龄止，向内退职工支付内部退养福利。对于内退福利，本公司比照辞退福利进行会计处理，在符合辞退福利相关确认条件时，</w:t>
      </w:r>
      <w:r>
        <w:rPr>
          <w:spacing w:val="-46"/>
        </w:rPr>
        <w:t> </w:t>
      </w:r>
      <w:r>
        <w:rPr>
          <w:spacing w:val="-46"/>
        </w:rPr>
      </w:r>
      <w:r>
        <w:rPr>
          <w:spacing w:val="-2"/>
        </w:rPr>
        <w:t>将自职工停止提供服务日至正常退休日期间拟支付的内退职工工资和缴纳的社会保险费等，确认为负债，一次性计入当期损</w:t>
      </w:r>
      <w:r>
        <w:rPr>
          <w:spacing w:val="-64"/>
        </w:rPr>
        <w:t> </w:t>
      </w:r>
      <w:r>
        <w:rPr>
          <w:spacing w:val="-64"/>
        </w:rPr>
      </w:r>
      <w:r>
        <w:rPr/>
        <w:t>益。内退福利的精算假设变化及福利标准调整引起的差异于发生时计入当期损益。</w:t>
      </w:r>
    </w:p>
    <w:p>
      <w:pPr>
        <w:spacing w:line="240" w:lineRule="auto" w:before="9"/>
        <w:rPr>
          <w:rFonts w:ascii="宋体" w:hAnsi="宋体" w:cs="宋体" w:eastAsia="宋体" w:hint="default"/>
          <w:sz w:val="22"/>
          <w:szCs w:val="22"/>
        </w:rPr>
      </w:pPr>
    </w:p>
    <w:p>
      <w:pPr>
        <w:pStyle w:val="Heading3"/>
        <w:spacing w:line="240" w:lineRule="auto"/>
        <w:ind w:right="9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93"/>
        <w:jc w:val="left"/>
      </w:pPr>
      <w:r>
        <w:rPr/>
        <w:t>其他长期职工福利是指除短期薪酬、离职后福利、辞退福利之外的其他所有职工福利。 </w:t>
      </w:r>
      <w:r>
        <w:rPr>
          <w:spacing w:val="-2"/>
        </w:rPr>
        <w:t>对符合设定提存计划条件的其他长期职工福利，在职工为本公司提供服务的会计期间，将应缴存金额确认为负债，并计</w:t>
      </w:r>
    </w:p>
    <w:p>
      <w:pPr>
        <w:pStyle w:val="BodyText"/>
        <w:spacing w:line="316" w:lineRule="auto" w:before="18"/>
        <w:ind w:right="93"/>
        <w:jc w:val="left"/>
      </w:pPr>
      <w:r>
        <w:rPr>
          <w:spacing w:val="-2"/>
        </w:rPr>
        <w:t>入当期损益或相关资产成本；除上述情形外的其他长期职工福利，在资产负债表日使用预期累计福利单位法进行精算，将设</w:t>
      </w:r>
      <w:r>
        <w:rPr>
          <w:spacing w:val="-63"/>
        </w:rPr>
        <w:t> </w:t>
      </w:r>
      <w:r>
        <w:rPr>
          <w:spacing w:val="-63"/>
        </w:rPr>
      </w:r>
      <w:r>
        <w:rPr/>
        <w:t>定受益计划产生的福利义务归属于职工提供服务的期间，并计入当期损益或相关资产成本。</w:t>
      </w:r>
    </w:p>
    <w:p>
      <w:pPr>
        <w:spacing w:after="0" w:line="316"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left="513" w:right="3873"/>
        <w:jc w:val="left"/>
      </w:pPr>
      <w:r>
        <w:rPr>
          <w:rFonts w:ascii="Times New Roman" w:hAnsi="Times New Roman" w:cs="Times New Roman" w:eastAsia="Times New Roman" w:hint="default"/>
        </w:rPr>
        <w:t>1</w:t>
      </w:r>
      <w:r>
        <w:rPr/>
        <w:t>．预计负债的确认标准 与或有事项相关的义务同时满足下列条件时，本公司确认为预计负债： 该义务是本公司承担的现时义务； 履行该义务很可能导致经济利益流出本公司； 该义务的金额能够可靠地计量。</w:t>
      </w:r>
    </w:p>
    <w:p>
      <w:pPr>
        <w:pStyle w:val="BodyText"/>
        <w:spacing w:line="300" w:lineRule="auto" w:before="20"/>
        <w:ind w:left="513" w:right="3333"/>
        <w:jc w:val="left"/>
      </w:pPr>
      <w:r>
        <w:rPr>
          <w:rFonts w:ascii="Times New Roman" w:hAnsi="Times New Roman" w:cs="Times New Roman" w:eastAsia="Times New Roman" w:hint="default"/>
        </w:rPr>
        <w:t>2</w:t>
      </w:r>
      <w:r>
        <w:rPr/>
        <w:t>．预计负债的计量方法 本公司预计负债按履行相关现时义务所需的支出的最佳估计数进行初始计量。</w:t>
      </w:r>
    </w:p>
    <w:p>
      <w:pPr>
        <w:pStyle w:val="BodyText"/>
        <w:spacing w:line="316" w:lineRule="auto" w:before="31"/>
        <w:ind w:right="190" w:firstLine="360"/>
        <w:jc w:val="both"/>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16" w:lineRule="auto" w:before="19"/>
        <w:ind w:left="513" w:right="93"/>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16" w:lineRule="auto" w:before="19"/>
        <w:ind w:left="513" w:right="93" w:hanging="361"/>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316" w:lineRule="auto" w:before="19"/>
        <w:ind w:right="190"/>
        <w:jc w:val="both"/>
      </w:pPr>
      <w:r>
        <w:rPr>
          <w:spacing w:val="-2"/>
        </w:rPr>
        <w:t>有事项涉及单个项目的，则最佳估计数按照最可能发生金额确定；如或有事项涉及多个项目的，则最佳估计数按各种可能结</w:t>
      </w:r>
      <w:r>
        <w:rPr>
          <w:spacing w:val="-63"/>
        </w:rPr>
        <w:t> </w:t>
      </w:r>
      <w:r>
        <w:rPr>
          <w:spacing w:val="-63"/>
        </w:rPr>
      </w:r>
      <w:r>
        <w:rPr/>
        <w:t>果及相关概率计算确定。</w:t>
      </w:r>
    </w:p>
    <w:p>
      <w:pPr>
        <w:pStyle w:val="BodyText"/>
        <w:spacing w:line="316" w:lineRule="auto" w:before="19"/>
        <w:ind w:right="111" w:firstLine="360"/>
        <w:jc w:val="both"/>
      </w:pPr>
      <w:r>
        <w:rPr/>
        <w:t>本公司清偿预计负债所需支出全部或部分预期由第三方补偿的，补偿金额在基本确定能够收到时，作为资产单独确认， 确认的补偿金额不超过预计负债的账面价值。</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left="513" w:right="3693"/>
        <w:jc w:val="left"/>
      </w:pPr>
      <w:r>
        <w:rPr>
          <w:rFonts w:ascii="Times New Roman" w:hAnsi="Times New Roman" w:cs="Times New Roman" w:eastAsia="Times New Roman" w:hint="default"/>
        </w:rPr>
        <w:t>1</w:t>
      </w:r>
      <w:r>
        <w:rPr/>
        <w:t>．股份支付的种类 本公司的股份支付分为以权益结算的股份支付和以现金结算的股份支付。 </w:t>
      </w:r>
      <w:r>
        <w:rPr>
          <w:rFonts w:ascii="Times New Roman" w:hAnsi="Times New Roman" w:cs="Times New Roman" w:eastAsia="Times New Roman" w:hint="default"/>
        </w:rPr>
        <w:t>2</w:t>
      </w:r>
      <w:r>
        <w:rPr/>
        <w:t>．权益工具公允价值的确定方法</w:t>
      </w:r>
    </w:p>
    <w:p>
      <w:pPr>
        <w:pStyle w:val="BodyText"/>
        <w:spacing w:line="309" w:lineRule="auto" w:before="5"/>
        <w:ind w:right="100" w:firstLine="360"/>
        <w:jc w:val="both"/>
      </w:pPr>
      <w:r>
        <w:rPr>
          <w:spacing w:val="-2"/>
        </w:rPr>
        <w:t>对于授予的存在活跃市场的期权等权益工具，按照活跃市场中的报价确定其公允价值。对于授予的不存在活跃市场的期</w:t>
      </w:r>
      <w:r>
        <w:rPr/>
        <w:t> </w:t>
      </w:r>
      <w:r>
        <w:rPr>
          <w:spacing w:val="-2"/>
        </w:rPr>
        <w:t>权等权益工具，采用期权定价模型等确定其公允价值，选用的期权定价模型考虑以下因素：（</w:t>
      </w:r>
      <w:r>
        <w:rPr>
          <w:rFonts w:ascii="Times New Roman" w:hAnsi="Times New Roman" w:cs="Times New Roman" w:eastAsia="Times New Roman" w:hint="default"/>
          <w:spacing w:val="-2"/>
        </w:rPr>
        <w:t>1</w:t>
      </w:r>
      <w:r>
        <w:rPr>
          <w:spacing w:val="-2"/>
        </w:rPr>
        <w:t>）期权的行权价格；（</w:t>
      </w:r>
      <w:r>
        <w:rPr>
          <w:rFonts w:ascii="Times New Roman" w:hAnsi="Times New Roman" w:cs="Times New Roman" w:eastAsia="Times New Roman" w:hint="default"/>
          <w:spacing w:val="-2"/>
        </w:rPr>
        <w:t>2</w:t>
      </w:r>
      <w:r>
        <w:rPr>
          <w:spacing w:val="-2"/>
        </w:rPr>
        <w:t>）期</w:t>
      </w:r>
      <w:r>
        <w:rPr>
          <w:spacing w:val="-73"/>
        </w:rPr>
        <w:t> </w:t>
      </w:r>
      <w:r>
        <w:rPr>
          <w:spacing w:val="-4"/>
        </w:rPr>
        <w:t>权的有效期；（</w:t>
      </w:r>
      <w:r>
        <w:rPr>
          <w:rFonts w:ascii="Times New Roman" w:hAnsi="Times New Roman" w:cs="Times New Roman" w:eastAsia="Times New Roman" w:hint="default"/>
          <w:spacing w:val="-4"/>
        </w:rPr>
        <w:t>3</w:t>
      </w:r>
      <w:r>
        <w:rPr>
          <w:spacing w:val="-4"/>
        </w:rPr>
        <w:t>）标的股份的现行价格；（</w:t>
      </w:r>
      <w:r>
        <w:rPr>
          <w:rFonts w:ascii="Times New Roman" w:hAnsi="Times New Roman" w:cs="Times New Roman" w:eastAsia="Times New Roman" w:hint="default"/>
          <w:spacing w:val="-4"/>
        </w:rPr>
        <w:t>4</w:t>
      </w:r>
      <w:r>
        <w:rPr>
          <w:spacing w:val="-4"/>
        </w:rPr>
        <w:t>）股价预计波动率；（</w:t>
      </w:r>
      <w:r>
        <w:rPr>
          <w:rFonts w:ascii="Times New Roman" w:hAnsi="Times New Roman" w:cs="Times New Roman" w:eastAsia="Times New Roman" w:hint="default"/>
          <w:spacing w:val="-4"/>
        </w:rPr>
        <w:t>5</w:t>
      </w:r>
      <w:r>
        <w:rPr>
          <w:spacing w:val="-4"/>
        </w:rPr>
        <w:t>）股份的预计股利；（</w:t>
      </w:r>
      <w:r>
        <w:rPr>
          <w:rFonts w:ascii="Times New Roman" w:hAnsi="Times New Roman" w:cs="Times New Roman" w:eastAsia="Times New Roman" w:hint="default"/>
          <w:spacing w:val="-4"/>
        </w:rPr>
        <w:t>6</w:t>
      </w:r>
      <w:r>
        <w:rPr>
          <w:spacing w:val="-4"/>
        </w:rPr>
        <w:t>）期权有效期内的无风险利率。</w:t>
      </w:r>
    </w:p>
    <w:p>
      <w:pPr>
        <w:pStyle w:val="BodyText"/>
        <w:spacing w:line="316" w:lineRule="auto" w:before="5"/>
        <w:ind w:right="191" w:firstLine="360"/>
        <w:jc w:val="both"/>
      </w:pPr>
      <w:r>
        <w:rPr>
          <w:spacing w:val="-2"/>
        </w:rPr>
        <w:t>在确定权益工具授予日的公允价值时，考虑股份支付协议规定的可行权条件中的市场条件和非可行权条件的影响。股份</w:t>
      </w:r>
      <w:r>
        <w:rPr/>
        <w:t> </w:t>
      </w:r>
      <w:r>
        <w:rPr>
          <w:spacing w:val="-2"/>
        </w:rPr>
        <w:t>支付存在非可行权条件的，只要职工或其他方满足了所有可行权条件中的非市场条件（如服务期限等），即确认已得到服务</w:t>
      </w:r>
      <w:r>
        <w:rPr>
          <w:spacing w:val="-64"/>
        </w:rPr>
        <w:t> </w:t>
      </w:r>
      <w:r>
        <w:rPr>
          <w:spacing w:val="-64"/>
        </w:rPr>
      </w:r>
      <w:r>
        <w:rPr/>
        <w:t>相对应的成本费用。</w:t>
      </w:r>
    </w:p>
    <w:p>
      <w:pPr>
        <w:pStyle w:val="BodyText"/>
        <w:spacing w:line="300" w:lineRule="auto" w:before="19"/>
        <w:ind w:left="513" w:right="93"/>
        <w:jc w:val="left"/>
      </w:pPr>
      <w:r>
        <w:rPr>
          <w:rFonts w:ascii="Times New Roman" w:hAnsi="Times New Roman" w:cs="Times New Roman" w:eastAsia="Times New Roman" w:hint="default"/>
        </w:rPr>
        <w:t>3</w:t>
      </w:r>
      <w:r>
        <w:rPr/>
        <w:t>．确定可行权权益工具最佳估计的依据 </w:t>
      </w:r>
      <w:r>
        <w:rPr>
          <w:spacing w:val="-2"/>
        </w:rPr>
        <w:t>等待期内每个资产负债表日，根据最新取得的可行权职工人数变动等后续信息作出最佳估计，修正预计可行权的权益工</w:t>
      </w:r>
    </w:p>
    <w:p>
      <w:pPr>
        <w:pStyle w:val="BodyText"/>
        <w:spacing w:line="240" w:lineRule="auto" w:before="31"/>
        <w:ind w:right="0"/>
        <w:jc w:val="both"/>
      </w:pPr>
      <w:r>
        <w:rPr/>
        <w:t>具数量。在可行权日，最终预计可行权权益工具的数量与实际可行权数量一致。</w:t>
      </w:r>
    </w:p>
    <w:p>
      <w:pPr>
        <w:pStyle w:val="BodyText"/>
        <w:spacing w:line="300" w:lineRule="auto" w:before="76"/>
        <w:ind w:left="513" w:right="93"/>
        <w:jc w:val="left"/>
      </w:pPr>
      <w:r>
        <w:rPr>
          <w:rFonts w:ascii="Times New Roman" w:hAnsi="Times New Roman" w:cs="Times New Roman" w:eastAsia="Times New Roman" w:hint="default"/>
        </w:rPr>
        <w:t>4</w:t>
      </w:r>
      <w:r>
        <w:rPr/>
        <w:t>．会计处理方法 </w:t>
      </w:r>
      <w:r>
        <w:rPr>
          <w:spacing w:val="-2"/>
        </w:rPr>
        <w:t>以权益结算的股份支付，按授予职工权益工具的公允价值计量。授予后立即可行权的，在授予日按照权益工具的公允价</w:t>
      </w:r>
    </w:p>
    <w:p>
      <w:pPr>
        <w:pStyle w:val="BodyText"/>
        <w:spacing w:line="319" w:lineRule="auto" w:before="31"/>
        <w:ind w:right="190"/>
        <w:jc w:val="both"/>
      </w:pPr>
      <w:r>
        <w:rPr>
          <w:spacing w:val="-2"/>
        </w:rPr>
        <w:t>值计入相关成本或费用，相应增加资本公积。在完成等待期内的服务或达到规定业绩条件才可行权的，在等待期内的每个资</w:t>
      </w:r>
      <w:r>
        <w:rPr>
          <w:spacing w:val="-63"/>
        </w:rPr>
        <w:t> </w:t>
      </w:r>
      <w:r>
        <w:rPr>
          <w:spacing w:val="-63"/>
        </w:rPr>
      </w:r>
      <w:r>
        <w:rPr>
          <w:spacing w:val="-2"/>
        </w:rPr>
        <w:t>产负债表日，以对可行权权益工具数量的最佳估计为基础，按照权益工具授予日的公允价值，将当期取得的服务计入相关成</w:t>
      </w:r>
      <w:r>
        <w:rPr>
          <w:spacing w:val="-63"/>
        </w:rPr>
        <w:t> </w:t>
      </w:r>
      <w:r>
        <w:rPr>
          <w:spacing w:val="-63"/>
        </w:rPr>
      </w:r>
      <w:r>
        <w:rPr/>
        <w:t>本或费用和资本公积。在可行权日之后不再对已确认的相关成本或费用和所有者权益总额进行调整。</w:t>
      </w:r>
    </w:p>
    <w:p>
      <w:pPr>
        <w:pStyle w:val="BodyText"/>
        <w:spacing w:line="316" w:lineRule="auto" w:before="17"/>
        <w:ind w:right="190" w:firstLine="360"/>
        <w:jc w:val="both"/>
      </w:pPr>
      <w:r>
        <w:rPr>
          <w:spacing w:val="-2"/>
        </w:rPr>
        <w:t>以现金结算的股份支付，按照本公司承担的以股份或其他权益工具为基础计算确定的负债的公允价值计量。授予后立即</w:t>
      </w:r>
      <w:r>
        <w:rPr/>
        <w:t> </w:t>
      </w:r>
      <w:r>
        <w:rPr>
          <w:spacing w:val="-2"/>
        </w:rPr>
        <w:t>可行权的，在授予日以本公司承担负债的公允价值计入相关成本或费用，相应增加负债。在完成等待期内的服务或达到规定</w:t>
      </w:r>
      <w:r>
        <w:rPr>
          <w:spacing w:val="-65"/>
        </w:rPr>
        <w:t> </w:t>
      </w:r>
      <w:r>
        <w:rPr>
          <w:spacing w:val="-65"/>
        </w:rPr>
      </w:r>
      <w:r>
        <w:rPr>
          <w:spacing w:val="-2"/>
        </w:rPr>
        <w:t>业绩条件以后才可行权的以现金结算的股份支付，在等待期内的每个资产负债表日，以对可行权情况的最佳估计为基础，按</w:t>
      </w:r>
      <w:r>
        <w:rPr>
          <w:spacing w:val="-63"/>
        </w:rPr>
        <w:t> </w:t>
      </w:r>
      <w:r>
        <w:rPr>
          <w:spacing w:val="-63"/>
        </w:rPr>
      </w:r>
      <w:r>
        <w:rPr>
          <w:spacing w:val="-2"/>
        </w:rPr>
        <w:t>照本公司承担负债的公允价值金额，将当期取得的服务计入成本或费用和相应的负债。在相关负债结算前的每个资产负债表</w:t>
      </w:r>
      <w:r>
        <w:rPr>
          <w:spacing w:val="-64"/>
        </w:rPr>
        <w:t> </w:t>
      </w:r>
      <w:r>
        <w:rPr>
          <w:spacing w:val="-64"/>
        </w:rPr>
      </w:r>
      <w:r>
        <w:rPr/>
        <w:t>日以及结算日，对负债的公允价值重新计量，其变动计入当期损益。</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0" w:firstLine="360"/>
        <w:jc w:val="both"/>
      </w:pPr>
      <w:r>
        <w:rPr>
          <w:spacing w:val="-2"/>
        </w:rPr>
        <w:t>若在等待期内取消了授予的权益工具，本公司对取消所授予的权益性工具作为加速行权处理，将剩余等待期内应确认的</w:t>
      </w:r>
      <w:r>
        <w:rPr/>
        <w:t> </w:t>
      </w:r>
      <w:r>
        <w:rPr>
          <w:spacing w:val="-2"/>
        </w:rPr>
        <w:t>金额立即计入当期损益，同时确认资本公积。职工或其他方能够选择满足非可行权条件但在等待期内未满足的，本公司将其</w:t>
      </w:r>
      <w:r>
        <w:rPr>
          <w:spacing w:val="-63"/>
        </w:rPr>
        <w:t> </w:t>
      </w:r>
      <w:r>
        <w:rPr>
          <w:spacing w:val="-63"/>
        </w:rPr>
      </w:r>
      <w:r>
        <w:rPr/>
        <w:t>作为授予权益工具的取消处理。</w:t>
      </w:r>
    </w:p>
    <w:p>
      <w:pPr>
        <w:spacing w:line="240" w:lineRule="auto" w:before="9"/>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firstLine="360"/>
        <w:jc w:val="left"/>
      </w:pPr>
      <w:r>
        <w:rPr>
          <w:spacing w:val="-2"/>
        </w:rPr>
        <w:t>本公司按照金融工具准则的规定，根据所发行优先股、永续债等金融工具的合同条款及其所反映的经济实质而非仅以法</w:t>
      </w:r>
      <w:r>
        <w:rPr/>
        <w:t> 律形式，结合金融负债和权益工具的定义，在初始确认时将该金融工具或其组成部分分类为金融负债或权益工具：</w:t>
      </w:r>
    </w:p>
    <w:p>
      <w:pPr>
        <w:pStyle w:val="BodyText"/>
        <w:spacing w:line="240" w:lineRule="auto" w:before="19"/>
        <w:ind w:left="513" w:right="93"/>
        <w:jc w:val="left"/>
      </w:pPr>
      <w:r>
        <w:rPr>
          <w:rFonts w:ascii="Times New Roman" w:hAnsi="Times New Roman" w:cs="Times New Roman" w:eastAsia="Times New Roman" w:hint="default"/>
        </w:rPr>
        <w:t>1</w:t>
      </w:r>
      <w:r>
        <w:rPr/>
        <w:t>．符合下列条件之一，将发行的金融工具分类为金融负债：</w:t>
      </w:r>
    </w:p>
    <w:p>
      <w:pPr>
        <w:pStyle w:val="BodyText"/>
        <w:spacing w:line="240" w:lineRule="auto" w:before="63"/>
        <w:ind w:left="513" w:right="93"/>
        <w:jc w:val="left"/>
      </w:pPr>
      <w:r>
        <w:rPr/>
        <w:t>（</w:t>
      </w:r>
      <w:r>
        <w:rPr>
          <w:rFonts w:ascii="Times New Roman" w:hAnsi="Times New Roman" w:cs="Times New Roman" w:eastAsia="Times New Roman" w:hint="default"/>
        </w:rPr>
        <w:t>1</w:t>
      </w:r>
      <w:r>
        <w:rPr/>
        <w:t>）向其他方交付现金或其他金融资产的合同义务；</w:t>
      </w:r>
    </w:p>
    <w:p>
      <w:pPr>
        <w:pStyle w:val="BodyText"/>
        <w:spacing w:line="240" w:lineRule="auto" w:before="63"/>
        <w:ind w:left="513" w:right="93"/>
        <w:jc w:val="left"/>
      </w:pPr>
      <w:r>
        <w:rPr/>
        <w:t>（</w:t>
      </w:r>
      <w:r>
        <w:rPr>
          <w:rFonts w:ascii="Times New Roman" w:hAnsi="Times New Roman" w:cs="Times New Roman" w:eastAsia="Times New Roman" w:hint="default"/>
        </w:rPr>
        <w:t>2</w:t>
      </w:r>
      <w:r>
        <w:rPr/>
        <w:t>）在潜在不利条件下，与其他方交换金融资产或金融负债的合同义务；</w:t>
      </w:r>
    </w:p>
    <w:p>
      <w:pPr>
        <w:pStyle w:val="BodyText"/>
        <w:spacing w:line="240" w:lineRule="auto" w:before="63"/>
        <w:ind w:left="513" w:right="93"/>
        <w:jc w:val="left"/>
      </w:pPr>
      <w:r>
        <w:rPr/>
        <w:t>（</w:t>
      </w:r>
      <w:r>
        <w:rPr>
          <w:rFonts w:ascii="Times New Roman" w:hAnsi="Times New Roman" w:cs="Times New Roman" w:eastAsia="Times New Roman" w:hint="default"/>
        </w:rPr>
        <w:t>3</w:t>
      </w:r>
      <w:r>
        <w:rPr/>
        <w:t>）将来须用或可用企业自身权益工具进行结算的非衍生工具合同，且企业根据该合同将交付可变数量的自身权益工</w:t>
      </w:r>
    </w:p>
    <w:p>
      <w:pPr>
        <w:pStyle w:val="BodyText"/>
        <w:spacing w:line="240" w:lineRule="auto" w:before="63"/>
        <w:ind w:right="93"/>
        <w:jc w:val="left"/>
      </w:pPr>
      <w:r>
        <w:rPr/>
        <w:t>具；</w:t>
      </w:r>
    </w:p>
    <w:p>
      <w:pPr>
        <w:pStyle w:val="BodyText"/>
        <w:spacing w:line="240" w:lineRule="auto" w:before="77"/>
        <w:ind w:left="513" w:right="93"/>
        <w:jc w:val="left"/>
      </w:pPr>
      <w:r>
        <w:rPr/>
        <w:t>（</w:t>
      </w:r>
      <w:r>
        <w:rPr>
          <w:rFonts w:ascii="Times New Roman" w:hAnsi="Times New Roman" w:cs="Times New Roman" w:eastAsia="Times New Roman" w:hint="default"/>
        </w:rPr>
        <w:t>4</w:t>
      </w:r>
      <w:r>
        <w:rPr/>
        <w:t>）将来须用或可用企业自身权益工具进行结算的衍生工具合同，但以固定数量的自身权益工具交换固定金额的现金</w:t>
      </w:r>
    </w:p>
    <w:p>
      <w:pPr>
        <w:pStyle w:val="BodyText"/>
        <w:spacing w:line="240" w:lineRule="auto" w:before="63"/>
        <w:ind w:right="93"/>
        <w:jc w:val="left"/>
      </w:pPr>
      <w:r>
        <w:rPr/>
        <w:t>或其他金融资产的衍生工具合同除外。</w:t>
      </w:r>
    </w:p>
    <w:p>
      <w:pPr>
        <w:pStyle w:val="BodyText"/>
        <w:spacing w:line="240" w:lineRule="auto" w:before="76"/>
        <w:ind w:left="513" w:right="93"/>
        <w:jc w:val="left"/>
      </w:pPr>
      <w:r>
        <w:rPr>
          <w:rFonts w:ascii="Times New Roman" w:hAnsi="Times New Roman" w:cs="Times New Roman" w:eastAsia="Times New Roman" w:hint="default"/>
        </w:rPr>
        <w:t>2</w:t>
      </w:r>
      <w:r>
        <w:rPr/>
        <w:t>．同时满足下列条件的，将发行的金融工具分类为权益工具：</w:t>
      </w:r>
    </w:p>
    <w:p>
      <w:pPr>
        <w:pStyle w:val="BodyText"/>
        <w:spacing w:line="300" w:lineRule="auto" w:before="63"/>
        <w:ind w:right="199" w:firstLine="360"/>
        <w:jc w:val="both"/>
      </w:pPr>
      <w:r>
        <w:rPr/>
        <w:t>（</w:t>
      </w:r>
      <w:r>
        <w:rPr>
          <w:rFonts w:ascii="Times New Roman" w:hAnsi="Times New Roman" w:cs="Times New Roman" w:eastAsia="Times New Roman" w:hint="default"/>
        </w:rPr>
        <w:t>1</w:t>
      </w:r>
      <w:r>
        <w:rPr/>
        <w:t>）该金融工具不包括交付现金或其他金融资产给其他方，或在潜在不利条件下与其他方交换金融资产或金融负债的 合同义务；</w:t>
      </w:r>
    </w:p>
    <w:p>
      <w:pPr>
        <w:pStyle w:val="BodyText"/>
        <w:spacing w:line="309" w:lineRule="auto" w:before="31"/>
        <w:ind w:right="193" w:firstLine="360"/>
        <w:jc w:val="both"/>
      </w:pPr>
      <w:r>
        <w:rPr/>
        <w:t>（</w:t>
      </w:r>
      <w:r>
        <w:rPr>
          <w:rFonts w:ascii="Times New Roman" w:hAnsi="Times New Roman" w:cs="Times New Roman" w:eastAsia="Times New Roman" w:hint="default"/>
        </w:rPr>
        <w:t>2</w:t>
      </w:r>
      <w:r>
        <w:rPr/>
        <w:t>）将来须用或可用企业自身权益工具结算该金融工具的，如该金融工具为非衍生工具，不包括交付可变数量的自身 </w:t>
      </w:r>
      <w:r>
        <w:rPr>
          <w:spacing w:val="-2"/>
        </w:rPr>
        <w:t>权益工具进行结算的合同义务；如为衍生工具，企业只能通过以固定数量的自身权益工具交换固定金额的现金或其他金融资</w:t>
      </w:r>
      <w:r>
        <w:rPr>
          <w:spacing w:val="-64"/>
        </w:rPr>
        <w:t> </w:t>
      </w:r>
      <w:r>
        <w:rPr>
          <w:spacing w:val="-64"/>
        </w:rPr>
      </w:r>
      <w:r>
        <w:rPr/>
        <w:t>产结算该金融工具。</w:t>
      </w:r>
    </w:p>
    <w:p>
      <w:pPr>
        <w:pStyle w:val="BodyText"/>
        <w:spacing w:line="300" w:lineRule="auto" w:before="24"/>
        <w:ind w:left="513" w:right="93"/>
        <w:jc w:val="left"/>
      </w:pPr>
      <w:r>
        <w:rPr>
          <w:rFonts w:ascii="Times New Roman" w:hAnsi="Times New Roman" w:cs="Times New Roman" w:eastAsia="Times New Roman" w:hint="default"/>
        </w:rPr>
        <w:t>3</w:t>
      </w:r>
      <w:r>
        <w:rPr/>
        <w:t>．会计处理方法 </w:t>
      </w:r>
      <w:r>
        <w:rPr>
          <w:spacing w:val="-2"/>
        </w:rPr>
        <w:t>对于归类为权益工具的金融工具，其利息支出或股利分配都应当作为发行企业的利润分配，其回购、注销等作为权益的</w:t>
      </w:r>
    </w:p>
    <w:p>
      <w:pPr>
        <w:pStyle w:val="BodyText"/>
        <w:spacing w:line="316" w:lineRule="auto" w:before="31"/>
        <w:ind w:left="513" w:right="93" w:hanging="361"/>
        <w:jc w:val="left"/>
      </w:pPr>
      <w:r>
        <w:rPr/>
        <w:t>变动处理，手续费、佣金等交易费用从权益中扣除； </w:t>
      </w:r>
      <w:r>
        <w:rPr>
          <w:spacing w:val="-2"/>
        </w:rPr>
        <w:t>对于归类为金融负债的金融工具，其利息支出或股利分配原则上按照借款费用进行处理，其回购或赎回产生的利得或损</w:t>
      </w:r>
    </w:p>
    <w:p>
      <w:pPr>
        <w:pStyle w:val="BodyText"/>
        <w:spacing w:line="240" w:lineRule="auto" w:before="19"/>
        <w:ind w:right="93"/>
        <w:jc w:val="left"/>
      </w:pPr>
      <w:r>
        <w:rPr/>
        <w:t>失等计入当期损益，手续费、佣金等交易费用计入所发行工具的初始计量金额。</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00" w:lineRule="auto" w:before="25"/>
        <w:ind w:left="513" w:right="93"/>
        <w:jc w:val="left"/>
      </w:pPr>
      <w:r>
        <w:rPr>
          <w:rFonts w:ascii="Times New Roman" w:hAnsi="Times New Roman" w:cs="Times New Roman" w:eastAsia="Times New Roman" w:hint="default"/>
        </w:rPr>
        <w:t>1</w:t>
      </w:r>
      <w:r>
        <w:rPr/>
        <w:t>．销售商品收入确认时间的具体判断标准 </w:t>
      </w:r>
      <w:r>
        <w:rPr>
          <w:spacing w:val="-2"/>
        </w:rPr>
        <w:t>公司已将商品所有权上的主要风险和报酬转移给购买方；公司既没有保留与所有权相联系的继续管理权，也没有对已售</w:t>
      </w:r>
    </w:p>
    <w:p>
      <w:pPr>
        <w:pStyle w:val="BodyText"/>
        <w:spacing w:line="316" w:lineRule="auto" w:before="31"/>
        <w:ind w:right="93"/>
        <w:jc w:val="left"/>
      </w:pP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pStyle w:val="BodyText"/>
        <w:spacing w:line="316" w:lineRule="auto" w:before="19"/>
        <w:ind w:right="93" w:firstLine="360"/>
        <w:jc w:val="left"/>
      </w:pPr>
      <w:r>
        <w:rPr>
          <w:spacing w:val="-2"/>
        </w:rPr>
        <w:t>合同或协议价款的收取采用递延方式，实质上具有融资性质的，按照应收的合同或协议价款的公允价值确定销售商品收</w:t>
      </w:r>
      <w:r>
        <w:rPr/>
        <w:t> 入金额。</w:t>
      </w:r>
    </w:p>
    <w:p>
      <w:pPr>
        <w:pStyle w:val="BodyText"/>
        <w:spacing w:line="300" w:lineRule="auto" w:before="19"/>
        <w:ind w:left="513" w:right="93"/>
        <w:jc w:val="left"/>
      </w:pPr>
      <w:r>
        <w:rPr>
          <w:rFonts w:ascii="Times New Roman" w:hAnsi="Times New Roman" w:cs="Times New Roman" w:eastAsia="Times New Roman" w:hint="default"/>
        </w:rPr>
        <w:t>2</w:t>
      </w:r>
      <w:r>
        <w:rPr/>
        <w:t>．确认让渡资产使用权收入的依据 与交易相关的经济利益很可能流入企业，收入的金额能够可靠地计量时，分别下列情况确定让渡资产使用权收入金额：</w:t>
      </w:r>
    </w:p>
    <w:p>
      <w:pPr>
        <w:pStyle w:val="BodyText"/>
        <w:spacing w:line="240" w:lineRule="auto" w:before="31"/>
        <w:ind w:left="513" w:right="93"/>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63"/>
        <w:ind w:left="513" w:right="93"/>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pStyle w:val="BodyText"/>
        <w:spacing w:line="300" w:lineRule="auto" w:before="63"/>
        <w:ind w:left="513" w:right="93"/>
        <w:jc w:val="left"/>
      </w:pPr>
      <w:r>
        <w:rPr>
          <w:rFonts w:ascii="Times New Roman" w:hAnsi="Times New Roman" w:cs="Times New Roman" w:eastAsia="Times New Roman" w:hint="default"/>
        </w:rPr>
        <w:t>3</w:t>
      </w:r>
      <w:r>
        <w:rPr/>
        <w:t>．提供劳务收入的确认依据和方法 </w:t>
      </w:r>
      <w:r>
        <w:rPr>
          <w:spacing w:val="-4"/>
        </w:rPr>
        <w:t>在资产负债表日提供劳务交易的结果能够可靠估计的，采用完工百分比法确认提供劳务收入。提供劳务交易的完工进度，</w:t>
      </w:r>
    </w:p>
    <w:p>
      <w:pPr>
        <w:pStyle w:val="BodyText"/>
        <w:spacing w:line="240" w:lineRule="auto" w:before="31"/>
        <w:ind w:right="93"/>
        <w:jc w:val="left"/>
      </w:pPr>
      <w:r>
        <w:rPr/>
        <w:t>依据已经发生的成本占估计总成本的比例确定。</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93"/>
        <w:jc w:val="left"/>
      </w:pPr>
      <w:r>
        <w:rPr/>
        <w:t>提供劳务交易的结果能够可靠估计，是指同时满足下列条件：</w:t>
      </w:r>
    </w:p>
    <w:p>
      <w:pPr>
        <w:pStyle w:val="BodyText"/>
        <w:spacing w:line="240" w:lineRule="auto" w:before="77"/>
        <w:ind w:left="513" w:right="93"/>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63"/>
        <w:ind w:left="513" w:right="93"/>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63"/>
        <w:ind w:left="513" w:right="93"/>
        <w:jc w:val="left"/>
      </w:pPr>
      <w:r>
        <w:rPr/>
        <w:t>（</w:t>
      </w:r>
      <w:r>
        <w:rPr>
          <w:rFonts w:ascii="Times New Roman" w:hAnsi="Times New Roman" w:cs="Times New Roman" w:eastAsia="Times New Roman" w:hint="default"/>
        </w:rPr>
        <w:t>3</w:t>
      </w:r>
      <w:r>
        <w:rPr/>
        <w:t>）交易的完工进度能够可靠地确定；</w:t>
      </w:r>
    </w:p>
    <w:p>
      <w:pPr>
        <w:pStyle w:val="BodyText"/>
        <w:spacing w:line="300" w:lineRule="auto" w:before="63"/>
        <w:ind w:left="513" w:right="93"/>
        <w:jc w:val="left"/>
      </w:pPr>
      <w:r>
        <w:rPr/>
        <w:t>（</w:t>
      </w:r>
      <w:r>
        <w:rPr>
          <w:rFonts w:ascii="Times New Roman" w:hAnsi="Times New Roman" w:cs="Times New Roman" w:eastAsia="Times New Roman" w:hint="default"/>
        </w:rPr>
        <w:t>4</w:t>
      </w:r>
      <w:r>
        <w:rPr/>
        <w:t>）交易中已发生和将发生的成本能够可靠地计量。 </w:t>
      </w:r>
      <w:r>
        <w:rPr>
          <w:spacing w:val="-2"/>
        </w:rPr>
        <w:t>按照已收或应收的合同或协议价款确定提供劳务收入总额，但已收或应收的合同或协议价款不公允的除外。资产负债表</w:t>
      </w:r>
    </w:p>
    <w:p>
      <w:pPr>
        <w:pStyle w:val="BodyText"/>
        <w:spacing w:line="316" w:lineRule="auto" w:before="31"/>
        <w:ind w:right="93"/>
        <w:jc w:val="left"/>
      </w:pP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pStyle w:val="BodyText"/>
        <w:spacing w:line="240" w:lineRule="auto" w:before="19"/>
        <w:ind w:left="513" w:right="93"/>
        <w:jc w:val="left"/>
      </w:pPr>
      <w:r>
        <w:rPr/>
        <w:t>在资产负债表日提供劳务交易结果不能够可靠估计的，分别下列情况处理：</w:t>
      </w:r>
    </w:p>
    <w:p>
      <w:pPr>
        <w:pStyle w:val="BodyText"/>
        <w:spacing w:line="300" w:lineRule="auto" w:before="76"/>
        <w:ind w:right="184" w:firstLine="36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）已经发生的劳务成本预计能够得到补偿的，按照已经发生的劳务成本金额确认提供劳务收入，并按相同金额结转 劳务成本。</w:t>
      </w:r>
    </w:p>
    <w:p>
      <w:pPr>
        <w:pStyle w:val="BodyText"/>
        <w:spacing w:line="300" w:lineRule="auto" w:before="31"/>
        <w:ind w:left="513" w:right="93"/>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 </w:t>
      </w:r>
      <w:r>
        <w:rPr>
          <w:spacing w:val="-2"/>
        </w:rPr>
        <w:t>本公司与其他企业签订的合同或协议包括销售商品和提供劳务时，销售商品部分和提供劳务部分能够区分且能够单独计</w:t>
      </w:r>
    </w:p>
    <w:p>
      <w:pPr>
        <w:pStyle w:val="BodyText"/>
        <w:spacing w:line="316" w:lineRule="auto" w:before="32"/>
        <w:ind w:right="93"/>
        <w:jc w:val="left"/>
      </w:pPr>
      <w:r>
        <w:rPr>
          <w:spacing w:val="-2"/>
        </w:rPr>
        <w:t>量的，将销售商品的部分作为销售商品处理，将提供劳务的部分作为提供劳务处理。销售商品部分和提供劳务部分不能够区</w:t>
      </w:r>
      <w:r>
        <w:rPr>
          <w:spacing w:val="-63"/>
        </w:rPr>
        <w:t> </w:t>
      </w:r>
      <w:r>
        <w:rPr>
          <w:spacing w:val="-63"/>
        </w:rPr>
      </w:r>
      <w:r>
        <w:rPr/>
        <w:t>分，或虽能区分但不能够单独计量的，将销售商品部分和提供劳务部分全部作为销售商品处理。</w:t>
      </w:r>
    </w:p>
    <w:p>
      <w:pPr>
        <w:pStyle w:val="BodyText"/>
        <w:spacing w:line="240" w:lineRule="auto" w:before="19"/>
        <w:ind w:left="513" w:right="93"/>
        <w:jc w:val="left"/>
      </w:pPr>
      <w:r>
        <w:rPr>
          <w:rFonts w:ascii="Times New Roman" w:hAnsi="Times New Roman" w:cs="Times New Roman" w:eastAsia="Times New Roman" w:hint="default"/>
        </w:rPr>
        <w:t>4</w:t>
      </w:r>
      <w:r>
        <w:rPr/>
        <w:t>．公司主营业务分类收入的具体确认方法</w:t>
      </w:r>
    </w:p>
    <w:p>
      <w:pPr>
        <w:pStyle w:val="BodyText"/>
        <w:spacing w:line="300" w:lineRule="auto" w:before="63"/>
        <w:ind w:left="513" w:right="93"/>
        <w:jc w:val="left"/>
      </w:pPr>
      <w:r>
        <w:rPr/>
        <w:t>（</w:t>
      </w:r>
      <w:r>
        <w:rPr>
          <w:rFonts w:ascii="Times New Roman" w:hAnsi="Times New Roman" w:cs="Times New Roman" w:eastAsia="Times New Roman" w:hint="default"/>
        </w:rPr>
        <w:t>1</w:t>
      </w:r>
      <w:r>
        <w:rPr/>
        <w:t>）系统集成业务收入 </w:t>
      </w:r>
      <w:r>
        <w:rPr>
          <w:spacing w:val="-2"/>
        </w:rPr>
        <w:t>系统集成业务收入是指根据客户的业务需求，将相关的软硬件有机的结合在一起，提供信息系统规划、实施、运维等集</w:t>
      </w:r>
    </w:p>
    <w:p>
      <w:pPr>
        <w:pStyle w:val="BodyText"/>
        <w:spacing w:line="240" w:lineRule="auto" w:before="31"/>
        <w:ind w:right="93"/>
        <w:jc w:val="left"/>
      </w:pPr>
      <w:r>
        <w:rPr/>
        <w:t>成服务所获得的收入。具体确认依据、时点和确认金额如下：</w:t>
      </w:r>
    </w:p>
    <w:p>
      <w:pPr>
        <w:pStyle w:val="BodyText"/>
        <w:spacing w:line="300" w:lineRule="auto" w:before="76"/>
        <w:ind w:right="184" w:firstLine="360"/>
        <w:jc w:val="left"/>
      </w:pPr>
      <w:r>
        <w:rPr>
          <w:rFonts w:ascii="Times New Roman" w:hAnsi="Times New Roman" w:cs="Times New Roman" w:eastAsia="Times New Roman" w:hint="default"/>
        </w:rPr>
        <w:t>1</w:t>
      </w:r>
      <w:r>
        <w:rPr/>
        <w:t>）对于复杂重大的系统集成合同项目（通常指合同总收入在</w:t>
      </w:r>
      <w:r>
        <w:rPr>
          <w:rFonts w:ascii="Times New Roman" w:hAnsi="Times New Roman" w:cs="Times New Roman" w:eastAsia="Times New Roman" w:hint="default"/>
        </w:rPr>
        <w:t>2000</w:t>
      </w:r>
      <w:r>
        <w:rPr/>
        <w:t>万元以上、含自有软件开发、执行期一年以上），按 完工百分比法（项目完工进度）确认收入。</w:t>
      </w:r>
    </w:p>
    <w:p>
      <w:pPr>
        <w:pStyle w:val="BodyText"/>
        <w:spacing w:line="309" w:lineRule="auto" w:before="31"/>
        <w:ind w:left="513" w:right="93"/>
        <w:jc w:val="left"/>
      </w:pPr>
      <w:r>
        <w:rPr/>
        <w:t>具体确认依据、时点和确认金额：按合同总收入</w:t>
      </w:r>
      <w:r>
        <w:rPr>
          <w:rFonts w:ascii="Times New Roman" w:hAnsi="Times New Roman" w:cs="Times New Roman" w:eastAsia="Times New Roman" w:hint="default"/>
        </w:rPr>
        <w:t>×</w:t>
      </w:r>
      <w:r>
        <w:rPr/>
        <w:t>完工百分比后确定的金额确认收入。 完工百分比的确定方法：按已发生的成本占预计总成本的比例来确定完工百分比。 </w:t>
      </w:r>
      <w:r>
        <w:rPr>
          <w:rFonts w:ascii="Times New Roman" w:hAnsi="Times New Roman" w:cs="Times New Roman" w:eastAsia="Times New Roman" w:hint="default"/>
          <w:spacing w:val="-2"/>
        </w:rPr>
        <w:t>2</w:t>
      </w:r>
      <w:r>
        <w:rPr>
          <w:spacing w:val="-2"/>
        </w:rPr>
        <w:t>）对于简单的系统集成合同项目（除</w:t>
      </w:r>
      <w:r>
        <w:rPr>
          <w:rFonts w:ascii="Times New Roman" w:hAnsi="Times New Roman" w:cs="Times New Roman" w:eastAsia="Times New Roman" w:hint="default"/>
          <w:spacing w:val="-2"/>
        </w:rPr>
        <w:t>1</w:t>
      </w:r>
      <w:r>
        <w:rPr>
          <w:spacing w:val="-2"/>
        </w:rPr>
        <w:t>）以外的其他系统集成项目），在产品发出并取得客户的验收单据时按合同金额</w:t>
      </w:r>
    </w:p>
    <w:p>
      <w:pPr>
        <w:pStyle w:val="BodyText"/>
        <w:spacing w:line="240" w:lineRule="auto" w:before="5"/>
        <w:ind w:right="93"/>
        <w:jc w:val="left"/>
      </w:pPr>
      <w:r>
        <w:rPr/>
        <w:t>扣除增值税后确认为销售收入。</w:t>
      </w:r>
    </w:p>
    <w:p>
      <w:pPr>
        <w:pStyle w:val="BodyText"/>
        <w:spacing w:line="300" w:lineRule="auto" w:before="77"/>
        <w:ind w:left="513" w:right="93"/>
        <w:jc w:val="left"/>
      </w:pPr>
      <w:r>
        <w:rPr/>
        <w:t>（</w:t>
      </w:r>
      <w:r>
        <w:rPr>
          <w:rFonts w:ascii="Times New Roman" w:hAnsi="Times New Roman" w:cs="Times New Roman" w:eastAsia="Times New Roman" w:hint="default"/>
        </w:rPr>
        <w:t>2</w:t>
      </w:r>
      <w:r>
        <w:rPr/>
        <w:t>）行业应用软件开发收入 </w:t>
      </w:r>
      <w:r>
        <w:rPr>
          <w:spacing w:val="-2"/>
        </w:rPr>
        <w:t>行业应用软件开发收入是指接受客户委托，根据客户的需求，对应用软件技术进行研究开发所获得的收入。由此开发出</w:t>
      </w:r>
    </w:p>
    <w:p>
      <w:pPr>
        <w:pStyle w:val="BodyText"/>
        <w:spacing w:line="316" w:lineRule="auto" w:before="31"/>
        <w:ind w:right="93"/>
        <w:jc w:val="left"/>
      </w:pPr>
      <w:r>
        <w:rPr>
          <w:spacing w:val="-2"/>
        </w:rPr>
        <w:t>来的软件为定制软件、不具有通用性。根据公司与客户合作模式的不同，主要分为约定合同总额的软件开发项目和未约定合</w:t>
      </w:r>
      <w:r>
        <w:rPr>
          <w:spacing w:val="-61"/>
        </w:rPr>
        <w:t> </w:t>
      </w:r>
      <w:r>
        <w:rPr>
          <w:spacing w:val="-61"/>
        </w:rPr>
      </w:r>
      <w:r>
        <w:rPr/>
        <w:t>同总额的软件开发项目。具体确认依据、时点和确认金额如下：</w:t>
      </w:r>
    </w:p>
    <w:p>
      <w:pPr>
        <w:pStyle w:val="BodyText"/>
        <w:spacing w:line="300" w:lineRule="auto" w:before="19"/>
        <w:ind w:left="513" w:right="93"/>
        <w:jc w:val="left"/>
      </w:pPr>
      <w:r>
        <w:rPr>
          <w:rFonts w:ascii="Times New Roman" w:hAnsi="Times New Roman" w:cs="Times New Roman" w:eastAsia="Times New Roman" w:hint="default"/>
        </w:rPr>
        <w:t>1</w:t>
      </w:r>
      <w:r>
        <w:rPr/>
        <w:t>）约定合同总额的软件开发业务 </w:t>
      </w:r>
      <w:r>
        <w:rPr>
          <w:rFonts w:ascii="Times New Roman" w:hAnsi="Times New Roman" w:cs="Times New Roman" w:eastAsia="Times New Roman" w:hint="default"/>
          <w:spacing w:val="-1"/>
        </w:rPr>
        <w:t>A</w:t>
      </w:r>
      <w:r>
        <w:rPr>
          <w:spacing w:val="-1"/>
        </w:rPr>
        <w:t>、在资产负债表日提供劳务交易的结果能够可靠估计的软件开发项目，采用完工百分比法（项目完工进度）确认软件</w:t>
      </w:r>
    </w:p>
    <w:p>
      <w:pPr>
        <w:pStyle w:val="BodyText"/>
        <w:spacing w:line="240" w:lineRule="auto" w:before="13"/>
        <w:ind w:right="93"/>
        <w:jc w:val="left"/>
      </w:pPr>
      <w:r>
        <w:rPr/>
        <w:t>开发收入。</w:t>
      </w:r>
    </w:p>
    <w:p>
      <w:pPr>
        <w:pStyle w:val="BodyText"/>
        <w:spacing w:line="309" w:lineRule="auto" w:before="76"/>
        <w:ind w:left="513" w:right="93"/>
        <w:jc w:val="left"/>
      </w:pPr>
      <w:r>
        <w:rPr/>
        <w:t>具体确认依据、时点和确认金额：按合同总收入</w:t>
      </w:r>
      <w:r>
        <w:rPr>
          <w:rFonts w:ascii="Times New Roman" w:hAnsi="Times New Roman" w:cs="Times New Roman" w:eastAsia="Times New Roman" w:hint="default"/>
        </w:rPr>
        <w:t>×</w:t>
      </w:r>
      <w:r>
        <w:rPr/>
        <w:t>完工百分比后确定的金额确认软件开发收入。 完工百分比的确定方法：按已发生的成本占预计总成本的比例来确定完工百分比。 </w:t>
      </w:r>
      <w:r>
        <w:rPr>
          <w:rFonts w:ascii="Times New Roman" w:hAnsi="Times New Roman" w:cs="Times New Roman" w:eastAsia="Times New Roman" w:hint="default"/>
          <w:spacing w:val="-3"/>
        </w:rPr>
        <w:t>B</w:t>
      </w:r>
      <w:r>
        <w:rPr>
          <w:spacing w:val="-3"/>
        </w:rPr>
        <w:t>、对在资产负债表日提供劳务交易结果不能可靠估计的软件开发项目，如果已经发生的劳务成本预计能够得到补偿的，</w:t>
      </w:r>
    </w:p>
    <w:p>
      <w:pPr>
        <w:pStyle w:val="BodyText"/>
        <w:spacing w:line="316" w:lineRule="auto" w:before="5"/>
        <w:ind w:right="93"/>
        <w:jc w:val="left"/>
      </w:pPr>
      <w:r>
        <w:rPr>
          <w:spacing w:val="-2"/>
        </w:rPr>
        <w:t>按照已经发生的劳务成本金额确认提供劳务收入，并按相同金额结转劳务成本。如果已经发生的劳务成本预计不能够得到补</w:t>
      </w:r>
      <w:r>
        <w:rPr>
          <w:spacing w:val="-64"/>
        </w:rPr>
        <w:t> </w:t>
      </w:r>
      <w:r>
        <w:rPr>
          <w:spacing w:val="-64"/>
        </w:rPr>
      </w:r>
      <w:r>
        <w:rPr/>
        <w:t>偿的，应当将已经发生的劳务成本计入当期损益，不确认提供劳务收入。</w:t>
      </w:r>
    </w:p>
    <w:p>
      <w:pPr>
        <w:pStyle w:val="BodyText"/>
        <w:spacing w:line="300" w:lineRule="auto" w:before="19"/>
        <w:ind w:left="513" w:right="93"/>
        <w:jc w:val="left"/>
      </w:pPr>
      <w:r>
        <w:rPr>
          <w:rFonts w:ascii="Times New Roman" w:hAnsi="Times New Roman" w:cs="Times New Roman" w:eastAsia="Times New Roman" w:hint="default"/>
        </w:rPr>
        <w:t>2</w:t>
      </w:r>
      <w:r>
        <w:rPr/>
        <w:t>）未约定合同总额的软件开发业务 </w:t>
      </w:r>
      <w:r>
        <w:rPr>
          <w:rFonts w:ascii="Times New Roman" w:hAnsi="Times New Roman" w:cs="Times New Roman" w:eastAsia="Times New Roman" w:hint="default"/>
          <w:spacing w:val="-1"/>
        </w:rPr>
        <w:t>A</w:t>
      </w:r>
      <w:r>
        <w:rPr>
          <w:spacing w:val="-1"/>
        </w:rPr>
        <w:t>、对在资产负债表日提供劳务交易结果可以可靠估计的软件开发项目，以双方确认的实际工作量及合同约定人月单价</w:t>
      </w:r>
    </w:p>
    <w:p>
      <w:pPr>
        <w:pStyle w:val="BodyText"/>
        <w:spacing w:line="240" w:lineRule="auto" w:before="13"/>
        <w:ind w:right="93"/>
        <w:jc w:val="left"/>
      </w:pPr>
      <w:r>
        <w:rPr/>
        <w:t>计算并确认为当期软件开发收入。</w:t>
      </w:r>
    </w:p>
    <w:p>
      <w:pPr>
        <w:pStyle w:val="BodyText"/>
        <w:spacing w:line="309" w:lineRule="auto" w:before="76"/>
        <w:ind w:right="93" w:firstLine="360"/>
        <w:jc w:val="left"/>
      </w:pPr>
      <w:r>
        <w:rPr>
          <w:rFonts w:ascii="Times New Roman" w:hAnsi="Times New Roman" w:cs="Times New Roman" w:eastAsia="Times New Roman" w:hint="default"/>
          <w:spacing w:val="-3"/>
        </w:rPr>
        <w:t>B</w:t>
      </w:r>
      <w:r>
        <w:rPr>
          <w:spacing w:val="-3"/>
        </w:rPr>
        <w:t>、对在资产负债表日提供劳务交易结果不能可靠估计的软件开发项目，如果已经发生的劳务成本预计能够得到补偿的，</w:t>
      </w:r>
      <w:r>
        <w:rPr/>
        <w:t> </w:t>
      </w:r>
      <w:r>
        <w:rPr>
          <w:spacing w:val="-2"/>
        </w:rPr>
        <w:t>按照已经发生的劳务成本金额确认提供劳务收入，并按相同金额结转劳务成本。如果已经发生的劳务成本预计不能够得到补</w:t>
      </w:r>
      <w:r>
        <w:rPr>
          <w:spacing w:val="-63"/>
        </w:rPr>
        <w:t> </w:t>
      </w:r>
      <w:r>
        <w:rPr>
          <w:spacing w:val="-63"/>
        </w:rPr>
      </w:r>
      <w:r>
        <w:rPr/>
        <w:t>偿的，应当将已经发生的劳务成本计入当期损益，不确认提供劳务收入。</w:t>
      </w:r>
    </w:p>
    <w:p>
      <w:pPr>
        <w:pStyle w:val="BodyText"/>
        <w:spacing w:line="240" w:lineRule="auto" w:before="24"/>
        <w:ind w:left="513" w:right="93"/>
        <w:jc w:val="left"/>
      </w:pPr>
      <w:r>
        <w:rPr/>
        <w:t>（</w:t>
      </w:r>
      <w:r>
        <w:rPr>
          <w:rFonts w:ascii="Times New Roman" w:hAnsi="Times New Roman" w:cs="Times New Roman" w:eastAsia="Times New Roman" w:hint="default"/>
        </w:rPr>
        <w:t>3</w:t>
      </w:r>
      <w:r>
        <w:rPr/>
        <w:t>）专业技术服务收入</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9" w:lineRule="auto" w:before="44"/>
        <w:ind w:right="190" w:firstLine="360"/>
        <w:jc w:val="both"/>
      </w:pPr>
      <w:r>
        <w:rPr/>
        <w:t>专业技术服务收入是指公司为客户提供专业的技术服务实现的收入，主要是指运营维护服务、专业</w:t>
      </w:r>
      <w:r>
        <w:rPr>
          <w:rFonts w:ascii="Times New Roman" w:hAnsi="Times New Roman" w:cs="Times New Roman" w:eastAsia="Times New Roman" w:hint="default"/>
        </w:rPr>
        <w:t>IT</w:t>
      </w:r>
      <w:r>
        <w:rPr>
          <w:rFonts w:ascii="Times New Roman" w:hAnsi="Times New Roman" w:cs="Times New Roman" w:eastAsia="Times New Roman" w:hint="default"/>
          <w:spacing w:val="25"/>
        </w:rPr>
        <w:t> </w:t>
      </w:r>
      <w:r>
        <w:rPr/>
        <w:t>技术服务和技术 </w:t>
      </w:r>
      <w:r>
        <w:rPr>
          <w:spacing w:val="-2"/>
        </w:rPr>
        <w:t>咨询服务。根据公司与客户合作模式的不同，主要分为约定合同总额的专业技术服务和未约定合同总额的专业技术服务。具</w:t>
      </w:r>
      <w:r>
        <w:rPr>
          <w:spacing w:val="-63"/>
        </w:rPr>
        <w:t> </w:t>
      </w:r>
      <w:r>
        <w:rPr>
          <w:spacing w:val="-63"/>
        </w:rPr>
      </w:r>
      <w:r>
        <w:rPr/>
        <w:t>体确认依据、时点和确认金额如下：</w:t>
      </w:r>
    </w:p>
    <w:p>
      <w:pPr>
        <w:pStyle w:val="BodyText"/>
        <w:spacing w:line="300" w:lineRule="auto" w:before="24"/>
        <w:ind w:left="513" w:right="93"/>
        <w:jc w:val="left"/>
      </w:pPr>
      <w:r>
        <w:rPr>
          <w:rFonts w:ascii="Times New Roman" w:hAnsi="Times New Roman" w:cs="Times New Roman" w:eastAsia="Times New Roman" w:hint="default"/>
        </w:rPr>
        <w:t>1</w:t>
      </w:r>
      <w:r>
        <w:rPr/>
        <w:t>）约定合同总额的专业技术服务 </w:t>
      </w:r>
      <w:r>
        <w:rPr>
          <w:rFonts w:ascii="Times New Roman" w:hAnsi="Times New Roman" w:cs="Times New Roman" w:eastAsia="Times New Roman" w:hint="default"/>
          <w:spacing w:val="-1"/>
        </w:rPr>
        <w:t>A</w:t>
      </w:r>
      <w:r>
        <w:rPr>
          <w:spacing w:val="-1"/>
        </w:rPr>
        <w:t>、大部分合同已约定了服务期间，因运营维护服务等在服务期间均衡发生，故每个报告期末按合同总收入和已提供服</w:t>
      </w:r>
    </w:p>
    <w:p>
      <w:pPr>
        <w:pStyle w:val="BodyText"/>
        <w:spacing w:line="240" w:lineRule="auto" w:before="13"/>
        <w:ind w:right="93"/>
        <w:jc w:val="left"/>
      </w:pPr>
      <w:r>
        <w:rPr/>
        <w:t>务期间占合同期间的比例确定的金额确认收入。</w:t>
      </w:r>
    </w:p>
    <w:p>
      <w:pPr>
        <w:pStyle w:val="BodyText"/>
        <w:spacing w:line="300" w:lineRule="auto" w:before="76"/>
        <w:ind w:right="249" w:firstLine="360"/>
        <w:jc w:val="both"/>
      </w:pPr>
      <w:r>
        <w:rPr>
          <w:rFonts w:ascii="Times New Roman" w:hAnsi="Times New Roman" w:cs="Times New Roman" w:eastAsia="Times New Roman" w:hint="default"/>
        </w:rPr>
        <w:t>B</w:t>
      </w:r>
      <w:r>
        <w:rPr/>
        <w:t>、对于少量未约定服务期间的合同，按合同总收入</w:t>
      </w:r>
      <w:r>
        <w:rPr>
          <w:rFonts w:ascii="Times New Roman" w:hAnsi="Times New Roman" w:cs="Times New Roman" w:eastAsia="Times New Roman" w:hint="default"/>
        </w:rPr>
        <w:t>×</w:t>
      </w:r>
      <w:r>
        <w:rPr/>
        <w:t>完工百分比后确定的金额确认技术服务收入。其中完工百分比确 认方法与软件开发合同一致，即按照已发生的成本占预计总成本的比例确认。</w:t>
      </w:r>
    </w:p>
    <w:p>
      <w:pPr>
        <w:pStyle w:val="BodyText"/>
        <w:spacing w:line="300" w:lineRule="auto" w:before="31"/>
        <w:ind w:left="513" w:right="93"/>
        <w:jc w:val="left"/>
      </w:pPr>
      <w:r>
        <w:rPr>
          <w:rFonts w:ascii="Times New Roman" w:hAnsi="Times New Roman" w:cs="Times New Roman" w:eastAsia="Times New Roman" w:hint="default"/>
        </w:rPr>
        <w:t>2</w:t>
      </w:r>
      <w:r>
        <w:rPr/>
        <w:t>）未约定合同总额的专业技术服务 </w:t>
      </w:r>
      <w:r>
        <w:rPr>
          <w:rFonts w:ascii="Times New Roman" w:hAnsi="Times New Roman" w:cs="Times New Roman" w:eastAsia="Times New Roman" w:hint="default"/>
          <w:spacing w:val="-1"/>
        </w:rPr>
        <w:t>A</w:t>
      </w:r>
      <w:r>
        <w:rPr>
          <w:spacing w:val="-1"/>
        </w:rPr>
        <w:t>、对在资产负债表日提供劳务交易结果可以可靠估计的专业技术服务项目，以双方确认的实际工作量及合同约定人月</w:t>
      </w:r>
    </w:p>
    <w:p>
      <w:pPr>
        <w:pStyle w:val="BodyText"/>
        <w:spacing w:line="240" w:lineRule="auto" w:before="13"/>
        <w:ind w:right="93"/>
        <w:jc w:val="left"/>
      </w:pPr>
      <w:r>
        <w:rPr/>
        <w:t>单价计算并确认为当期专业技术服务收入。</w:t>
      </w:r>
    </w:p>
    <w:p>
      <w:pPr>
        <w:pStyle w:val="BodyText"/>
        <w:spacing w:line="309" w:lineRule="auto" w:before="76"/>
        <w:ind w:right="190" w:firstLine="360"/>
        <w:jc w:val="both"/>
      </w:pPr>
      <w:r>
        <w:rPr>
          <w:rFonts w:ascii="Times New Roman" w:hAnsi="Times New Roman" w:cs="Times New Roman" w:eastAsia="Times New Roman" w:hint="default"/>
          <w:spacing w:val="-1"/>
        </w:rPr>
        <w:t>B</w:t>
      </w:r>
      <w:r>
        <w:rPr>
          <w:spacing w:val="-1"/>
        </w:rPr>
        <w:t>、对在资产负债表日提供劳务交易结果不能可靠估计的专业技术服务项目，如果已经发生的劳务成本预计能够得到补</w:t>
      </w:r>
      <w:r>
        <w:rPr/>
        <w:t> </w:t>
      </w:r>
      <w:r>
        <w:rPr>
          <w:spacing w:val="-2"/>
        </w:rPr>
        <w:t>偿的，按照已经发生的劳务成本金额确认提供劳务收入，并按相同金额结转劳务成本。如果已经发生的劳务成本预计不能够</w:t>
      </w:r>
      <w:r>
        <w:rPr>
          <w:spacing w:val="-63"/>
        </w:rPr>
        <w:t> </w:t>
      </w:r>
      <w:r>
        <w:rPr>
          <w:spacing w:val="-63"/>
        </w:rPr>
      </w:r>
      <w:r>
        <w:rPr/>
        <w:t>得到补偿的，应当将已经发生的劳务成本计入当期损益，不确认提供劳务收入。</w:t>
      </w:r>
    </w:p>
    <w:p>
      <w:pPr>
        <w:pStyle w:val="BodyText"/>
        <w:spacing w:line="316" w:lineRule="auto" w:before="24"/>
        <w:ind w:right="190" w:firstLine="360"/>
        <w:jc w:val="both"/>
      </w:pPr>
      <w:r>
        <w:rPr>
          <w:spacing w:val="-2"/>
        </w:rPr>
        <w:t>本公司与其他企业签订的合同或协议包括销售商品和提供劳务时，销售商品部分和提供劳务部分能够区分且能够单独计</w:t>
      </w:r>
      <w:r>
        <w:rPr/>
        <w:t> </w:t>
      </w:r>
      <w:r>
        <w:rPr>
          <w:spacing w:val="-2"/>
        </w:rPr>
        <w:t>量的，将销售商品的部分作为销售商品处理，将提供劳务的部分作为提供劳务处理。销售商品部分和提供劳务部分不能够区</w:t>
      </w:r>
      <w:r>
        <w:rPr>
          <w:spacing w:val="-63"/>
        </w:rPr>
        <w:t> </w:t>
      </w:r>
      <w:r>
        <w:rPr>
          <w:spacing w:val="-63"/>
        </w:rPr>
      </w:r>
      <w:r>
        <w:rPr/>
        <w:t>分，或虽能区分但不能够单独计量的，将销售商品部分和提供劳务部分全部作为销售商品处理。</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 w:firstLine="360"/>
        <w:jc w:val="both"/>
      </w:pPr>
      <w:r>
        <w:rPr>
          <w:spacing w:val="-4"/>
        </w:rPr>
        <w:t>与资产相关的政府补助，是指本公司取得的、用于购建或以其他方式形成长期资产的政府补助。与收益相关的政府补助，</w:t>
      </w:r>
      <w:r>
        <w:rPr/>
        <w:t> 是指除与资产相关的政府补助之外的政府补助。</w:t>
      </w:r>
    </w:p>
    <w:p>
      <w:pPr>
        <w:pStyle w:val="BodyText"/>
        <w:spacing w:line="240" w:lineRule="auto" w:before="19"/>
        <w:ind w:left="513" w:right="0"/>
        <w:jc w:val="left"/>
      </w:pPr>
      <w:r>
        <w:rPr/>
        <w:t>与资产相关的政府补助，确认为递延收益，按照所建造或购买的资产使用年限内按照合理、系统的方法分期计入损益。</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93"/>
        <w:jc w:val="left"/>
      </w:pPr>
      <w:r>
        <w:rPr/>
        <w:t>与收益相关的政府补助，是指除与资产相关的政府补助之外的政府补助。 </w:t>
      </w:r>
      <w:r>
        <w:rPr>
          <w:spacing w:val="-2"/>
        </w:rPr>
        <w:t>与收益相关的政府补助，用于补偿企业以后期间的相关费用或损失的，确认为递延收益，在确认相关费用或损失的期间</w:t>
      </w:r>
    </w:p>
    <w:p>
      <w:pPr>
        <w:pStyle w:val="BodyText"/>
        <w:spacing w:line="316" w:lineRule="auto" w:before="19"/>
        <w:ind w:left="513" w:right="93" w:hanging="361"/>
        <w:jc w:val="left"/>
      </w:pPr>
      <w:r>
        <w:rPr/>
        <w:t>计入当期损益；用于补偿企业已发生的相关费用或损失的，取得时直接计入当期损益。 与企业日常活动相关的政府补助计入其他收益；与企业日常活动无关的政府补助计入营业外收支。 </w:t>
      </w:r>
      <w:r>
        <w:rPr>
          <w:spacing w:val="-2"/>
        </w:rPr>
        <w:t>收到与政策性优惠贷款贴息相关的政府补助冲减相关借款费用；取得贷款银行提供的政策性优惠利率贷款的，以实际收</w:t>
      </w:r>
    </w:p>
    <w:p>
      <w:pPr>
        <w:pStyle w:val="BodyText"/>
        <w:spacing w:line="316" w:lineRule="auto" w:before="19"/>
        <w:ind w:left="513" w:right="93" w:hanging="361"/>
        <w:jc w:val="left"/>
      </w:pPr>
      <w:r>
        <w:rPr/>
        <w:t>到的借款金额作为借款的入账价值，按照借款本金和该政策性优惠利率计算相关借款费用。 已确认的政府补助需要返还时，初始确认时冲减相关资产账面价值的，调整资产账面价值；存在相关递延收益余额的，</w:t>
      </w:r>
    </w:p>
    <w:p>
      <w:pPr>
        <w:pStyle w:val="BodyText"/>
        <w:spacing w:line="240" w:lineRule="auto" w:before="19"/>
        <w:ind w:right="93"/>
        <w:jc w:val="left"/>
      </w:pPr>
      <w:r>
        <w:rPr/>
        <w:t>冲减相关递延收益账面余额，超出部分计入当期损益；不存在相关递延收益的，直接计入当期损益。</w:t>
      </w:r>
    </w:p>
    <w:p>
      <w:pPr>
        <w:spacing w:line="240" w:lineRule="auto" w:before="0"/>
        <w:rPr>
          <w:rFonts w:ascii="宋体" w:hAnsi="宋体" w:cs="宋体" w:eastAsia="宋体" w:hint="default"/>
          <w:sz w:val="18"/>
          <w:szCs w:val="18"/>
        </w:rPr>
      </w:pPr>
    </w:p>
    <w:p>
      <w:pPr>
        <w:pStyle w:val="Heading3"/>
        <w:spacing w:line="240" w:lineRule="auto" w:before="121"/>
        <w:ind w:right="93"/>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91" w:firstLine="360"/>
        <w:jc w:val="both"/>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计算确认。于资产负债</w:t>
      </w:r>
      <w:r>
        <w:rPr/>
        <w:t> 表日，递延所得税资产和递延所得税负债，按照预期收回该资产或清偿该负债期间的适用税率计量。</w:t>
      </w:r>
    </w:p>
    <w:p>
      <w:pPr>
        <w:pStyle w:val="BodyText"/>
        <w:spacing w:line="300" w:lineRule="auto" w:before="31"/>
        <w:ind w:left="513" w:right="93"/>
        <w:jc w:val="left"/>
      </w:pPr>
      <w:r>
        <w:rPr>
          <w:rFonts w:ascii="Times New Roman" w:hAnsi="Times New Roman" w:cs="Times New Roman" w:eastAsia="Times New Roman" w:hint="default"/>
        </w:rPr>
        <w:t>1</w:t>
      </w:r>
      <w:r>
        <w:rPr/>
        <w:t>．确认递延所得税资产的依据 </w:t>
      </w:r>
      <w:r>
        <w:rPr>
          <w:spacing w:val="-2"/>
        </w:rPr>
        <w:t>本公司以很可能取得用来抵扣可抵扣暂时性差异、能够结转以后年度的可抵扣亏损和税款抵减的应纳税所得额为限，确</w:t>
      </w:r>
    </w:p>
    <w:p>
      <w:pPr>
        <w:pStyle w:val="BodyText"/>
        <w:spacing w:line="316" w:lineRule="auto" w:before="31"/>
        <w:ind w:right="94"/>
        <w:jc w:val="left"/>
      </w:pPr>
      <w:r>
        <w:rPr>
          <w:spacing w:val="-2"/>
        </w:rPr>
        <w:t>认由可抵扣暂时性差异产生的递延所得税资产。但是，同时具有下列特征的交易中因资产或负债的初始确认所产生的递延所</w:t>
      </w:r>
      <w:r>
        <w:rPr>
          <w:spacing w:val="-64"/>
        </w:rPr>
        <w:t> </w:t>
      </w:r>
      <w:r>
        <w:rPr>
          <w:spacing w:val="-64"/>
        </w:rPr>
      </w:r>
      <w:r>
        <w:rPr/>
        <w:t>得税资产不予确认：（</w:t>
      </w:r>
      <w:r>
        <w:rPr>
          <w:rFonts w:ascii="Times New Roman" w:hAnsi="Times New Roman" w:cs="Times New Roman" w:eastAsia="Times New Roman" w:hint="default"/>
        </w:rPr>
        <w:t>1</w:t>
      </w:r>
      <w:r>
        <w:rPr/>
        <w:t>）该交易不是企业合并；（</w:t>
      </w:r>
      <w:r>
        <w:rPr>
          <w:rFonts w:ascii="Times New Roman" w:hAnsi="Times New Roman" w:cs="Times New Roman" w:eastAsia="Times New Roman" w:hint="default"/>
        </w:rPr>
        <w:t>2</w:t>
      </w:r>
      <w:r>
        <w:rPr/>
        <w:t>）交易发生时既不影响会计利润也不影响应纳税所得额或可抵扣亏损。</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3" w:firstLine="360"/>
        <w:jc w:val="left"/>
      </w:pPr>
      <w:r>
        <w:rPr>
          <w:spacing w:val="-2"/>
        </w:rPr>
        <w:t>对于与联营企业投资相关的可抵扣暂时性差异，同时满足下列条件的，确认相应的递延所得税资产：暂时性差异在可预</w:t>
      </w:r>
      <w:r>
        <w:rPr/>
        <w:t> 见的未来很可能转回，且未来很可能获得用来抵扣可抵扣暂时性差异的应纳税所得额。</w:t>
      </w:r>
    </w:p>
    <w:p>
      <w:pPr>
        <w:pStyle w:val="BodyText"/>
        <w:spacing w:line="300" w:lineRule="auto" w:before="17"/>
        <w:ind w:left="513" w:right="2433"/>
        <w:jc w:val="left"/>
      </w:pPr>
      <w:r>
        <w:rPr>
          <w:rFonts w:ascii="Times New Roman" w:hAnsi="Times New Roman" w:cs="Times New Roman" w:eastAsia="Times New Roman" w:hint="default"/>
        </w:rPr>
        <w:t>2</w:t>
      </w:r>
      <w:r>
        <w:rPr/>
        <w:t>．确认递延所得税负债的依据 公司将当期与以前期间应交未交的应纳税暂时性差异确认为递延所得税负债。但不包括：</w:t>
      </w:r>
    </w:p>
    <w:p>
      <w:pPr>
        <w:pStyle w:val="BodyText"/>
        <w:spacing w:line="240" w:lineRule="auto" w:before="31"/>
        <w:ind w:left="513" w:right="93"/>
        <w:jc w:val="left"/>
      </w:pPr>
      <w:r>
        <w:rPr/>
        <w:t>（</w:t>
      </w:r>
      <w:r>
        <w:rPr>
          <w:rFonts w:ascii="Times New Roman" w:hAnsi="Times New Roman" w:cs="Times New Roman" w:eastAsia="Times New Roman" w:hint="default"/>
        </w:rPr>
        <w:t>1</w:t>
      </w:r>
      <w:r>
        <w:rPr/>
        <w:t>）商誉的初始确认所形成的暂时性差异；</w:t>
      </w:r>
    </w:p>
    <w:p>
      <w:pPr>
        <w:pStyle w:val="BodyText"/>
        <w:spacing w:line="300" w:lineRule="auto" w:before="63"/>
        <w:ind w:right="184" w:firstLine="360"/>
        <w:jc w:val="left"/>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）非企业合并形成的交易或事项，且该交易或事项发生时既不影响会计利润，也不影响应纳税所得额（或可抵扣亏 损）所形成的暂时性差异；</w:t>
      </w:r>
    </w:p>
    <w:p>
      <w:pPr>
        <w:pStyle w:val="BodyText"/>
        <w:spacing w:line="300" w:lineRule="auto" w:before="31"/>
        <w:ind w:right="184" w:firstLine="360"/>
        <w:jc w:val="left"/>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）对于与子公司、联营企业投资相关的应纳税暂时性差异，该暂时性差异转回的时间能够控制并且该暂时性差异在 可预见的未来很可能不会转回。</w:t>
      </w:r>
    </w:p>
    <w:p>
      <w:pPr>
        <w:pStyle w:val="BodyText"/>
        <w:spacing w:line="240" w:lineRule="auto" w:before="31"/>
        <w:ind w:left="513" w:right="93"/>
        <w:jc w:val="left"/>
      </w:pPr>
      <w:r>
        <w:rPr>
          <w:rFonts w:ascii="Times New Roman" w:hAnsi="Times New Roman" w:cs="Times New Roman" w:eastAsia="Times New Roman" w:hint="default"/>
        </w:rPr>
        <w:t>3</w:t>
      </w:r>
      <w:r>
        <w:rPr/>
        <w:t>．同时满足下列条件时，将递延所得税资产及递延所得税负债以抵销后的净额列示</w:t>
      </w:r>
    </w:p>
    <w:p>
      <w:pPr>
        <w:pStyle w:val="BodyText"/>
        <w:spacing w:line="240" w:lineRule="auto" w:before="63"/>
        <w:ind w:left="513" w:right="93"/>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09" w:lineRule="auto" w:before="63"/>
        <w:ind w:right="191" w:firstLine="360"/>
        <w:jc w:val="both"/>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）递延所得税资产和递延所得税负债是与同一税收征管部门对同一纳税主体征收的所得税相关或者对不同的纳税主 </w:t>
      </w:r>
      <w:r>
        <w:rPr>
          <w:spacing w:val="-2"/>
        </w:rPr>
        <w:t>体相关，但在未来每一具有重要性的递延所得税资产和递延所得税负债转回的期间内，涉及的纳税主体体意图以净额结算当</w:t>
      </w:r>
      <w:r>
        <w:rPr>
          <w:spacing w:val="-63"/>
        </w:rPr>
        <w:t> </w:t>
      </w:r>
      <w:r>
        <w:rPr>
          <w:spacing w:val="-63"/>
        </w:rPr>
      </w:r>
      <w:r>
        <w:rPr/>
        <w:t>期所得税资产及当期所得税负债或是同时取得资产、清偿债务。</w:t>
      </w:r>
    </w:p>
    <w:p>
      <w:pPr>
        <w:spacing w:line="240" w:lineRule="auto" w:before="3"/>
        <w:rPr>
          <w:rFonts w:ascii="宋体" w:hAnsi="宋体" w:cs="宋体" w:eastAsia="宋体" w:hint="default"/>
          <w:sz w:val="23"/>
          <w:szCs w:val="23"/>
        </w:rPr>
      </w:pPr>
    </w:p>
    <w:p>
      <w:pPr>
        <w:pStyle w:val="Heading3"/>
        <w:spacing w:line="240" w:lineRule="auto"/>
        <w:ind w:right="93"/>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93"/>
        <w:jc w:val="left"/>
      </w:pPr>
      <w:r>
        <w:rPr/>
        <w:t>（</w:t>
      </w:r>
      <w:r>
        <w:rPr>
          <w:rFonts w:ascii="Times New Roman" w:hAnsi="Times New Roman" w:cs="Times New Roman" w:eastAsia="Times New Roman" w:hint="default"/>
        </w:rPr>
        <w:t>1</w:t>
      </w:r>
      <w:r>
        <w:rPr/>
        <w:t>）经营租入资产 </w:t>
      </w:r>
      <w:r>
        <w:rPr>
          <w:spacing w:val="-2"/>
        </w:rPr>
        <w:t>公司租入资产所支付的租赁费，在不扣除免租期的整个租赁期内，按直线法进行分摊，计入当期费用。公司支付的与租</w:t>
      </w:r>
    </w:p>
    <w:p>
      <w:pPr>
        <w:pStyle w:val="BodyText"/>
        <w:spacing w:line="316" w:lineRule="auto" w:before="31"/>
        <w:ind w:left="513" w:right="93" w:hanging="361"/>
        <w:jc w:val="left"/>
      </w:pPr>
      <w:r>
        <w:rPr/>
        <w:t>赁交易相关的初始直接费用，计入当期费用。 </w:t>
      </w:r>
      <w:r>
        <w:rPr>
          <w:spacing w:val="-2"/>
        </w:rPr>
        <w:t>资产出租方承担了应由公司承担的与租赁相关的费用时，公司将该部分费用从租金总额中扣除，按扣除后的租金费用在</w:t>
      </w:r>
    </w:p>
    <w:p>
      <w:pPr>
        <w:pStyle w:val="BodyText"/>
        <w:spacing w:line="240" w:lineRule="auto" w:before="19"/>
        <w:ind w:right="93"/>
        <w:jc w:val="left"/>
      </w:pPr>
      <w:r>
        <w:rPr/>
        <w:t>租赁期内分摊，计入当期费用。</w:t>
      </w:r>
    </w:p>
    <w:p>
      <w:pPr>
        <w:pStyle w:val="BodyText"/>
        <w:spacing w:line="300" w:lineRule="auto" w:before="76"/>
        <w:ind w:left="513" w:right="93"/>
        <w:jc w:val="left"/>
      </w:pPr>
      <w:r>
        <w:rPr/>
        <w:t>（</w:t>
      </w:r>
      <w:r>
        <w:rPr>
          <w:rFonts w:ascii="Times New Roman" w:hAnsi="Times New Roman" w:cs="Times New Roman" w:eastAsia="Times New Roman" w:hint="default"/>
        </w:rPr>
        <w:t>2</w:t>
      </w:r>
      <w:r>
        <w:rPr/>
        <w:t>）经营租出资产 </w:t>
      </w:r>
      <w:r>
        <w:rPr>
          <w:spacing w:val="-2"/>
        </w:rPr>
        <w:t>公司出租资产所收取的租赁费，在不扣除免租期的整个租赁期内，按直线法进行分摊，确认为租赁收入。公司支付的与</w:t>
      </w:r>
    </w:p>
    <w:p>
      <w:pPr>
        <w:pStyle w:val="BodyText"/>
        <w:spacing w:line="316" w:lineRule="auto" w:before="31"/>
        <w:ind w:right="93"/>
        <w:jc w:val="left"/>
      </w:pPr>
      <w:r>
        <w:rPr>
          <w:spacing w:val="-2"/>
        </w:rPr>
        <w:t>租赁交易相关的初始直接费用，计入当期费用；如金额较大的，则予以资本化，在整个租赁期间内按照与租赁收入确认相同</w:t>
      </w:r>
      <w:r>
        <w:rPr>
          <w:spacing w:val="-66"/>
        </w:rPr>
        <w:t> </w:t>
      </w:r>
      <w:r>
        <w:rPr>
          <w:spacing w:val="-66"/>
        </w:rPr>
      </w:r>
      <w:r>
        <w:rPr/>
        <w:t>的基础分期计入当期收益。</w:t>
      </w:r>
    </w:p>
    <w:p>
      <w:pPr>
        <w:pStyle w:val="BodyText"/>
        <w:spacing w:line="316" w:lineRule="auto" w:before="19"/>
        <w:ind w:right="93" w:firstLine="360"/>
        <w:jc w:val="left"/>
      </w:pPr>
      <w:r>
        <w:rPr>
          <w:spacing w:val="-2"/>
        </w:rPr>
        <w:t>公司承担了应由承租方承担的与租赁相关的费用时，公司将该部分费用从租金收入总额中扣除，按扣除后的租金费用在</w:t>
      </w:r>
      <w:r>
        <w:rPr/>
        <w:t> 租赁期内分配。</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84" w:firstLine="36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 账价值，将最低租赁付款额作为长期应付款的入账价值，其差额作为未确认的融资费用。</w:t>
      </w:r>
    </w:p>
    <w:p>
      <w:pPr>
        <w:pStyle w:val="BodyText"/>
        <w:spacing w:line="240" w:lineRule="auto" w:before="31"/>
        <w:ind w:left="513" w:right="93"/>
        <w:jc w:val="left"/>
      </w:pPr>
      <w:r>
        <w:rPr/>
        <w:t>公司采用实际利率法对未确认的融资费用，在资产租赁期间内摊销，计入财务费用。</w:t>
      </w:r>
    </w:p>
    <w:p>
      <w:pPr>
        <w:pStyle w:val="BodyText"/>
        <w:spacing w:line="309" w:lineRule="auto" w:before="76"/>
        <w:ind w:right="93" w:firstLine="360"/>
        <w:jc w:val="left"/>
      </w:pPr>
      <w:r>
        <w:rPr>
          <w:spacing w:val="-2"/>
        </w:rPr>
        <w:t>（</w:t>
      </w:r>
      <w:r>
        <w:rPr>
          <w:rFonts w:ascii="Times New Roman" w:hAnsi="Times New Roman" w:cs="Times New Roman" w:eastAsia="Times New Roman"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3"/>
        <w:rPr>
          <w:rFonts w:ascii="宋体" w:hAnsi="宋体" w:cs="宋体" w:eastAsia="宋体" w:hint="default"/>
          <w:sz w:val="23"/>
          <w:szCs w:val="23"/>
        </w:rPr>
      </w:pPr>
    </w:p>
    <w:p>
      <w:pPr>
        <w:pStyle w:val="Heading3"/>
        <w:spacing w:line="240" w:lineRule="auto"/>
        <w:ind w:right="93"/>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3"/>
        <w:jc w:val="left"/>
      </w:pPr>
      <w:r>
        <w:rPr>
          <w:rFonts w:ascii="Times New Roman" w:hAnsi="Times New Roman" w:cs="Times New Roman" w:eastAsia="Times New Roman" w:hint="default"/>
        </w:rPr>
        <w:t>1</w:t>
      </w:r>
      <w:r>
        <w:rPr/>
        <w:t>、会计政策变更</w:t>
      </w:r>
    </w:p>
    <w:p>
      <w:pPr>
        <w:pStyle w:val="BodyText"/>
        <w:spacing w:line="240" w:lineRule="auto" w:before="62"/>
        <w:ind w:left="513" w:right="93"/>
        <w:jc w:val="left"/>
      </w:pPr>
      <w:r>
        <w:rPr/>
        <w:t>（</w:t>
      </w:r>
      <w:r>
        <w:rPr>
          <w:rFonts w:ascii="Times New Roman" w:hAnsi="Times New Roman" w:cs="Times New Roman" w:eastAsia="Times New Roman" w:hint="default"/>
        </w:rPr>
        <w:t>1</w:t>
      </w:r>
      <w:r>
        <w:rPr/>
        <w:t>）执行新的政府补助准则</w:t>
      </w:r>
    </w:p>
    <w:p>
      <w:pPr>
        <w:pStyle w:val="BodyText"/>
        <w:spacing w:line="240" w:lineRule="auto" w:before="63"/>
        <w:ind w:left="513"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日，财政部公布了修订后的《企业会计准则第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政府补助》，该准则修订自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w:t>
      </w:r>
    </w:p>
    <w:p>
      <w:pPr>
        <w:spacing w:after="0" w:line="240" w:lineRule="auto"/>
        <w:jc w:val="left"/>
        <w:sectPr>
          <w:footerReference w:type="default" r:id="rId23"/>
          <w:pgSz w:w="11910" w:h="16840"/>
          <w:pgMar w:footer="980" w:header="745" w:top="1060" w:bottom="1160" w:left="980" w:right="940"/>
          <w:pgNumType w:start="109"/>
        </w:sectPr>
      </w:pPr>
    </w:p>
    <w:p>
      <w:pPr>
        <w:spacing w:line="240" w:lineRule="auto" w:before="9"/>
        <w:rPr>
          <w:rFonts w:ascii="宋体" w:hAnsi="宋体" w:cs="宋体" w:eastAsia="宋体" w:hint="default"/>
          <w:sz w:val="25"/>
          <w:szCs w:val="25"/>
        </w:rPr>
      </w:pPr>
    </w:p>
    <w:p>
      <w:pPr>
        <w:pStyle w:val="BodyText"/>
        <w:spacing w:line="300" w:lineRule="auto" w:before="44"/>
        <w:ind w:right="93"/>
        <w:jc w:val="left"/>
      </w:pPr>
      <w:r>
        <w:rPr>
          <w:spacing w:val="-2"/>
        </w:rPr>
        <w:t>同时要求企业对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日存在的政府补助采用未来适用法处理，对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日至该准则施行日之间新增的政府补助根</w:t>
      </w:r>
      <w:r>
        <w:rPr>
          <w:spacing w:val="-58"/>
        </w:rPr>
        <w:t> </w:t>
      </w:r>
      <w:r>
        <w:rPr>
          <w:spacing w:val="-58"/>
        </w:rPr>
      </w:r>
      <w:r>
        <w:rPr/>
        <w:t>据修订后的准则进行调整。</w:t>
      </w:r>
    </w:p>
    <w:p>
      <w:pPr>
        <w:pStyle w:val="BodyText"/>
        <w:spacing w:line="300" w:lineRule="auto" w:before="31"/>
        <w:ind w:right="93" w:firstLine="360"/>
        <w:jc w:val="left"/>
      </w:pPr>
      <w:r>
        <w:rPr>
          <w:spacing w:val="-2"/>
        </w:rPr>
        <w:t>本公司对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日存在的政府补助采用未来适用法处理，对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日至本准则实施之日间新增的政府补助根据</w:t>
      </w:r>
      <w:r>
        <w:rPr/>
        <w:t> 本准则进行调整。</w:t>
      </w:r>
    </w:p>
    <w:p>
      <w:pPr>
        <w:pStyle w:val="BodyText"/>
        <w:spacing w:line="240" w:lineRule="auto" w:before="31"/>
        <w:ind w:left="513" w:right="93"/>
        <w:jc w:val="left"/>
      </w:pPr>
      <w:r>
        <w:rPr/>
        <w:t>（</w:t>
      </w:r>
      <w:r>
        <w:rPr>
          <w:rFonts w:ascii="Times New Roman" w:hAnsi="Times New Roman" w:cs="Times New Roman" w:eastAsia="Times New Roman" w:hint="default"/>
        </w:rPr>
        <w:t>2</w:t>
      </w:r>
      <w:r>
        <w:rPr/>
        <w:t>）执行第</w:t>
      </w:r>
      <w:r>
        <w:rPr>
          <w:rFonts w:ascii="Times New Roman" w:hAnsi="Times New Roman" w:cs="Times New Roman" w:eastAsia="Times New Roman" w:hint="default"/>
        </w:rPr>
        <w:t>42</w:t>
      </w:r>
      <w:r>
        <w:rPr/>
        <w:t>号准则</w:t>
      </w:r>
    </w:p>
    <w:p>
      <w:pPr>
        <w:pStyle w:val="BodyText"/>
        <w:spacing w:line="300" w:lineRule="auto" w:before="63"/>
        <w:ind w:right="93" w:firstLine="360"/>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28</w:t>
      </w:r>
      <w:r>
        <w:rPr>
          <w:spacing w:val="-3"/>
        </w:rPr>
        <w:t>日，财政部发布了《企业会计准则第</w:t>
      </w:r>
      <w:r>
        <w:rPr>
          <w:rFonts w:ascii="Times New Roman" w:hAnsi="Times New Roman" w:cs="Times New Roman" w:eastAsia="Times New Roman" w:hint="default"/>
          <w:spacing w:val="-3"/>
        </w:rPr>
        <w:t>42</w:t>
      </w:r>
      <w:r>
        <w:rPr>
          <w:spacing w:val="-3"/>
        </w:rPr>
        <w:t>号</w:t>
      </w:r>
      <w:r>
        <w:rPr>
          <w:rFonts w:ascii="Times New Roman" w:hAnsi="Times New Roman" w:cs="Times New Roman" w:eastAsia="Times New Roman" w:hint="default"/>
          <w:spacing w:val="-3"/>
        </w:rPr>
        <w:t>——</w:t>
      </w:r>
      <w:r>
        <w:rPr>
          <w:spacing w:val="-3"/>
        </w:rPr>
        <w:t>持有待售的非流动资产、处置组和终止经营》，该准则自</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日起施行。本公司根据该准则及财政部《关于修订印发一般企业财务报表格式的通知》（财会〔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30</w:t>
      </w:r>
      <w:r>
        <w:rPr>
          <w:spacing w:val="-2"/>
        </w:rPr>
        <w:t>号的规定，</w:t>
      </w:r>
      <w:r>
        <w:rPr>
          <w:spacing w:val="-61"/>
        </w:rPr>
        <w:t> </w:t>
      </w:r>
      <w:r>
        <w:rPr>
          <w:spacing w:val="-61"/>
        </w:rPr>
      </w:r>
      <w:r>
        <w:rPr/>
        <w:t>在利润表中新增了</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项目，并对净利润按经营持续性进行分类列报。本公司按照《企业会计准则第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 务报表列报》等的相关规定，对可比期间的比较数据进行调整。</w:t>
      </w:r>
    </w:p>
    <w:p>
      <w:pPr>
        <w:pStyle w:val="BodyText"/>
        <w:spacing w:line="240" w:lineRule="auto" w:before="31"/>
        <w:ind w:left="513" w:right="93"/>
        <w:jc w:val="left"/>
      </w:pPr>
      <w:r>
        <w:rPr/>
        <w:t>本次会计政策变更对公司的影响如下：</w:t>
      </w:r>
    </w:p>
    <w:p>
      <w:pPr>
        <w:spacing w:line="240" w:lineRule="auto" w:before="3"/>
        <w:rPr>
          <w:rFonts w:ascii="宋体" w:hAnsi="宋体" w:cs="宋体" w:eastAsia="宋体" w:hint="default"/>
          <w:sz w:val="5"/>
          <w:szCs w:val="5"/>
        </w:rPr>
      </w:pPr>
    </w:p>
    <w:tbl>
      <w:tblPr>
        <w:tblW w:w="0" w:type="auto"/>
        <w:jc w:val="left"/>
        <w:tblInd w:w="395" w:type="dxa"/>
        <w:tblLayout w:type="fixed"/>
        <w:tblCellMar>
          <w:top w:w="0" w:type="dxa"/>
          <w:left w:w="0" w:type="dxa"/>
          <w:bottom w:w="0" w:type="dxa"/>
          <w:right w:w="0" w:type="dxa"/>
        </w:tblCellMar>
        <w:tblLook w:val="01E0"/>
      </w:tblPr>
      <w:tblGrid>
        <w:gridCol w:w="4707"/>
        <w:gridCol w:w="4419"/>
      </w:tblGrid>
      <w:tr>
        <w:trPr>
          <w:trHeight w:val="598" w:hRule="exact"/>
        </w:trPr>
        <w:tc>
          <w:tcPr>
            <w:tcW w:w="470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42"/>
              <w:ind w:left="125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441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42"/>
              <w:ind w:left="854" w:right="0"/>
              <w:jc w:val="left"/>
              <w:rPr>
                <w:rFonts w:ascii="宋体" w:hAnsi="宋体" w:cs="宋体" w:eastAsia="宋体" w:hint="default"/>
                <w:sz w:val="18"/>
                <w:szCs w:val="18"/>
              </w:rPr>
            </w:pPr>
            <w:r>
              <w:rPr>
                <w:rFonts w:ascii="宋体" w:hAnsi="宋体" w:cs="宋体" w:eastAsia="宋体" w:hint="default"/>
                <w:sz w:val="18"/>
                <w:szCs w:val="18"/>
              </w:rPr>
              <w:t>本期受影响的报表项目名称和金额</w:t>
            </w:r>
          </w:p>
        </w:tc>
      </w:tr>
      <w:tr>
        <w:trPr>
          <w:trHeight w:val="728"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367" w:lineRule="auto" w:before="32"/>
              <w:ind w:left="93" w:right="108"/>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）在利润表中分别列示“持续经营净利润”和“终止</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经营净利润”。比较数据相应调整。</w:t>
            </w:r>
          </w:p>
        </w:tc>
        <w:tc>
          <w:tcPr>
            <w:tcW w:w="4419" w:type="dxa"/>
            <w:tcBorders>
              <w:top w:val="single" w:sz="4" w:space="0" w:color="000000"/>
              <w:left w:val="single" w:sz="4" w:space="0" w:color="000000"/>
              <w:bottom w:val="single" w:sz="4" w:space="0" w:color="000000"/>
              <w:right w:val="single" w:sz="12" w:space="0" w:color="000000"/>
            </w:tcBorders>
          </w:tcPr>
          <w:p>
            <w:pPr>
              <w:pStyle w:val="TableParagraph"/>
              <w:spacing w:line="348" w:lineRule="auto" w:before="32"/>
              <w:ind w:left="103" w:right="734"/>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r>
              <w:rPr>
                <w:rFonts w:ascii="Times New Roman" w:hAnsi="Times New Roman" w:cs="Times New Roman" w:eastAsia="Times New Roman" w:hint="default"/>
                <w:sz w:val="18"/>
                <w:szCs w:val="18"/>
              </w:rPr>
              <w:t>36,186,563.05</w:t>
            </w:r>
            <w:r>
              <w:rPr>
                <w:rFonts w:ascii="宋体" w:hAnsi="宋体" w:cs="宋体" w:eastAsia="宋体" w:hint="default"/>
                <w:sz w:val="18"/>
                <w:szCs w:val="18"/>
              </w:rPr>
              <w:t>元 列示终止经营净利润本年金额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tc>
      </w:tr>
      <w:tr>
        <w:trPr>
          <w:trHeight w:val="727"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367" w:lineRule="auto" w:before="32"/>
              <w:ind w:left="93" w:right="14"/>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）与本公司日常活动相关的政府补助，计入其他收益， 不再计入相关成本费用、营业外收入。比较数据不调整。</w:t>
            </w:r>
          </w:p>
        </w:tc>
        <w:tc>
          <w:tcPr>
            <w:tcW w:w="4419" w:type="dxa"/>
            <w:tcBorders>
              <w:top w:val="single" w:sz="4" w:space="0" w:color="000000"/>
              <w:left w:val="single" w:sz="4" w:space="0" w:color="000000"/>
              <w:bottom w:val="single" w:sz="4" w:space="0" w:color="000000"/>
              <w:right w:val="single" w:sz="12" w:space="0" w:color="000000"/>
            </w:tcBorders>
          </w:tcPr>
          <w:p>
            <w:pPr>
              <w:pStyle w:val="TableParagraph"/>
              <w:spacing w:line="345" w:lineRule="auto" w:before="32"/>
              <w:ind w:left="103" w:right="1367"/>
              <w:jc w:val="left"/>
              <w:rPr>
                <w:rFonts w:ascii="宋体" w:hAnsi="宋体" w:cs="宋体" w:eastAsia="宋体" w:hint="default"/>
                <w:sz w:val="18"/>
                <w:szCs w:val="18"/>
              </w:rPr>
            </w:pPr>
            <w:r>
              <w:rPr>
                <w:rFonts w:ascii="宋体" w:hAnsi="宋体" w:cs="宋体" w:eastAsia="宋体" w:hint="default"/>
                <w:sz w:val="18"/>
                <w:szCs w:val="18"/>
              </w:rPr>
              <w:t>本期：营业外收入减少</w:t>
            </w:r>
            <w:r>
              <w:rPr>
                <w:rFonts w:ascii="Times New Roman" w:hAnsi="Times New Roman" w:cs="Times New Roman" w:eastAsia="Times New Roman" w:hint="default"/>
                <w:sz w:val="18"/>
                <w:szCs w:val="18"/>
              </w:rPr>
              <w:t>2,336,973.17</w:t>
            </w:r>
            <w:r>
              <w:rPr>
                <w:rFonts w:ascii="宋体" w:hAnsi="宋体" w:cs="宋体" w:eastAsia="宋体" w:hint="default"/>
                <w:sz w:val="18"/>
                <w:szCs w:val="18"/>
              </w:rPr>
              <w:t>元 本期：其他收益增加</w:t>
            </w:r>
            <w:r>
              <w:rPr>
                <w:rFonts w:ascii="Times New Roman" w:hAnsi="Times New Roman" w:cs="Times New Roman" w:eastAsia="Times New Roman" w:hint="default"/>
                <w:sz w:val="18"/>
                <w:szCs w:val="18"/>
              </w:rPr>
              <w:t>2,336,973.17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2174" w:hRule="exact"/>
        </w:trPr>
        <w:tc>
          <w:tcPr>
            <w:tcW w:w="470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64" w:lineRule="auto"/>
              <w:ind w:left="93" w:right="10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）在利润表中新增“资产处置收益”项目，将部分</w:t>
            </w:r>
            <w:r>
              <w:rPr>
                <w:rFonts w:ascii="宋体" w:hAnsi="宋体" w:cs="宋体" w:eastAsia="宋体" w:hint="default"/>
                <w:spacing w:val="-10"/>
                <w:sz w:val="18"/>
                <w:szCs w:val="18"/>
              </w:rPr>
              <w:t> </w:t>
            </w:r>
            <w:r>
              <w:rPr>
                <w:rFonts w:ascii="宋体" w:hAnsi="宋体" w:cs="宋体" w:eastAsia="宋体" w:hint="default"/>
                <w:sz w:val="18"/>
                <w:szCs w:val="18"/>
              </w:rPr>
              <w:t>原</w:t>
            </w:r>
            <w:r>
              <w:rPr>
                <w:rFonts w:ascii="宋体" w:hAnsi="宋体" w:cs="宋体" w:eastAsia="宋体" w:hint="default"/>
                <w:sz w:val="18"/>
                <w:szCs w:val="18"/>
              </w:rPr>
              <w:t> 列示为“营业外收入”及“营业外支出”的资产处置损益 重分类至“资产处置收益”项目。比较数据相应调整。</w:t>
            </w:r>
          </w:p>
        </w:tc>
        <w:tc>
          <w:tcPr>
            <w:tcW w:w="4419" w:type="dxa"/>
            <w:tcBorders>
              <w:top w:val="single" w:sz="4" w:space="0" w:color="000000"/>
              <w:left w:val="single" w:sz="4" w:space="0" w:color="000000"/>
              <w:bottom w:val="single" w:sz="12" w:space="0" w:color="000000"/>
              <w:right w:val="single" w:sz="12" w:space="0" w:color="000000"/>
            </w:tcBorders>
          </w:tcPr>
          <w:p>
            <w:pPr>
              <w:pStyle w:val="TableParagraph"/>
              <w:spacing w:line="345" w:lineRule="auto" w:before="32"/>
              <w:ind w:left="103" w:right="1351"/>
              <w:jc w:val="left"/>
              <w:rPr>
                <w:rFonts w:ascii="宋体" w:hAnsi="宋体" w:cs="宋体" w:eastAsia="宋体" w:hint="default"/>
                <w:sz w:val="18"/>
                <w:szCs w:val="18"/>
              </w:rPr>
            </w:pPr>
            <w:r>
              <w:rPr>
                <w:rFonts w:ascii="宋体" w:hAnsi="宋体" w:cs="宋体" w:eastAsia="宋体" w:hint="default"/>
                <w:sz w:val="18"/>
                <w:szCs w:val="18"/>
              </w:rPr>
              <w:t>本期：营业外收入减少</w:t>
            </w:r>
            <w:r>
              <w:rPr>
                <w:rFonts w:ascii="Times New Roman" w:hAnsi="Times New Roman" w:cs="Times New Roman" w:eastAsia="Times New Roman" w:hint="default"/>
                <w:sz w:val="18"/>
                <w:szCs w:val="18"/>
              </w:rPr>
              <w:t>141.28</w:t>
            </w:r>
            <w:r>
              <w:rPr>
                <w:rFonts w:ascii="宋体" w:hAnsi="宋体" w:cs="宋体" w:eastAsia="宋体" w:hint="default"/>
                <w:sz w:val="18"/>
                <w:szCs w:val="18"/>
              </w:rPr>
              <w:t>元 本期：营业外支出减少</w:t>
            </w:r>
            <w:r>
              <w:rPr>
                <w:rFonts w:ascii="Times New Roman" w:hAnsi="Times New Roman" w:cs="Times New Roman" w:eastAsia="Times New Roman" w:hint="default"/>
                <w:sz w:val="18"/>
                <w:szCs w:val="18"/>
              </w:rPr>
              <w:t>30,306.89</w:t>
            </w:r>
            <w:r>
              <w:rPr>
                <w:rFonts w:ascii="宋体" w:hAnsi="宋体" w:cs="宋体" w:eastAsia="宋体" w:hint="default"/>
                <w:sz w:val="18"/>
                <w:szCs w:val="18"/>
              </w:rPr>
              <w:t>元 本期：资产处置收益增加</w:t>
            </w:r>
            <w:r>
              <w:rPr>
                <w:rFonts w:ascii="Times New Roman" w:hAnsi="Times New Roman" w:cs="Times New Roman" w:eastAsia="Times New Roman" w:hint="default"/>
                <w:sz w:val="18"/>
                <w:szCs w:val="18"/>
              </w:rPr>
              <w:t>-30,165.61</w:t>
            </w:r>
            <w:r>
              <w:rPr>
                <w:rFonts w:ascii="宋体" w:hAnsi="宋体" w:cs="宋体" w:eastAsia="宋体" w:hint="default"/>
                <w:sz w:val="18"/>
                <w:szCs w:val="18"/>
              </w:rPr>
              <w:t>元 上期：营业外收入减少</w:t>
            </w:r>
            <w:r>
              <w:rPr>
                <w:rFonts w:ascii="Times New Roman" w:hAnsi="Times New Roman" w:cs="Times New Roman" w:eastAsia="Times New Roman" w:hint="default"/>
                <w:sz w:val="18"/>
                <w:szCs w:val="18"/>
              </w:rPr>
              <w:t>200.00</w:t>
            </w:r>
            <w:r>
              <w:rPr>
                <w:rFonts w:ascii="宋体" w:hAnsi="宋体" w:cs="宋体" w:eastAsia="宋体" w:hint="default"/>
                <w:sz w:val="18"/>
                <w:szCs w:val="18"/>
              </w:rPr>
              <w:t>元 上期：营业外支出减少</w:t>
            </w:r>
            <w:r>
              <w:rPr>
                <w:rFonts w:ascii="Times New Roman" w:hAnsi="Times New Roman" w:cs="Times New Roman" w:eastAsia="Times New Roman" w:hint="default"/>
                <w:sz w:val="18"/>
                <w:szCs w:val="18"/>
              </w:rPr>
              <w:t>4,921.70</w:t>
            </w:r>
            <w:r>
              <w:rPr>
                <w:rFonts w:ascii="宋体" w:hAnsi="宋体" w:cs="宋体" w:eastAsia="宋体" w:hint="default"/>
                <w:sz w:val="18"/>
                <w:szCs w:val="18"/>
              </w:rPr>
              <w:t>元 上期：资产处置收益增加</w:t>
            </w:r>
            <w:r>
              <w:rPr>
                <w:rFonts w:ascii="Times New Roman" w:hAnsi="Times New Roman" w:cs="Times New Roman" w:eastAsia="Times New Roman" w:hint="default"/>
                <w:sz w:val="18"/>
                <w:szCs w:val="18"/>
              </w:rPr>
              <w:t>-4,721.70</w:t>
            </w:r>
            <w:r>
              <w:rPr>
                <w:rFonts w:ascii="宋体" w:hAnsi="宋体" w:cs="宋体" w:eastAsia="宋体" w:hint="default"/>
                <w:sz w:val="18"/>
                <w:szCs w:val="18"/>
              </w:rPr>
              <w:t>元</w:t>
            </w:r>
          </w:p>
        </w:tc>
      </w:tr>
    </w:tbl>
    <w:p>
      <w:pPr>
        <w:pStyle w:val="BodyText"/>
        <w:spacing w:line="240" w:lineRule="auto" w:before="8"/>
        <w:ind w:left="495" w:right="8101"/>
        <w:jc w:val="center"/>
      </w:pPr>
      <w:r>
        <w:rPr>
          <w:rFonts w:ascii="Times New Roman" w:hAnsi="Times New Roman" w:cs="Times New Roman" w:eastAsia="Times New Roman" w:hint="default"/>
        </w:rPr>
        <w:t>2</w:t>
      </w:r>
      <w:r>
        <w:rPr/>
        <w:t>、会计估计变更</w:t>
      </w:r>
    </w:p>
    <w:p>
      <w:pPr>
        <w:pStyle w:val="BodyText"/>
        <w:spacing w:line="307" w:lineRule="auto" w:before="63"/>
        <w:ind w:right="188"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日本公司召开的第九届董事会第四次会议审议通过了《关于公司会计估计变更的议案》，决定于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 </w:t>
      </w:r>
      <w:r>
        <w:rPr/>
        <w:t>月</w:t>
      </w:r>
      <w:r>
        <w:rPr>
          <w:rFonts w:ascii="Times New Roman" w:hAnsi="Times New Roman" w:cs="Times New Roman" w:eastAsia="Times New Roman" w:hint="default"/>
        </w:rPr>
        <w:t>1</w:t>
      </w:r>
      <w:r>
        <w:rPr/>
        <w:t>日起对固定资产折旧年限进行变更。对房屋及建筑物重新核定资产折旧年限：变更前为</w:t>
      </w:r>
      <w:r>
        <w:rPr>
          <w:rFonts w:ascii="Times New Roman" w:hAnsi="Times New Roman" w:cs="Times New Roman" w:eastAsia="Times New Roman" w:hint="default"/>
        </w:rPr>
        <w:t>20</w:t>
      </w:r>
      <w:r>
        <w:rPr/>
        <w:t>年，变更后为</w:t>
      </w:r>
      <w:r>
        <w:rPr>
          <w:rFonts w:ascii="Times New Roman" w:hAnsi="Times New Roman" w:cs="Times New Roman" w:eastAsia="Times New Roman" w:hint="default"/>
        </w:rPr>
        <w:t>20</w:t>
      </w:r>
      <w:r>
        <w:rPr/>
        <w:t>至</w:t>
      </w:r>
      <w:r>
        <w:rPr>
          <w:rFonts w:ascii="Times New Roman" w:hAnsi="Times New Roman" w:cs="Times New Roman" w:eastAsia="Times New Roman" w:hint="default"/>
        </w:rPr>
        <w:t>40</w:t>
      </w:r>
      <w:r>
        <w:rPr/>
        <w:t>年；本次</w:t>
      </w:r>
      <w:r>
        <w:rPr>
          <w:spacing w:val="-86"/>
        </w:rPr>
        <w:t> </w:t>
      </w:r>
      <w:r>
        <w:rPr>
          <w:spacing w:val="-2"/>
        </w:rPr>
        <w:t>会计估计变更采用未来适用法进行会计处理，不需追溯调整，本次变更前已有房产的折旧年限保持不变，不会对当期及以前</w:t>
      </w:r>
      <w:r>
        <w:rPr>
          <w:spacing w:val="-61"/>
        </w:rPr>
        <w:t> </w:t>
      </w:r>
      <w:r>
        <w:rPr>
          <w:spacing w:val="-61"/>
        </w:rPr>
      </w:r>
      <w:r>
        <w:rPr/>
        <w:t>年度财务状况和经营成果产生影响，本次会计估计变更无需对已披露的财务报告进行追溯调整。</w:t>
      </w:r>
    </w:p>
    <w:p>
      <w:pPr>
        <w:spacing w:line="240" w:lineRule="auto" w:before="4"/>
        <w:rPr>
          <w:rFonts w:ascii="宋体" w:hAnsi="宋体" w:cs="宋体" w:eastAsia="宋体" w:hint="default"/>
          <w:sz w:val="23"/>
          <w:szCs w:val="23"/>
        </w:rPr>
      </w:pPr>
    </w:p>
    <w:p>
      <w:pPr>
        <w:pStyle w:val="Heading3"/>
        <w:spacing w:line="240" w:lineRule="auto"/>
        <w:ind w:right="93"/>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26"/>
          <w:szCs w:val="26"/>
        </w:rPr>
      </w:pPr>
    </w:p>
    <w:p>
      <w:pPr>
        <w:pStyle w:val="Heading3"/>
        <w:spacing w:line="240" w:lineRule="auto"/>
        <w:ind w:right="93"/>
        <w:jc w:val="left"/>
        <w:rPr>
          <w:b w:val="0"/>
          <w:bCs w:val="0"/>
        </w:rPr>
      </w:pPr>
      <w:r>
        <w:rPr>
          <w:rFonts w:ascii="Times New Roman" w:hAnsi="Times New Roman" w:cs="Times New Roman" w:eastAsia="Times New Roman" w:hint="default"/>
        </w:rPr>
        <w:t>34</w:t>
      </w:r>
      <w:r>
        <w:rPr/>
        <w:t>、其他</w:t>
      </w:r>
      <w:r>
        <w:rPr>
          <w:b w:val="0"/>
          <w:bCs w:val="0"/>
        </w:rPr>
      </w:r>
    </w:p>
    <w:p>
      <w:pPr>
        <w:spacing w:after="0" w:line="240" w:lineRule="auto"/>
        <w:jc w:val="left"/>
        <w:sectPr>
          <w:footerReference w:type="default" r:id="rId24"/>
          <w:pgSz w:w="11910" w:h="16840"/>
          <w:pgMar w:footer="980" w:header="745" w:top="1060" w:bottom="1160" w:left="980" w:right="940"/>
          <w:pgNumType w:start="110"/>
        </w:sectPr>
      </w:pPr>
    </w:p>
    <w:p>
      <w:pPr>
        <w:spacing w:line="240" w:lineRule="auto" w:before="8"/>
        <w:rPr>
          <w:rFonts w:ascii="宋体" w:hAnsi="宋体" w:cs="宋体" w:eastAsia="宋体" w:hint="default"/>
          <w:b/>
          <w:bCs/>
          <w:sz w:val="23"/>
          <w:szCs w:val="23"/>
        </w:rPr>
      </w:pPr>
    </w:p>
    <w:p>
      <w:pPr>
        <w:pStyle w:val="Heading2"/>
        <w:spacing w:line="240" w:lineRule="auto" w:before="26"/>
        <w:ind w:right="15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52"/>
        <w:gridCol w:w="3829"/>
        <w:gridCol w:w="3190"/>
      </w:tblGrid>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2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vMerge w:val="restart"/>
            <w:tcBorders>
              <w:top w:val="single" w:sz="4" w:space="0" w:color="000000"/>
              <w:left w:val="single" w:sz="10" w:space="0" w:color="D2D2D2"/>
              <w:right w:val="single" w:sz="4" w:space="0" w:color="000000"/>
            </w:tcBorders>
          </w:tcPr>
          <w:p>
            <w:pPr>
              <w:pStyle w:val="TableParagraph"/>
              <w:spacing w:line="314" w:lineRule="auto" w:before="49"/>
              <w:ind w:left="16" w:right="19"/>
              <w:jc w:val="left"/>
              <w:rPr>
                <w:rFonts w:ascii="宋体" w:hAnsi="宋体" w:cs="宋体" w:eastAsia="宋体" w:hint="default"/>
                <w:sz w:val="18"/>
                <w:szCs w:val="18"/>
              </w:rPr>
            </w:pPr>
            <w:r>
              <w:rPr>
                <w:rFonts w:ascii="宋体" w:hAnsi="宋体" w:cs="宋体" w:eastAsia="宋体" w:hint="default"/>
                <w:sz w:val="18"/>
                <w:szCs w:val="18"/>
              </w:rPr>
              <w:t>销售收入、技术服务收入、技术开发收入、技术 转让收入、房屋租赁收入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、免税、</w:t>
            </w:r>
            <w:r>
              <w:rPr>
                <w:rFonts w:ascii="Times New Roman" w:hAnsi="Times New Roman" w:cs="Times New Roman" w:eastAsia="Times New Roman" w:hint="default"/>
                <w:sz w:val="18"/>
                <w:szCs w:val="18"/>
              </w:rPr>
              <w:t>5%</w:t>
            </w:r>
          </w:p>
        </w:tc>
      </w:tr>
      <w:tr>
        <w:trPr>
          <w:trHeight w:val="391" w:hRule="exact"/>
        </w:trPr>
        <w:tc>
          <w:tcPr>
            <w:tcW w:w="2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829" w:type="dxa"/>
            <w:vMerge/>
            <w:tcBorders>
              <w:left w:val="single" w:sz="10"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2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3829" w:type="dxa"/>
            <w:vMerge/>
            <w:tcBorders>
              <w:left w:val="single" w:sz="10"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8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8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房产原值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、租金收入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240" w:lineRule="auto" w:before="49"/>
        <w:ind w:right="15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江苏新晨信息科技发展有限公司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武汉新晨信息产业有限公司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广州新晨信息系统工程有限公司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上海新晨信息集成系统有限公司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上海点逸网络科技有限公司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北京新晨科技发展有限公司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江苏点逸网络科技有限公司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203"/>
        <w:jc w:val="left"/>
      </w:pPr>
      <w:r>
        <w:rPr>
          <w:rFonts w:ascii="Times New Roman" w:hAnsi="Times New Roman" w:cs="Times New Roman" w:eastAsia="Times New Roman" w:hint="default"/>
        </w:rPr>
        <w:t>1</w:t>
      </w:r>
      <w:r>
        <w:rPr/>
        <w:t>、增值税 根据财政部、国家税务总局财税</w:t>
      </w:r>
      <w:r>
        <w:rPr>
          <w:rFonts w:ascii="Times New Roman" w:hAnsi="Times New Roman" w:cs="Times New Roman" w:eastAsia="Times New Roman" w:hint="default"/>
        </w:rPr>
        <w:t>[2011]100</w:t>
      </w:r>
      <w:r>
        <w:rPr/>
        <w:t>号文《关于软件产品增值税政策的通知》的规定，自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日起，增值</w:t>
      </w:r>
    </w:p>
    <w:p>
      <w:pPr>
        <w:pStyle w:val="BodyText"/>
        <w:spacing w:line="312" w:lineRule="auto" w:before="13"/>
        <w:ind w:right="0"/>
        <w:jc w:val="left"/>
      </w:pPr>
      <w:r>
        <w:rPr/>
        <w:t>税一般纳税人销售其自行开发生产的软件产品，按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 </w:t>
      </w:r>
      <w:r>
        <w:rPr>
          <w:spacing w:val="-2"/>
        </w:rPr>
        <w:t>退政策。增值税一般纳税人将进口软件产品进行本地化改造后对外销售，其销售的软件产品可享受上述规定的增值税即征即</w:t>
      </w:r>
      <w:r>
        <w:rPr>
          <w:spacing w:val="-64"/>
        </w:rPr>
        <w:t> </w:t>
      </w:r>
      <w:r>
        <w:rPr>
          <w:spacing w:val="-64"/>
        </w:rPr>
      </w:r>
      <w:r>
        <w:rPr>
          <w:spacing w:val="-2"/>
        </w:rPr>
        <w:t>退政策。纳税人受托开发软件产品，著作权属于受托方的征收增值税，著作权属于委托方或属于双方共同拥有的不征收增值</w:t>
      </w:r>
      <w:r>
        <w:rPr>
          <w:spacing w:val="-63"/>
        </w:rPr>
        <w:t> </w:t>
      </w:r>
      <w:r>
        <w:rPr>
          <w:spacing w:val="-63"/>
        </w:rPr>
      </w:r>
      <w:r>
        <w:rPr/>
        <w:t>税；对经过国家版权局注册登记，纳税人在销售时一并转让著作权、所有权的，不征收增值税。</w:t>
      </w:r>
    </w:p>
    <w:p>
      <w:pPr>
        <w:pStyle w:val="BodyText"/>
        <w:spacing w:line="240" w:lineRule="auto" w:before="22"/>
        <w:ind w:left="513" w:right="153"/>
        <w:jc w:val="left"/>
      </w:pPr>
      <w:r>
        <w:rPr>
          <w:rFonts w:ascii="Times New Roman" w:hAnsi="Times New Roman" w:cs="Times New Roman" w:eastAsia="Times New Roman" w:hint="default"/>
        </w:rPr>
        <w:t>2</w:t>
      </w:r>
      <w:r>
        <w:rPr/>
        <w:t>、企业所得税</w:t>
      </w:r>
    </w:p>
    <w:p>
      <w:pPr>
        <w:pStyle w:val="BodyText"/>
        <w:spacing w:line="300" w:lineRule="auto" w:before="63"/>
        <w:ind w:right="148" w:firstLine="360"/>
        <w:jc w:val="both"/>
      </w:pPr>
      <w:r>
        <w:rPr/>
        <w:t>（</w:t>
      </w:r>
      <w:r>
        <w:rPr>
          <w:rFonts w:ascii="Times New Roman" w:hAnsi="Times New Roman" w:cs="Times New Roman" w:eastAsia="Times New Roman" w:hint="default"/>
        </w:rPr>
        <w:t>1</w:t>
      </w:r>
      <w:r>
        <w:rPr/>
        <w:t>）本公司经北京市科学技术委员会、北京市财政局、北京市国家税务局、北京市地方税务局认定为高新技术企业， </w:t>
      </w:r>
      <w:r>
        <w:rPr>
          <w:spacing w:val="-1"/>
        </w:rPr>
        <w:t>从</w:t>
      </w:r>
      <w:r>
        <w:rPr>
          <w:rFonts w:ascii="Times New Roman" w:hAnsi="Times New Roman" w:cs="Times New Roman" w:eastAsia="Times New Roman" w:hint="default"/>
          <w:spacing w:val="-1"/>
        </w:rPr>
        <w:t>2008</w:t>
      </w:r>
      <w:r>
        <w:rPr>
          <w:spacing w:val="-1"/>
        </w:rPr>
        <w:t>年起企业所得税享受</w:t>
      </w:r>
      <w:r>
        <w:rPr>
          <w:rFonts w:ascii="Times New Roman" w:hAnsi="Times New Roman" w:cs="Times New Roman" w:eastAsia="Times New Roman" w:hint="default"/>
          <w:spacing w:val="-1"/>
        </w:rPr>
        <w:t>15%</w:t>
      </w:r>
      <w:r>
        <w:rPr>
          <w:spacing w:val="-1"/>
        </w:rPr>
        <w:t>的税收优惠政策。</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月，本公司继续获取编号</w:t>
      </w:r>
      <w:r>
        <w:rPr>
          <w:rFonts w:ascii="Times New Roman" w:hAnsi="Times New Roman" w:cs="Times New Roman" w:eastAsia="Times New Roman" w:hint="default"/>
          <w:spacing w:val="-1"/>
        </w:rPr>
        <w:t>GR201711001082</w:t>
      </w:r>
      <w:r>
        <w:rPr>
          <w:spacing w:val="-1"/>
        </w:rPr>
        <w:t>高新企业证书，享受所</w:t>
      </w:r>
      <w:r>
        <w:rPr>
          <w:spacing w:val="-66"/>
        </w:rPr>
        <w:t> </w:t>
      </w:r>
      <w:r>
        <w:rPr>
          <w:spacing w:val="-66"/>
        </w:rPr>
      </w:r>
      <w:r>
        <w:rPr/>
        <w:t>得税</w:t>
      </w:r>
      <w:r>
        <w:rPr>
          <w:rFonts w:ascii="Times New Roman" w:hAnsi="Times New Roman" w:cs="Times New Roman" w:eastAsia="Times New Roman" w:hint="default"/>
        </w:rPr>
        <w:t>15%</w:t>
      </w:r>
      <w:r>
        <w:rPr/>
        <w:t>的税收优惠政策，有效期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年适用企业所得税税率为</w:t>
      </w:r>
      <w:r>
        <w:rPr>
          <w:rFonts w:ascii="Times New Roman" w:hAnsi="Times New Roman" w:cs="Times New Roman" w:eastAsia="Times New Roman" w:hint="default"/>
        </w:rPr>
        <w:t>15%</w:t>
      </w:r>
      <w:r>
        <w:rPr/>
        <w:t>。</w:t>
      </w:r>
    </w:p>
    <w:p>
      <w:pPr>
        <w:pStyle w:val="BodyText"/>
        <w:spacing w:line="300" w:lineRule="auto" w:before="13"/>
        <w:ind w:right="151"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日，武汉新晨取得了湖北省科学技术厅、湖北省财政厅、湖北省国家税务局、湖北省地方税务局联 </w:t>
      </w:r>
      <w:r>
        <w:rPr>
          <w:spacing w:val="-2"/>
        </w:rPr>
        <w:t>合颁发的编号为</w:t>
      </w:r>
      <w:r>
        <w:rPr>
          <w:rFonts w:ascii="Times New Roman" w:hAnsi="Times New Roman" w:cs="Times New Roman" w:eastAsia="Times New Roman" w:hint="default"/>
          <w:spacing w:val="-2"/>
        </w:rPr>
        <w:t>GR201742001952</w:t>
      </w:r>
      <w:r>
        <w:rPr>
          <w:spacing w:val="-2"/>
        </w:rPr>
        <w:t>的《高新技术企业证书》，有效期为</w:t>
      </w:r>
      <w:r>
        <w:rPr>
          <w:rFonts w:ascii="Times New Roman" w:hAnsi="Times New Roman" w:cs="Times New Roman" w:eastAsia="Times New Roman" w:hint="default"/>
          <w:spacing w:val="-2"/>
        </w:rPr>
        <w:t>3</w:t>
      </w:r>
      <w:r>
        <w:rPr>
          <w:spacing w:val="-2"/>
        </w:rPr>
        <w:t>年，</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2019</w:t>
      </w:r>
      <w:r>
        <w:rPr>
          <w:spacing w:val="-2"/>
        </w:rPr>
        <w:t>年适用的企业所得税税率</w:t>
      </w:r>
      <w:r>
        <w:rPr>
          <w:spacing w:val="-31"/>
        </w:rPr>
        <w:t> </w:t>
      </w:r>
      <w:r>
        <w:rPr>
          <w:spacing w:val="-31"/>
        </w:rPr>
      </w:r>
      <w:r>
        <w:rPr/>
        <w:t>为</w:t>
      </w:r>
      <w:r>
        <w:rPr>
          <w:rFonts w:ascii="Times New Roman" w:hAnsi="Times New Roman" w:cs="Times New Roman" w:eastAsia="Times New Roman" w:hint="default"/>
        </w:rPr>
        <w:t>15%</w:t>
      </w:r>
      <w:r>
        <w:rPr/>
        <w:t>。</w:t>
      </w:r>
    </w:p>
    <w:p>
      <w:pPr>
        <w:pStyle w:val="BodyText"/>
        <w:spacing w:line="300" w:lineRule="auto" w:before="13"/>
        <w:ind w:right="151" w:firstLine="360"/>
        <w:jc w:val="both"/>
      </w:pPr>
      <w:r>
        <w:rPr/>
        <w:t>（</w:t>
      </w:r>
      <w:r>
        <w:rPr>
          <w:rFonts w:ascii="Times New Roman" w:hAnsi="Times New Roman" w:cs="Times New Roman" w:eastAsia="Times New Roman" w:hint="default"/>
        </w:rPr>
        <w:t>3</w:t>
      </w:r>
      <w:r>
        <w:rPr/>
        <w:t>）上海新晨于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日取得上海市科学技术委员会、上海市财政局、上海市国家税务局、上海市地方税务局 </w:t>
      </w:r>
      <w:r>
        <w:rPr>
          <w:spacing w:val="-2"/>
        </w:rPr>
        <w:t>联合颁发的编号为</w:t>
      </w:r>
      <w:r>
        <w:rPr>
          <w:rFonts w:ascii="Times New Roman" w:hAnsi="Times New Roman" w:cs="Times New Roman" w:eastAsia="Times New Roman" w:hint="default"/>
          <w:spacing w:val="-2"/>
        </w:rPr>
        <w:t>GR201531000993</w:t>
      </w:r>
      <w:r>
        <w:rPr>
          <w:spacing w:val="-2"/>
        </w:rPr>
        <w:t>的《高新技术企业证书》，有效期为</w:t>
      </w:r>
      <w:r>
        <w:rPr>
          <w:rFonts w:ascii="Times New Roman" w:hAnsi="Times New Roman" w:cs="Times New Roman" w:eastAsia="Times New Roman" w:hint="default"/>
          <w:spacing w:val="-2"/>
        </w:rPr>
        <w:t>3</w:t>
      </w:r>
      <w:r>
        <w:rPr>
          <w:spacing w:val="-2"/>
        </w:rPr>
        <w:t>年，</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2017</w:t>
      </w:r>
      <w:r>
        <w:rPr>
          <w:spacing w:val="-2"/>
        </w:rPr>
        <w:t>年适用的企业所得税税</w:t>
      </w:r>
    </w:p>
    <w:p>
      <w:pPr>
        <w:spacing w:after="0" w:line="300"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率为</w:t>
      </w:r>
      <w:r>
        <w:rPr>
          <w:rFonts w:ascii="Times New Roman" w:hAnsi="Times New Roman" w:cs="Times New Roman" w:eastAsia="Times New Roman" w:hint="default"/>
        </w:rPr>
        <w:t>15%</w:t>
      </w:r>
      <w:r>
        <w:rPr/>
        <w:t>。</w:t>
      </w:r>
    </w:p>
    <w:p>
      <w:pPr>
        <w:pStyle w:val="BodyText"/>
        <w:spacing w:line="300" w:lineRule="auto" w:before="63"/>
        <w:ind w:right="142" w:firstLine="360"/>
        <w:jc w:val="left"/>
      </w:pPr>
      <w:r>
        <w:rPr/>
        <w:t>（</w:t>
      </w:r>
      <w:r>
        <w:rPr>
          <w:rFonts w:ascii="Times New Roman" w:hAnsi="Times New Roman" w:cs="Times New Roman" w:eastAsia="Times New Roman" w:hint="default"/>
        </w:rPr>
        <w:t>4</w:t>
      </w:r>
      <w:r>
        <w:rPr/>
        <w:t>）根据财政部、国家税务总局财税</w:t>
      </w:r>
      <w:r>
        <w:rPr>
          <w:rFonts w:ascii="Times New Roman" w:hAnsi="Times New Roman" w:cs="Times New Roman" w:eastAsia="Times New Roman" w:hint="default"/>
        </w:rPr>
        <w:t>[2017]43</w:t>
      </w:r>
      <w:r>
        <w:rPr/>
        <w:t>号文《关于扩大小型微利企业所得税优惠政策范围的通知》的规定，广 </w:t>
      </w:r>
      <w:r>
        <w:rPr>
          <w:spacing w:val="-1"/>
        </w:rPr>
        <w:t>州新晨、上海点逸、江苏点逸属于小型微利企业，且</w:t>
      </w:r>
      <w:r>
        <w:rPr>
          <w:rFonts w:ascii="Times New Roman" w:hAnsi="Times New Roman" w:cs="Times New Roman" w:eastAsia="Times New Roman" w:hint="default"/>
          <w:spacing w:val="-1"/>
        </w:rPr>
        <w:t>2017</w:t>
      </w:r>
      <w:r>
        <w:rPr>
          <w:spacing w:val="-1"/>
        </w:rPr>
        <w:t>年应纳税所得额低于</w:t>
      </w:r>
      <w:r>
        <w:rPr>
          <w:rFonts w:ascii="Times New Roman" w:hAnsi="Times New Roman" w:cs="Times New Roman" w:eastAsia="Times New Roman" w:hint="default"/>
          <w:spacing w:val="-1"/>
        </w:rPr>
        <w:t>50</w:t>
      </w:r>
      <w:r>
        <w:rPr>
          <w:spacing w:val="-1"/>
        </w:rPr>
        <w:t>万元，本期其所得减按</w:t>
      </w:r>
      <w:r>
        <w:rPr>
          <w:rFonts w:ascii="Times New Roman" w:hAnsi="Times New Roman" w:cs="Times New Roman" w:eastAsia="Times New Roman" w:hint="default"/>
          <w:spacing w:val="-1"/>
        </w:rPr>
        <w:t>50%</w:t>
      </w:r>
      <w:r>
        <w:rPr>
          <w:spacing w:val="-1"/>
        </w:rPr>
        <w:t>计入应纳税所得</w:t>
      </w:r>
      <w:r>
        <w:rPr/>
        <w:t> 额，并按</w:t>
      </w:r>
      <w:r>
        <w:rPr>
          <w:rFonts w:ascii="Times New Roman" w:hAnsi="Times New Roman" w:cs="Times New Roman" w:eastAsia="Times New Roman" w:hint="default"/>
        </w:rPr>
        <w:t>20%</w:t>
      </w:r>
      <w:r>
        <w:rPr/>
        <w:t>的税率缴纳企业所得税。</w:t>
      </w:r>
    </w:p>
    <w:p>
      <w:pPr>
        <w:spacing w:line="240" w:lineRule="auto" w:before="4"/>
        <w:rPr>
          <w:rFonts w:ascii="宋体" w:hAnsi="宋体" w:cs="宋体" w:eastAsia="宋体" w:hint="default"/>
          <w:sz w:val="22"/>
          <w:szCs w:val="22"/>
        </w:rPr>
      </w:pPr>
    </w:p>
    <w:p>
      <w:pPr>
        <w:spacing w:line="487" w:lineRule="auto" w:before="0"/>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171,050.57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170,953.78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282,489,894.45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298,234,699.14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9,125,755.69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17,079,435.56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291,786,700.71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315,485,088.48</w:t>
            </w:r>
          </w:p>
        </w:tc>
      </w:tr>
    </w:tbl>
    <w:p>
      <w:pPr>
        <w:pStyle w:val="BodyText"/>
        <w:spacing w:line="240" w:lineRule="auto" w:before="49"/>
        <w:ind w:right="153"/>
        <w:jc w:val="left"/>
      </w:pPr>
      <w:r>
        <w:rPr/>
        <w:t>其他说明</w:t>
      </w:r>
    </w:p>
    <w:p>
      <w:pPr>
        <w:pStyle w:val="BodyText"/>
        <w:spacing w:line="240" w:lineRule="auto" w:before="115"/>
        <w:ind w:right="153"/>
        <w:jc w:val="left"/>
      </w:pPr>
      <w:r>
        <w:rPr/>
        <w:t>（</w:t>
      </w:r>
      <w:r>
        <w:rPr>
          <w:rFonts w:ascii="Times New Roman" w:hAnsi="Times New Roman" w:cs="Times New Roman" w:eastAsia="Times New Roman" w:hint="default"/>
        </w:rPr>
        <w:t>1</w:t>
      </w:r>
      <w:r>
        <w:rPr/>
        <w:t>）与其他货币资金的差异系保证金账户中未受限制的存款利息。</w:t>
      </w:r>
    </w:p>
    <w:p>
      <w:pPr>
        <w:pStyle w:val="BodyText"/>
        <w:spacing w:line="240" w:lineRule="auto" w:before="63"/>
        <w:ind w:right="153"/>
        <w:jc w:val="left"/>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日止，本公司受限制的货币资金明细如下：</w:t>
      </w:r>
    </w:p>
    <w:p>
      <w:pPr>
        <w:spacing w:line="240" w:lineRule="auto" w:before="1"/>
        <w:rPr>
          <w:rFonts w:ascii="宋体" w:hAnsi="宋体" w:cs="宋体" w:eastAsia="宋体" w:hint="default"/>
          <w:sz w:val="15"/>
          <w:szCs w:val="15"/>
        </w:rPr>
      </w:pPr>
    </w:p>
    <w:p>
      <w:pPr>
        <w:spacing w:line="2205" w:lineRule="exact"/>
        <w:ind w:left="153" w:right="0" w:firstLine="0"/>
        <w:rPr>
          <w:rFonts w:ascii="宋体" w:hAnsi="宋体" w:cs="宋体" w:eastAsia="宋体" w:hint="default"/>
          <w:sz w:val="20"/>
          <w:szCs w:val="20"/>
        </w:rPr>
      </w:pPr>
      <w:r>
        <w:rPr>
          <w:rFonts w:ascii="宋体" w:hAnsi="宋体" w:cs="宋体" w:eastAsia="宋体" w:hint="default"/>
          <w:position w:val="-43"/>
          <w:sz w:val="20"/>
          <w:szCs w:val="20"/>
        </w:rPr>
        <w:drawing>
          <wp:inline distT="0" distB="0" distL="0" distR="0">
            <wp:extent cx="5436309" cy="1400175"/>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5" cstate="print"/>
                    <a:stretch>
                      <a:fillRect/>
                    </a:stretch>
                  </pic:blipFill>
                  <pic:spPr>
                    <a:xfrm>
                      <a:off x="0" y="0"/>
                      <a:ext cx="5436309" cy="1400175"/>
                    </a:xfrm>
                    <a:prstGeom prst="rect">
                      <a:avLst/>
                    </a:prstGeom>
                  </pic:spPr>
                </pic:pic>
              </a:graphicData>
            </a:graphic>
          </wp:inline>
        </w:drawing>
      </w:r>
      <w:r>
        <w:rPr>
          <w:rFonts w:ascii="宋体" w:hAnsi="宋体" w:cs="宋体" w:eastAsia="宋体" w:hint="default"/>
          <w:position w:val="-43"/>
          <w:sz w:val="20"/>
          <w:szCs w:val="20"/>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Heading3"/>
        <w:spacing w:line="240" w:lineRule="auto"/>
        <w:ind w:right="153"/>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254"/>
        <w:jc w:val="left"/>
      </w:pPr>
      <w:r>
        <w:rPr/>
        <w:t>其他说明 期末公司无已质押的应收票据。</w:t>
      </w:r>
    </w:p>
    <w:p>
      <w:pPr>
        <w:pStyle w:val="BodyText"/>
        <w:spacing w:line="222" w:lineRule="exact"/>
        <w:ind w:right="153"/>
        <w:jc w:val="left"/>
      </w:pPr>
      <w:r>
        <w:rPr/>
        <w:t>期末公司无已背书或贴现且资产负债表日尚未到期的应收票据。</w:t>
      </w:r>
    </w:p>
    <w:p>
      <w:pPr>
        <w:pStyle w:val="BodyText"/>
        <w:spacing w:line="316" w:lineRule="auto" w:before="76"/>
        <w:ind w:right="4734"/>
        <w:jc w:val="left"/>
      </w:pPr>
      <w:r>
        <w:rPr/>
        <w:t>期末公司无因出票人未履约而将其转应收账款的票据。 应收票据本期较上期增加较多，系本期票据尚未承兑收款所致。</w:t>
      </w:r>
    </w:p>
    <w:p>
      <w:pPr>
        <w:spacing w:line="240" w:lineRule="auto" w:before="11"/>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838"/>
        <w:gridCol w:w="761"/>
        <w:gridCol w:w="763"/>
        <w:gridCol w:w="763"/>
        <w:gridCol w:w="788"/>
        <w:gridCol w:w="655"/>
        <w:gridCol w:w="761"/>
        <w:gridCol w:w="814"/>
        <w:gridCol w:w="934"/>
        <w:gridCol w:w="931"/>
      </w:tblGrid>
      <w:tr>
        <w:trPr>
          <w:trHeight w:val="396"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391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15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9"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560" w:type="dxa"/>
            <w:vMerge/>
            <w:tcBorders>
              <w:left w:val="single" w:sz="4" w:space="0" w:color="000000"/>
              <w:bottom w:val="single" w:sz="4" w:space="0" w:color="FFFFFF"/>
              <w:right w:val="single" w:sz="4" w:space="0" w:color="000000"/>
            </w:tcBorders>
            <w:shd w:val="clear" w:color="auto" w:fill="D2D2D2"/>
          </w:tcPr>
          <w:p>
            <w:pPr/>
          </w:p>
        </w:tc>
        <w:tc>
          <w:tcPr>
            <w:tcW w:w="83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560" w:type="dxa"/>
            <w:vMerge w:val="restart"/>
            <w:tcBorders>
              <w:top w:val="single" w:sz="4" w:space="0" w:color="FFFFFF"/>
              <w:left w:val="single" w:sz="4" w:space="0" w:color="000000"/>
              <w:right w:val="single" w:sz="4" w:space="0" w:color="000000"/>
            </w:tcBorders>
            <w:shd w:val="clear" w:color="auto" w:fill="D2D2D2"/>
          </w:tcPr>
          <w:p>
            <w:pPr/>
          </w:p>
        </w:tc>
        <w:tc>
          <w:tcPr>
            <w:tcW w:w="83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3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560" w:type="dxa"/>
            <w:vMerge/>
            <w:tcBorders>
              <w:left w:val="single" w:sz="4" w:space="0" w:color="000000"/>
              <w:right w:val="single" w:sz="4" w:space="0" w:color="000000"/>
            </w:tcBorders>
            <w:shd w:val="clear" w:color="auto" w:fill="D2D2D2"/>
          </w:tcPr>
          <w:p>
            <w:pPr/>
          </w:p>
        </w:tc>
        <w:tc>
          <w:tcPr>
            <w:tcW w:w="838"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8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374,486,4</w:t>
            </w:r>
          </w:p>
          <w:p>
            <w:pPr>
              <w:pStyle w:val="TableParagraph"/>
              <w:spacing w:line="240" w:lineRule="auto" w:before="105"/>
              <w:ind w:left="392" w:right="0"/>
              <w:jc w:val="left"/>
              <w:rPr>
                <w:rFonts w:ascii="Times New Roman" w:hAnsi="Times New Roman" w:cs="Times New Roman" w:eastAsia="Times New Roman" w:hint="default"/>
                <w:sz w:val="18"/>
                <w:szCs w:val="18"/>
              </w:rPr>
            </w:pPr>
            <w:r>
              <w:rPr>
                <w:rFonts w:ascii="Times New Roman"/>
                <w:sz w:val="18"/>
              </w:rPr>
              <w:t>73.73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51,942,2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67.29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13.87%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322,544,2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06.44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274,371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,834.72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39,596,72</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0.58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234,775,11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4.14</w:t>
            </w:r>
          </w:p>
        </w:tc>
      </w:tr>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838" w:type="dxa"/>
            <w:vMerge w:val="restart"/>
            <w:tcBorders>
              <w:top w:val="single" w:sz="4" w:space="0" w:color="000000"/>
              <w:left w:val="single" w:sz="9" w:space="0" w:color="D2D2D2"/>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374,486,4</w:t>
            </w:r>
          </w:p>
          <w:p>
            <w:pPr>
              <w:pStyle w:val="TableParagraph"/>
              <w:spacing w:line="240" w:lineRule="auto" w:before="105"/>
              <w:ind w:left="392" w:right="0"/>
              <w:jc w:val="left"/>
              <w:rPr>
                <w:rFonts w:ascii="Times New Roman" w:hAnsi="Times New Roman" w:cs="Times New Roman" w:eastAsia="Times New Roman" w:hint="default"/>
                <w:sz w:val="18"/>
                <w:szCs w:val="18"/>
              </w:rPr>
            </w:pPr>
            <w:r>
              <w:rPr>
                <w:rFonts w:ascii="Times New Roman"/>
                <w:sz w:val="18"/>
              </w:rPr>
              <w:t>73.73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51,942,2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67.29</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13.87%</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322,544,2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06.44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274,371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,834.72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39,596,72</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0.58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14.43%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234,775,11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4.14</w:t>
            </w:r>
          </w:p>
        </w:tc>
      </w:tr>
      <w:tr>
        <w:trPr>
          <w:trHeight w:val="391"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38"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838"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3"/>
        <w:gridCol w:w="2393"/>
      </w:tblGrid>
      <w:tr>
        <w:trPr>
          <w:trHeight w:val="205"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272,085,245.77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13,604,262.29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41,267,245.64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4,126,724.56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19,239,375.31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5,771,812.59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21,290,254.68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10,645,127.34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14,050,059.08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11,240,047.26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6,554,293.25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6,554,293.25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374,486,473.73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51,942,267.29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13.87%</w:t>
            </w:r>
          </w:p>
        </w:tc>
      </w:tr>
    </w:tbl>
    <w:p>
      <w:pPr>
        <w:pStyle w:val="BodyText"/>
        <w:spacing w:line="338" w:lineRule="auto" w:before="49"/>
        <w:ind w:right="0"/>
        <w:jc w:val="left"/>
      </w:pPr>
      <w:r>
        <w:rPr/>
        <w:t>确定该组合依据的说明： </w:t>
      </w:r>
      <w:r>
        <w:rPr>
          <w:spacing w:val="-2"/>
        </w:rPr>
        <w:t>公司根据以前年度与之相同或相类似的、按账龄段划分的具有类似信用风险特征的应收账款组合的实际损失率为基础，结合</w:t>
      </w:r>
      <w:r>
        <w:rPr>
          <w:spacing w:val="-64"/>
        </w:rPr>
        <w:t> </w:t>
      </w:r>
      <w:r>
        <w:rPr>
          <w:spacing w:val="-64"/>
        </w:rPr>
      </w:r>
      <w:r>
        <w:rPr/>
        <w:t>现时情况分析法确定坏账准备计提的比例。</w:t>
      </w:r>
    </w:p>
    <w:p>
      <w:pPr>
        <w:spacing w:line="240" w:lineRule="auto" w:before="0"/>
        <w:rPr>
          <w:rFonts w:ascii="宋体" w:hAnsi="宋体" w:cs="宋体" w:eastAsia="宋体" w:hint="default"/>
          <w:sz w:val="18"/>
          <w:szCs w:val="18"/>
        </w:rPr>
      </w:pPr>
    </w:p>
    <w:p>
      <w:pPr>
        <w:pStyle w:val="BodyText"/>
        <w:spacing w:line="240" w:lineRule="auto" w:before="120"/>
        <w:ind w:right="153"/>
        <w:jc w:val="left"/>
      </w:pPr>
      <w:r>
        <w:rPr/>
        <w:t>组合中，采用余额百分比法计提坏账准备的应收账款：</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6"/>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本期计提坏账准备金额</w:t>
      </w:r>
      <w:r>
        <w:rPr>
          <w:spacing w:val="-46"/>
        </w:rPr>
        <w:t> </w:t>
      </w:r>
      <w:r>
        <w:rPr>
          <w:rFonts w:ascii="Times New Roman" w:hAnsi="Times New Roman" w:cs="Times New Roman" w:eastAsia="Times New Roman" w:hint="default"/>
        </w:rPr>
        <w:t>12,365,546.71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spacing w:line="240" w:lineRule="auto" w:before="4"/>
        <w:rPr>
          <w:rFonts w:ascii="宋体" w:hAnsi="宋体" w:cs="宋体" w:eastAsia="宋体" w:hint="default"/>
          <w:sz w:val="9"/>
          <w:szCs w:val="9"/>
        </w:rPr>
      </w:pPr>
    </w:p>
    <w:p>
      <w:pPr>
        <w:spacing w:line="2910" w:lineRule="exact"/>
        <w:ind w:left="153"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5999323" cy="1847850"/>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6" cstate="print"/>
                    <a:stretch>
                      <a:fillRect/>
                    </a:stretch>
                  </pic:blipFill>
                  <pic:spPr>
                    <a:xfrm>
                      <a:off x="0" y="0"/>
                      <a:ext cx="5999323" cy="1847850"/>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其他说明：</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554"/>
        <w:jc w:val="left"/>
      </w:pPr>
      <w:r>
        <w:rPr/>
        <w:t>本报告期内应收账款中无应收持有本公司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）以上表决权股份的股东单位及其他关联单位款项。 应收账款期末余额较年初增加较大，主要系公司本期收入增长较快，尚未收到款项所致。</w:t>
      </w:r>
    </w:p>
    <w:p>
      <w:pPr>
        <w:spacing w:line="240" w:lineRule="auto" w:before="10"/>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7,480,041.30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13,715,956.68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779,896.88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8,015.00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8,259,938.18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13,723,971.68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line="2835" w:lineRule="exact"/>
        <w:ind w:left="153"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5419090" cy="180022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7" cstate="print"/>
                    <a:stretch>
                      <a:fillRect/>
                    </a:stretch>
                  </pic:blipFill>
                  <pic:spPr>
                    <a:xfrm>
                      <a:off x="0" y="0"/>
                      <a:ext cx="5419090" cy="1800225"/>
                    </a:xfrm>
                    <a:prstGeom prst="rect">
                      <a:avLst/>
                    </a:prstGeom>
                  </pic:spPr>
                </pic:pic>
              </a:graphicData>
            </a:graphic>
          </wp:inline>
        </w:drawing>
      </w:r>
      <w:r>
        <w:rPr>
          <w:rFonts w:ascii="宋体" w:hAnsi="宋体" w:cs="宋体" w:eastAsia="宋体" w:hint="default"/>
          <w:position w:val="-56"/>
          <w:sz w:val="20"/>
          <w:szCs w:val="20"/>
        </w:rPr>
      </w:r>
    </w:p>
    <w:p>
      <w:pPr>
        <w:spacing w:line="240" w:lineRule="auto" w:before="6"/>
        <w:rPr>
          <w:rFonts w:ascii="宋体" w:hAnsi="宋体" w:cs="宋体" w:eastAsia="宋体" w:hint="default"/>
          <w:b/>
          <w:bCs/>
          <w:sz w:val="11"/>
          <w:szCs w:val="11"/>
        </w:rPr>
      </w:pPr>
    </w:p>
    <w:p>
      <w:pPr>
        <w:pStyle w:val="BodyText"/>
        <w:spacing w:line="240" w:lineRule="auto" w:before="44"/>
        <w:ind w:right="153"/>
        <w:jc w:val="left"/>
      </w:pPr>
      <w:r>
        <w:rPr/>
        <w:t>其他说明：</w:t>
      </w:r>
    </w:p>
    <w:p>
      <w:pPr>
        <w:pStyle w:val="BodyText"/>
        <w:spacing w:line="300" w:lineRule="auto" w:before="117"/>
        <w:ind w:right="1554"/>
        <w:jc w:val="left"/>
      </w:pPr>
      <w:r>
        <w:rPr/>
        <w:t>本报告期内预付款项中无预付持有本公司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）以上表决权股份的股东单位及其他关联单位款项。 预付账款期末余额较年初减少较大，主要系公司按合同约定与供应商结算完毕所致。</w:t>
      </w:r>
    </w:p>
    <w:p>
      <w:pPr>
        <w:spacing w:line="240" w:lineRule="auto" w:before="10"/>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93"/>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8,614,71</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1.65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819,921.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9.52%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7,794,789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5,716,5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49.68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601,483.6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10.52%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5,115,066.0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8,614,71</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1.65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819,921.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9.52%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7,794,789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5,716,5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49.68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601,483.6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10.52%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5,115,066.0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4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40"/>
          <w:cols w:num="2" w:equalWidth="0">
            <w:col w:w="4473" w:space="4356"/>
            <w:col w:w="116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5"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6,846,935.23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342,346.76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1,059,716.00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105,971.60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359,468.18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107,840.45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169,578.52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84,789.26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178,813.72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178,813.72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8,614,711.65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819,921.79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94"/>
        <w:jc w:val="left"/>
      </w:pPr>
      <w:r>
        <w:rPr/>
        <w:t>确定该组合依据的说明： 公司根据以前年度与之相同或相类似的、按账龄段划分的具有类似信用风险特征的其他应收账款组合的实际损失率为基础， 结合现时情况分析法确定坏账准备计提的比例。</w:t>
      </w:r>
    </w:p>
    <w:p>
      <w:pPr>
        <w:pStyle w:val="BodyText"/>
        <w:spacing w:line="240" w:lineRule="auto" w:before="43"/>
        <w:ind w:right="93"/>
        <w:jc w:val="left"/>
      </w:pPr>
      <w:r>
        <w:rPr/>
        <w:t>组合中，采用余额百分比法计提坏账准备的其他应收款：</w:t>
      </w:r>
    </w:p>
    <w:p>
      <w:pPr>
        <w:pStyle w:val="BodyText"/>
        <w:spacing w:line="340" w:lineRule="auto" w:before="115"/>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after="0" w:line="240" w:lineRule="auto"/>
        <w:jc w:val="left"/>
        <w:sectPr>
          <w:type w:val="continuous"/>
          <w:pgSz w:w="11910" w:h="16840"/>
          <w:pgMar w:top="1060" w:bottom="1160" w:left="980" w:right="940"/>
        </w:sectPr>
      </w:pPr>
    </w:p>
    <w:p>
      <w:pPr>
        <w:spacing w:line="240" w:lineRule="auto" w:before="9"/>
        <w:rPr>
          <w:rFonts w:ascii="宋体" w:hAnsi="宋体" w:cs="宋体" w:eastAsia="宋体" w:hint="default"/>
          <w:b/>
          <w:bCs/>
          <w:sz w:val="25"/>
          <w:szCs w:val="25"/>
        </w:rPr>
      </w:pPr>
    </w:p>
    <w:p>
      <w:pPr>
        <w:pStyle w:val="BodyText"/>
        <w:spacing w:line="240" w:lineRule="auto" w:before="44"/>
        <w:ind w:right="153"/>
        <w:jc w:val="left"/>
      </w:pPr>
      <w:r>
        <w:rPr/>
        <w:t>本期计提坏账准备金额</w:t>
      </w:r>
      <w:r>
        <w:rPr>
          <w:spacing w:val="-46"/>
        </w:rPr>
        <w:t> </w:t>
      </w:r>
      <w:r>
        <w:rPr>
          <w:rFonts w:ascii="Times New Roman" w:hAnsi="Times New Roman" w:cs="Times New Roman" w:eastAsia="Times New Roman" w:hint="default"/>
        </w:rPr>
        <w:t>218,438.13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本报告期无核销其他应收款的情况。</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5,889,157.15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3,678,313.00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1,018,682.40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844,847.00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614,752.62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397,007.42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代垫运杂费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社保个人承担部分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1,016,219.48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796,382.26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8,614,711.65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5,716,549.68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463,434.56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23,171.73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15,950.00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293,605.00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14,680.25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13,350.00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1,594,039.56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79,701.98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其他说明：</w:t>
      </w:r>
    </w:p>
    <w:p>
      <w:pPr>
        <w:pStyle w:val="BodyText"/>
        <w:spacing w:line="300" w:lineRule="auto" w:before="117"/>
        <w:ind w:right="1374"/>
        <w:jc w:val="left"/>
      </w:pPr>
      <w:r>
        <w:rPr/>
        <w:t>本报告期内其他应收款中无应收持有本公司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）以上表决权股份的股东单位及其他关联单位款项。 其他应收款期末余额较年初增加较大，主要系公司本期支付的投标保证金较多。</w:t>
      </w:r>
    </w:p>
    <w:p>
      <w:pPr>
        <w:spacing w:line="240" w:lineRule="auto" w:before="10"/>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10</w:t>
      </w:r>
      <w:r>
        <w:rPr/>
        <w:t>、存货</w:t>
      </w:r>
      <w:r>
        <w:rPr>
          <w:b w:val="0"/>
          <w:bCs w:val="0"/>
        </w:rPr>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b/>
          <w:bCs/>
          <w:sz w:val="25"/>
          <w:szCs w:val="25"/>
        </w:rPr>
      </w:pPr>
    </w:p>
    <w:p>
      <w:pPr>
        <w:pStyle w:val="BodyText"/>
        <w:spacing w:line="360" w:lineRule="auto" w:before="44"/>
        <w:ind w:right="6534"/>
        <w:jc w:val="left"/>
      </w:pPr>
      <w:r>
        <w:rPr/>
        <w:t>公司是否需要遵守房地产行业的披露要求 否</w:t>
      </w:r>
    </w:p>
    <w:p>
      <w:pPr>
        <w:spacing w:line="240" w:lineRule="auto" w:before="2"/>
        <w:rPr>
          <w:rFonts w:ascii="宋体" w:hAnsi="宋体" w:cs="宋体" w:eastAsia="宋体" w:hint="default"/>
          <w:sz w:val="20"/>
          <w:szCs w:val="20"/>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8"/>
        <w:gridCol w:w="1366"/>
        <w:gridCol w:w="1368"/>
        <w:gridCol w:w="1366"/>
        <w:gridCol w:w="1368"/>
      </w:tblGrid>
      <w:tr>
        <w:trPr>
          <w:trHeight w:val="206"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12,174,538.34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12,174,538.34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12,823,707.57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12,823,707.57</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21,012,000.18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21,012,000.18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29,144,851.19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29,144,851.19</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1,607,848.61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1,607,848.61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1,607,848.61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1,607,848.61</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34,794,387.13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1,607,848.61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33,186,538.52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43,576,407.37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1,607,848.61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41,968,558.76</w:t>
            </w:r>
          </w:p>
        </w:tc>
      </w:tr>
    </w:tbl>
    <w:p>
      <w:pPr>
        <w:pStyle w:val="BodyText"/>
        <w:spacing w:line="338" w:lineRule="auto" w:before="49"/>
        <w:ind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3"/>
        <w:ind w:right="595"/>
        <w:jc w:val="left"/>
      </w:pPr>
      <w:r>
        <w:rPr/>
        <w:t>公司是否需遵守《深圳证券交易所创业板行业信息披露指引第</w:t>
      </w:r>
      <w:r>
        <w:rPr>
          <w:spacing w:val="-46"/>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39"/>
        <w:ind w:right="7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5"/>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1,607,848.61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1,607,848.61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1,607,848.61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1,607,848.61</w:t>
            </w:r>
          </w:p>
        </w:tc>
      </w:tr>
    </w:tbl>
    <w:p>
      <w:pPr>
        <w:pStyle w:val="BodyText"/>
        <w:spacing w:line="240" w:lineRule="auto" w:before="8"/>
        <w:ind w:right="153"/>
        <w:jc w:val="left"/>
      </w:pPr>
      <w:r>
        <w:rPr/>
        <w:t>本期本公司根据库存商品期末市场售价扣除预计销售费用与税金作为可变现净值，计提存货跌价准备。</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517,616.32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增值税预缴税额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456,127.12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待认证增值税进项税额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5,791,598.36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6,247,725.48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517,616.32</w:t>
            </w:r>
          </w:p>
        </w:tc>
      </w:tr>
    </w:tbl>
    <w:p>
      <w:pPr>
        <w:spacing w:line="583" w:lineRule="auto" w:before="49"/>
        <w:ind w:left="152" w:right="3474" w:firstLine="0"/>
        <w:jc w:val="left"/>
        <w:rPr>
          <w:rFonts w:ascii="宋体" w:hAnsi="宋体" w:cs="宋体" w:eastAsia="宋体" w:hint="default"/>
          <w:sz w:val="21"/>
          <w:szCs w:val="21"/>
        </w:rPr>
      </w:pPr>
      <w:r>
        <w:rPr>
          <w:rFonts w:ascii="宋体" w:hAnsi="宋体" w:cs="宋体" w:eastAsia="宋体" w:hint="default"/>
          <w:sz w:val="18"/>
          <w:szCs w:val="18"/>
        </w:rPr>
        <w:t>其他说明： 其他流动资产期末余额较年初增加较多，主要系公司待认证进项税额增加所致。 </w:t>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pStyle w:val="Heading3"/>
        <w:spacing w:line="279" w:lineRule="exact"/>
        <w:ind w:right="15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1"/>
        <w:gridCol w:w="1195"/>
        <w:gridCol w:w="1198"/>
        <w:gridCol w:w="1196"/>
        <w:gridCol w:w="1248"/>
        <w:gridCol w:w="1369"/>
        <w:gridCol w:w="1366"/>
      </w:tblGrid>
      <w:tr>
        <w:trPr>
          <w:trHeight w:val="204"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1102"/>
        <w:gridCol w:w="852"/>
        <w:gridCol w:w="1133"/>
        <w:gridCol w:w="569"/>
        <w:gridCol w:w="991"/>
        <w:gridCol w:w="852"/>
        <w:gridCol w:w="593"/>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0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9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5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12"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新晨航空 科技（天 津）有限 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1,000,000.00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4.00%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1,000,000.00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844"/>
        <w:gridCol w:w="1985"/>
        <w:gridCol w:w="1844"/>
        <w:gridCol w:w="1774"/>
      </w:tblGrid>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44"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3,841,347.00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3,841,347.00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4"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844"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r>
              <w:rPr>
                <w:rFonts w:ascii="宋体" w:hAnsi="宋体" w:cs="宋体" w:eastAsia="宋体" w:hint="default"/>
                <w:sz w:val="18"/>
                <w:szCs w:val="18"/>
              </w:rPr>
              <w:t>在建工程转入</w:t>
            </w:r>
          </w:p>
        </w:tc>
        <w:tc>
          <w:tcPr>
            <w:tcW w:w="1844"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844"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3,841,347.00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3,841,347.00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2,336,151.73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2,336,151.73</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182,464.22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182,464.22</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182,464.22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182,464.22</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8"/>
          <w:pgSz w:w="11910" w:h="16840"/>
          <w:pgMar w:footer="980" w:header="745" w:top="1060" w:bottom="1160" w:left="980" w:right="98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7"/>
        <w:gridCol w:w="1844"/>
        <w:gridCol w:w="1985"/>
        <w:gridCol w:w="1844"/>
        <w:gridCol w:w="1774"/>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2,518,615.95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2,518,615.95</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1,322,731.05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1,322,731.05</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1,505,195.27</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1,505,195.27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其他说明</w:t>
      </w:r>
    </w:p>
    <w:p>
      <w:pPr>
        <w:pStyle w:val="BodyText"/>
        <w:spacing w:line="240" w:lineRule="auto" w:before="117"/>
        <w:ind w:right="153"/>
        <w:jc w:val="left"/>
      </w:pPr>
      <w:r>
        <w:rPr>
          <w:rFonts w:ascii="Times New Roman" w:hAnsi="Times New Roman" w:cs="Times New Roman" w:eastAsia="Times New Roman" w:hint="default"/>
        </w:rPr>
        <w:t>1</w:t>
      </w:r>
      <w:r>
        <w:rPr/>
        <w:t>．投资性房地产产权证书情况</w:t>
      </w:r>
    </w:p>
    <w:p>
      <w:pPr>
        <w:pStyle w:val="BodyText"/>
        <w:spacing w:line="300" w:lineRule="auto" w:before="63"/>
        <w:ind w:right="204"/>
        <w:jc w:val="left"/>
      </w:pPr>
      <w:r>
        <w:rPr/>
        <w:t>本公司投资性房地产位于北京市海淀区海淀大街</w:t>
      </w:r>
      <w:r>
        <w:rPr>
          <w:rFonts w:ascii="Times New Roman" w:hAnsi="Times New Roman" w:cs="Times New Roman" w:eastAsia="Times New Roman" w:hint="default"/>
        </w:rPr>
        <w:t>38</w:t>
      </w:r>
      <w:r>
        <w:rPr/>
        <w:t>号楼（</w:t>
      </w:r>
      <w:r>
        <w:rPr>
          <w:rFonts w:ascii="Times New Roman" w:hAnsi="Times New Roman" w:cs="Times New Roman" w:eastAsia="Times New Roman" w:hint="default"/>
        </w:rPr>
        <w:t>10-09</w:t>
      </w:r>
      <w:r>
        <w:rPr/>
        <w:t>、</w:t>
      </w:r>
      <w:r>
        <w:rPr>
          <w:rFonts w:ascii="Times New Roman" w:hAnsi="Times New Roman" w:cs="Times New Roman" w:eastAsia="Times New Roman" w:hint="default"/>
        </w:rPr>
        <w:t>10-10</w:t>
      </w:r>
      <w:r>
        <w:rPr/>
        <w:t>），已办理产权证号为京房权证海股移字第</w:t>
      </w:r>
      <w:r>
        <w:rPr>
          <w:rFonts w:ascii="Times New Roman" w:hAnsi="Times New Roman" w:cs="Times New Roman" w:eastAsia="Times New Roman" w:hint="default"/>
        </w:rPr>
        <w:t>0011413 </w:t>
      </w:r>
      <w:r>
        <w:rPr/>
        <w:t>号房屋产权证。</w:t>
      </w:r>
    </w:p>
    <w:p>
      <w:pPr>
        <w:pStyle w:val="BodyText"/>
        <w:spacing w:line="300" w:lineRule="auto" w:before="31"/>
        <w:ind w:right="4194"/>
        <w:jc w:val="left"/>
      </w:pPr>
      <w:r>
        <w:rPr>
          <w:rFonts w:ascii="Times New Roman" w:hAnsi="Times New Roman" w:cs="Times New Roman" w:eastAsia="Times New Roman" w:hint="default"/>
        </w:rPr>
        <w:t>2</w:t>
      </w:r>
      <w:r>
        <w:rPr/>
        <w:t>．投资性房地产的说明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日止，本公司投资性房地产不存在抵押、减值情况。</w:t>
      </w:r>
    </w:p>
    <w:p>
      <w:pPr>
        <w:spacing w:line="240" w:lineRule="auto" w:before="5"/>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26"/>
        <w:gridCol w:w="1901"/>
        <w:gridCol w:w="1916"/>
        <w:gridCol w:w="1915"/>
        <w:gridCol w:w="1914"/>
      </w:tblGrid>
      <w:tr>
        <w:trPr>
          <w:trHeight w:val="401" w:hRule="exact"/>
        </w:trPr>
        <w:tc>
          <w:tcPr>
            <w:tcW w:w="1926"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5"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25,082,323.30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3,087,705.78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8,541,066.65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36,711,095.73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52,348.85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1,869,901.14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1,922,249.99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52,348.85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1,869,901.14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1,922,249.99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473,344.64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473,344.64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473,344.64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473,344.64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25,082,323.30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3,140,054.63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9,937,623.15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38,160,001.08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14,767,307.93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2,821,186.51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6,068,209.30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23,656,703.74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1,223,589.84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58,431.21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794,317.09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2,076,338.14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1,223,589.84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58,431.21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794,317.09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2,076,338.14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441,869.03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441,869.03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441,869.03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441,869.03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15,990,897.77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2,879,617.72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6,420,657.36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25,291,172.85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9,091,425.53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260,436.91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3,516,965.79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12,868,828.23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10,315,015.37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266,519.27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2,472,857.35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13,054,391.99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其他说明</w:t>
      </w:r>
    </w:p>
    <w:p>
      <w:pPr>
        <w:pStyle w:val="BodyText"/>
        <w:spacing w:line="240" w:lineRule="auto" w:before="117"/>
        <w:ind w:left="513" w:right="153"/>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日止，本公司共有</w:t>
      </w:r>
      <w:r>
        <w:rPr>
          <w:rFonts w:ascii="Times New Roman" w:hAnsi="Times New Roman" w:cs="Times New Roman" w:eastAsia="Times New Roman" w:hint="default"/>
        </w:rPr>
        <w:t>2</w:t>
      </w:r>
      <w:r>
        <w:rPr/>
        <w:t>处房屋建筑物，房屋产权证号及国有土地使用权证号如下：</w:t>
      </w:r>
    </w:p>
    <w:p>
      <w:pPr>
        <w:pStyle w:val="BodyText"/>
        <w:spacing w:line="300" w:lineRule="auto" w:before="63"/>
        <w:ind w:right="153" w:firstLine="360"/>
        <w:jc w:val="left"/>
      </w:pPr>
      <w:r>
        <w:rPr>
          <w:rFonts w:ascii="Times New Roman" w:hAnsi="Times New Roman" w:cs="Times New Roman" w:eastAsia="Times New Roman" w:hint="default"/>
        </w:rPr>
        <w:t>A</w:t>
      </w:r>
      <w:r>
        <w:rPr/>
        <w:t>、北京市海淀区蓝靛厂东路金源时代商务中心</w:t>
      </w:r>
      <w:r>
        <w:rPr>
          <w:rFonts w:ascii="Times New Roman" w:hAnsi="Times New Roman" w:cs="Times New Roman" w:eastAsia="Times New Roman" w:hint="default"/>
        </w:rPr>
        <w:t>B</w:t>
      </w:r>
      <w:r>
        <w:rPr/>
        <w:t>座</w:t>
      </w:r>
      <w:r>
        <w:rPr>
          <w:rFonts w:ascii="Times New Roman" w:hAnsi="Times New Roman" w:cs="Times New Roman" w:eastAsia="Times New Roman" w:hint="default"/>
        </w:rPr>
        <w:t>8-A</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C</w:t>
      </w:r>
      <w:r>
        <w:rPr/>
        <w:t>、</w:t>
      </w:r>
      <w:r>
        <w:rPr>
          <w:rFonts w:ascii="Times New Roman" w:hAnsi="Times New Roman" w:cs="Times New Roman" w:eastAsia="Times New Roman" w:hint="default"/>
        </w:rPr>
        <w:t>D</w:t>
      </w:r>
      <w:r>
        <w:rPr/>
        <w:t>、</w:t>
      </w:r>
      <w:r>
        <w:rPr>
          <w:rFonts w:ascii="Times New Roman" w:hAnsi="Times New Roman" w:cs="Times New Roman" w:eastAsia="Times New Roman" w:hint="default"/>
        </w:rPr>
        <w:t>E</w:t>
      </w:r>
      <w:r>
        <w:rPr/>
        <w:t>、</w:t>
      </w:r>
      <w:r>
        <w:rPr>
          <w:rFonts w:ascii="Times New Roman" w:hAnsi="Times New Roman" w:cs="Times New Roman" w:eastAsia="Times New Roman" w:hint="default"/>
        </w:rPr>
        <w:t>F</w:t>
      </w:r>
      <w:r>
        <w:rPr/>
        <w:t>，房屋产权证号分别为京房权证海股移字第 </w:t>
      </w:r>
      <w:r>
        <w:rPr>
          <w:rFonts w:ascii="Times New Roman" w:hAnsi="Times New Roman" w:cs="Times New Roman" w:eastAsia="Times New Roman" w:hint="default"/>
          <w:spacing w:val="-2"/>
        </w:rPr>
        <w:t>0042361</w:t>
      </w:r>
      <w:r>
        <w:rPr>
          <w:spacing w:val="-2"/>
        </w:rPr>
        <w:t>号、京房权证海股移字第</w:t>
      </w:r>
      <w:r>
        <w:rPr>
          <w:rFonts w:ascii="Times New Roman" w:hAnsi="Times New Roman" w:cs="Times New Roman" w:eastAsia="Times New Roman" w:hint="default"/>
          <w:spacing w:val="-2"/>
        </w:rPr>
        <w:t>0042757</w:t>
      </w:r>
      <w:r>
        <w:rPr>
          <w:spacing w:val="-2"/>
        </w:rPr>
        <w:t>号、京房权证海股移字第</w:t>
      </w:r>
      <w:r>
        <w:rPr>
          <w:rFonts w:ascii="Times New Roman" w:hAnsi="Times New Roman" w:cs="Times New Roman" w:eastAsia="Times New Roman" w:hint="default"/>
          <w:spacing w:val="-2"/>
        </w:rPr>
        <w:t>0042413</w:t>
      </w:r>
      <w:r>
        <w:rPr>
          <w:spacing w:val="-2"/>
        </w:rPr>
        <w:t>号、京房权证海股移字第</w:t>
      </w:r>
      <w:r>
        <w:rPr>
          <w:rFonts w:ascii="Times New Roman" w:hAnsi="Times New Roman" w:cs="Times New Roman" w:eastAsia="Times New Roman" w:hint="default"/>
          <w:spacing w:val="-2"/>
        </w:rPr>
        <w:t>0042411</w:t>
      </w:r>
      <w:r>
        <w:rPr>
          <w:spacing w:val="-2"/>
        </w:rPr>
        <w:t>号、京房权证海</w:t>
      </w:r>
      <w:r>
        <w:rPr>
          <w:spacing w:val="-46"/>
        </w:rPr>
        <w:t> </w:t>
      </w:r>
      <w:r>
        <w:rPr>
          <w:spacing w:val="-46"/>
        </w:rPr>
      </w:r>
      <w:r>
        <w:rPr>
          <w:spacing w:val="-2"/>
        </w:rPr>
        <w:t>股移字第</w:t>
      </w:r>
      <w:r>
        <w:rPr>
          <w:rFonts w:ascii="Times New Roman" w:hAnsi="Times New Roman" w:cs="Times New Roman" w:eastAsia="Times New Roman" w:hint="default"/>
          <w:spacing w:val="-2"/>
        </w:rPr>
        <w:t>0042415</w:t>
      </w:r>
      <w:r>
        <w:rPr>
          <w:spacing w:val="-2"/>
        </w:rPr>
        <w:t>号、京房权证海股移字第</w:t>
      </w:r>
      <w:r>
        <w:rPr>
          <w:rFonts w:ascii="Times New Roman" w:hAnsi="Times New Roman" w:cs="Times New Roman" w:eastAsia="Times New Roman" w:hint="default"/>
          <w:spacing w:val="-2"/>
        </w:rPr>
        <w:t>0042366</w:t>
      </w:r>
      <w:r>
        <w:rPr>
          <w:spacing w:val="-2"/>
        </w:rPr>
        <w:t>号；国有土地使用权证号分别为京海国用（</w:t>
      </w:r>
      <w:r>
        <w:rPr>
          <w:rFonts w:ascii="Times New Roman" w:hAnsi="Times New Roman" w:cs="Times New Roman" w:eastAsia="Times New Roman" w:hint="default"/>
          <w:spacing w:val="-2"/>
        </w:rPr>
        <w:t>2006</w:t>
      </w:r>
      <w:r>
        <w:rPr>
          <w:spacing w:val="-2"/>
        </w:rPr>
        <w:t>转）第</w:t>
      </w:r>
      <w:r>
        <w:rPr>
          <w:rFonts w:ascii="Times New Roman" w:hAnsi="Times New Roman" w:cs="Times New Roman" w:eastAsia="Times New Roman" w:hint="default"/>
          <w:spacing w:val="-2"/>
        </w:rPr>
        <w:t>3637</w:t>
      </w:r>
      <w:r>
        <w:rPr>
          <w:spacing w:val="-2"/>
        </w:rPr>
        <w:t>号、京海国用</w:t>
      </w:r>
    </w:p>
    <w:p>
      <w:pPr>
        <w:pStyle w:val="BodyText"/>
        <w:spacing w:line="300" w:lineRule="auto" w:before="13"/>
        <w:ind w:right="153"/>
        <w:jc w:val="left"/>
      </w:pPr>
      <w:r>
        <w:rPr>
          <w:spacing w:val="-2"/>
        </w:rPr>
        <w:t>（</w:t>
      </w:r>
      <w:r>
        <w:rPr>
          <w:rFonts w:ascii="Times New Roman" w:hAnsi="Times New Roman" w:cs="Times New Roman" w:eastAsia="Times New Roman" w:hint="default"/>
          <w:spacing w:val="-2"/>
        </w:rPr>
        <w:t>2006</w:t>
      </w:r>
      <w:r>
        <w:rPr>
          <w:spacing w:val="-2"/>
        </w:rPr>
        <w:t>转）第</w:t>
      </w:r>
      <w:r>
        <w:rPr>
          <w:rFonts w:ascii="Times New Roman" w:hAnsi="Times New Roman" w:cs="Times New Roman" w:eastAsia="Times New Roman" w:hint="default"/>
          <w:spacing w:val="-2"/>
        </w:rPr>
        <w:t>3635</w:t>
      </w:r>
      <w:r>
        <w:rPr>
          <w:spacing w:val="-2"/>
        </w:rPr>
        <w:t>号、京海国用（</w:t>
      </w:r>
      <w:r>
        <w:rPr>
          <w:rFonts w:ascii="Times New Roman" w:hAnsi="Times New Roman" w:cs="Times New Roman" w:eastAsia="Times New Roman" w:hint="default"/>
          <w:spacing w:val="-2"/>
        </w:rPr>
        <w:t>2006</w:t>
      </w:r>
      <w:r>
        <w:rPr>
          <w:spacing w:val="-2"/>
        </w:rPr>
        <w:t>转）第</w:t>
      </w:r>
      <w:r>
        <w:rPr>
          <w:rFonts w:ascii="Times New Roman" w:hAnsi="Times New Roman" w:cs="Times New Roman" w:eastAsia="Times New Roman" w:hint="default"/>
          <w:spacing w:val="-2"/>
        </w:rPr>
        <w:t>3634</w:t>
      </w:r>
      <w:r>
        <w:rPr>
          <w:spacing w:val="-2"/>
        </w:rPr>
        <w:t>号、京海国用（</w:t>
      </w:r>
      <w:r>
        <w:rPr>
          <w:rFonts w:ascii="Times New Roman" w:hAnsi="Times New Roman" w:cs="Times New Roman" w:eastAsia="Times New Roman" w:hint="default"/>
          <w:spacing w:val="-2"/>
        </w:rPr>
        <w:t>2006</w:t>
      </w:r>
      <w:r>
        <w:rPr>
          <w:spacing w:val="-2"/>
        </w:rPr>
        <w:t>转）第</w:t>
      </w:r>
      <w:r>
        <w:rPr>
          <w:rFonts w:ascii="Times New Roman" w:hAnsi="Times New Roman" w:cs="Times New Roman" w:eastAsia="Times New Roman" w:hint="default"/>
          <w:spacing w:val="-2"/>
        </w:rPr>
        <w:t>3639</w:t>
      </w:r>
      <w:r>
        <w:rPr>
          <w:spacing w:val="-2"/>
        </w:rPr>
        <w:t>号、京海国用（</w:t>
      </w:r>
      <w:r>
        <w:rPr>
          <w:rFonts w:ascii="Times New Roman" w:hAnsi="Times New Roman" w:cs="Times New Roman" w:eastAsia="Times New Roman" w:hint="default"/>
          <w:spacing w:val="-2"/>
        </w:rPr>
        <w:t>2006</w:t>
      </w:r>
      <w:r>
        <w:rPr>
          <w:spacing w:val="-2"/>
        </w:rPr>
        <w:t>转）第</w:t>
      </w:r>
      <w:r>
        <w:rPr>
          <w:rFonts w:ascii="Times New Roman" w:hAnsi="Times New Roman" w:cs="Times New Roman" w:eastAsia="Times New Roman" w:hint="default"/>
          <w:spacing w:val="-2"/>
        </w:rPr>
        <w:t>3638</w:t>
      </w:r>
      <w:r>
        <w:rPr>
          <w:spacing w:val="-2"/>
        </w:rPr>
        <w:t>号、京海</w:t>
      </w:r>
      <w:r>
        <w:rPr>
          <w:spacing w:val="-53"/>
        </w:rPr>
        <w:t> </w:t>
      </w:r>
      <w:r>
        <w:rPr>
          <w:spacing w:val="-53"/>
        </w:rPr>
      </w:r>
      <w:r>
        <w:rPr/>
        <w:t>国用（</w:t>
      </w:r>
      <w:r>
        <w:rPr>
          <w:rFonts w:ascii="Times New Roman" w:hAnsi="Times New Roman" w:cs="Times New Roman" w:eastAsia="Times New Roman" w:hint="default"/>
        </w:rPr>
        <w:t>2006</w:t>
      </w:r>
      <w:r>
        <w:rPr/>
        <w:t>转）第</w:t>
      </w:r>
      <w:r>
        <w:rPr>
          <w:rFonts w:ascii="Times New Roman" w:hAnsi="Times New Roman" w:cs="Times New Roman" w:eastAsia="Times New Roman" w:hint="default"/>
        </w:rPr>
        <w:t>3631</w:t>
      </w:r>
      <w:r>
        <w:rPr/>
        <w:t>号。</w:t>
      </w:r>
    </w:p>
    <w:p>
      <w:pPr>
        <w:pStyle w:val="BodyText"/>
        <w:spacing w:line="300" w:lineRule="auto" w:before="13"/>
        <w:ind w:left="513" w:right="2453"/>
        <w:jc w:val="left"/>
      </w:pPr>
      <w:r>
        <w:rPr>
          <w:rFonts w:ascii="Times New Roman" w:hAnsi="Times New Roman" w:cs="Times New Roman" w:eastAsia="Times New Roman" w:hint="default"/>
        </w:rPr>
        <w:t>B</w:t>
      </w:r>
      <w:r>
        <w:rPr/>
        <w:t>、江苏省南京市鼓楼区丁家桥中山北路</w:t>
      </w:r>
      <w:r>
        <w:rPr>
          <w:rFonts w:ascii="Times New Roman" w:hAnsi="Times New Roman" w:cs="Times New Roman" w:eastAsia="Times New Roman" w:hint="default"/>
        </w:rPr>
        <w:t>26</w:t>
      </w:r>
      <w:r>
        <w:rPr/>
        <w:t>号</w:t>
      </w:r>
      <w:r>
        <w:rPr>
          <w:rFonts w:ascii="Times New Roman" w:hAnsi="Times New Roman" w:cs="Times New Roman" w:eastAsia="Times New Roman" w:hint="default"/>
        </w:rPr>
        <w:t>28</w:t>
      </w:r>
      <w:r>
        <w:rPr/>
        <w:t>层，房屋产权证号为鼓初字第</w:t>
      </w:r>
      <w:r>
        <w:rPr>
          <w:rFonts w:ascii="Times New Roman" w:hAnsi="Times New Roman" w:cs="Times New Roman" w:eastAsia="Times New Roman" w:hint="default"/>
        </w:rPr>
        <w:t>124925</w:t>
      </w:r>
      <w:r>
        <w:rPr/>
        <w:t>号。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日止，本公司不存在通过融资租赁租入的固定资产。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日止，本公司固定资产不存在减值情况。</w:t>
      </w:r>
    </w:p>
    <w:p>
      <w:pPr>
        <w:spacing w:line="240" w:lineRule="auto" w:before="4"/>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定制厂房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89,622,829.57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89,622,829.57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92,026,015.52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92,026,015.52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89,622,829.57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89,622,829.57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92,026,015.52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92,026,015.52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51"/>
        <w:gridCol w:w="723"/>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4"/>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定制厂 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99,526,0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15.52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92,026,0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15.52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2,403,18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89,622,8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29.57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90.05%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7"/>
              <w:jc w:val="center"/>
              <w:rPr>
                <w:rFonts w:ascii="Times New Roman" w:hAnsi="Times New Roman" w:cs="Times New Roman" w:eastAsia="Times New Roman" w:hint="default"/>
                <w:sz w:val="18"/>
                <w:szCs w:val="18"/>
              </w:rPr>
            </w:pPr>
            <w:r>
              <w:rPr>
                <w:rFonts w:ascii="Times New Roman"/>
                <w:sz w:val="18"/>
              </w:rPr>
              <w:t>90.05%</w:t>
            </w:r>
          </w:p>
        </w:tc>
        <w:tc>
          <w:tcPr>
            <w:tcW w:w="75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99,526,0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15.52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92,026,0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15.52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2,403,18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89,622,8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29.57</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5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t>其他说明</w:t>
      </w:r>
    </w:p>
    <w:p>
      <w:pPr>
        <w:pStyle w:val="BodyText"/>
        <w:spacing w:line="300" w:lineRule="auto" w:before="115"/>
        <w:ind w:right="138"/>
        <w:jc w:val="left"/>
      </w:pPr>
      <w:r>
        <w:rPr/>
        <w:t>在建工程期末余额较年初减少 </w:t>
      </w:r>
      <w:r>
        <w:rPr>
          <w:rFonts w:ascii="Times New Roman" w:hAnsi="Times New Roman" w:cs="Times New Roman" w:eastAsia="Times New Roman" w:hint="default"/>
        </w:rPr>
        <w:t>240.32</w:t>
      </w:r>
      <w:r>
        <w:rPr>
          <w:rFonts w:ascii="Times New Roman" w:hAnsi="Times New Roman" w:cs="Times New Roman" w:eastAsia="Times New Roman" w:hint="default"/>
          <w:spacing w:val="6"/>
        </w:rPr>
        <w:t> </w:t>
      </w:r>
      <w:r>
        <w:rPr/>
        <w:t>万元，主要系本公司定制厂房本期收房实测面积与签订合同时预估面积减少，退还定 制厂房款项及公共维修金所致。</w:t>
      </w:r>
    </w:p>
    <w:p>
      <w:pPr>
        <w:spacing w:line="240" w:lineRule="auto" w:before="10"/>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1"/>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571"/>
        <w:gridCol w:w="1275"/>
        <w:gridCol w:w="1274"/>
        <w:gridCol w:w="1594"/>
        <w:gridCol w:w="1594"/>
      </w:tblGrid>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left="60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71" w:type="dxa"/>
            <w:tcBorders>
              <w:top w:val="single" w:sz="4" w:space="0" w:color="000000"/>
              <w:left w:val="single" w:sz="9"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71" w:type="dxa"/>
            <w:tcBorders>
              <w:top w:val="single" w:sz="4" w:space="0" w:color="000000"/>
              <w:left w:val="single" w:sz="9"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4,708,079.77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4,708,079.77</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71" w:type="dxa"/>
            <w:tcBorders>
              <w:top w:val="single" w:sz="4" w:space="0" w:color="000000"/>
              <w:left w:val="single" w:sz="9"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2,051,683.95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2,051,683.95</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71" w:type="dxa"/>
            <w:tcBorders>
              <w:top w:val="single" w:sz="4" w:space="0" w:color="000000"/>
              <w:left w:val="single" w:sz="9"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2,051,683.95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2,051,683.95</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571" w:type="dxa"/>
            <w:tcBorders>
              <w:top w:val="single" w:sz="4" w:space="0" w:color="000000"/>
              <w:left w:val="single" w:sz="9"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71" w:type="dxa"/>
            <w:tcBorders>
              <w:top w:val="single" w:sz="4" w:space="0" w:color="000000"/>
              <w:left w:val="single" w:sz="9"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7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7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8"/>
        <w:gridCol w:w="1561"/>
        <w:gridCol w:w="1275"/>
        <w:gridCol w:w="1274"/>
        <w:gridCol w:w="1594"/>
        <w:gridCol w:w="1594"/>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6,759,763.72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6,759,763.72</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3,267,097.84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3,267,097.84</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1,119,242.24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1,119,242.24</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1,119,242.24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1,119,242.24</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4,386,340.08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4,386,340.08</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2,373,423.64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2,373,423.64</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1,440,981.93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1,440,981.93</w:t>
            </w:r>
          </w:p>
        </w:tc>
      </w:tr>
    </w:tbl>
    <w:p>
      <w:pPr>
        <w:pStyle w:val="BodyText"/>
        <w:spacing w:line="240" w:lineRule="auto" w:before="49"/>
        <w:ind w:right="153"/>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4374"/>
        <w:jc w:val="left"/>
      </w:pPr>
      <w:r>
        <w:rPr/>
        <w:t>其他说明：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日止，本公司不存在无形资产未办妥产权证书情况</w:t>
      </w:r>
    </w:p>
    <w:p>
      <w:pPr>
        <w:pStyle w:val="BodyText"/>
        <w:spacing w:line="199" w:lineRule="exact"/>
        <w:ind w:right="153"/>
        <w:jc w:val="left"/>
      </w:pPr>
      <w:r>
        <w:rPr/>
        <w:t>无形资产期末余额较年初增加较大，主要系本期募投项目研发所需购入软件所致。</w:t>
      </w:r>
    </w:p>
    <w:p>
      <w:pPr>
        <w:spacing w:after="0" w:line="199" w:lineRule="exact"/>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748,912.47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76,159.15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98,444.39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726,627.23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748,912.47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76,159.15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98,444.39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726,627.23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51,956,223.14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7,851,123.25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39,386,084.63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5,967,660.99</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2,211,542.11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377,249.35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988,104.34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148,215.65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1,305,006.22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195,750.93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55,155,869.59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8,376,588.25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40,691,090.85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6,163,411.92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7"/>
        <w:gridCol w:w="1914"/>
        <w:gridCol w:w="1915"/>
        <w:gridCol w:w="1914"/>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8,376,588.25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2" w:right="0"/>
              <w:jc w:val="left"/>
              <w:rPr>
                <w:rFonts w:ascii="Times New Roman" w:hAnsi="Times New Roman" w:cs="Times New Roman" w:eastAsia="Times New Roman" w:hint="default"/>
                <w:sz w:val="18"/>
                <w:szCs w:val="18"/>
              </w:rPr>
            </w:pPr>
            <w:r>
              <w:rPr>
                <w:rFonts w:ascii="Times New Roman"/>
                <w:sz w:val="18"/>
              </w:rPr>
              <w:t>6,163,411.92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806,198.00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2,419,968.22</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6,198,381.48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6,067,842.86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7,004,579.48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8,487,811.08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年度可抵扣亏损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130,538.62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年度可抵扣亏损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84,472.87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84,472.87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年度可抵扣亏损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31,246.56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31,246.56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年度可抵扣亏损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1,060,571.12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1,060,571.12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年度可抵扣亏损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2,940,251.43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2,940,251.43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年度可抵扣亏损</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1,951,300.88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4,247,080.60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6,067,842.86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pStyle w:val="BodyText"/>
        <w:spacing w:line="360" w:lineRule="auto" w:before="44"/>
        <w:ind w:right="2574"/>
        <w:jc w:val="left"/>
      </w:pPr>
      <w:r>
        <w:rPr/>
        <w:t>其他说明： 递延所得税资产期末余额较年初增加较多，主要系资产减值准备及股权激励费用增加所致。</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30,791,487.53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4,837,349.10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35,628,836.63</w:t>
            </w:r>
          </w:p>
        </w:tc>
      </w:tr>
    </w:tbl>
    <w:p>
      <w:pPr>
        <w:pStyle w:val="BodyText"/>
        <w:spacing w:line="360" w:lineRule="auto" w:before="49"/>
        <w:ind w:right="3654"/>
        <w:jc w:val="left"/>
      </w:pPr>
      <w:r>
        <w:rPr/>
        <w:t>短期借款分类的说明： 短期借款较期末余额较期初余额减少较多，主要系本期末偿还全部借款所致。</w:t>
      </w:r>
    </w:p>
    <w:p>
      <w:pPr>
        <w:spacing w:line="240" w:lineRule="auto" w:before="5"/>
        <w:rPr>
          <w:rFonts w:ascii="宋体" w:hAnsi="宋体" w:cs="宋体" w:eastAsia="宋体" w:hint="default"/>
          <w:sz w:val="20"/>
          <w:szCs w:val="20"/>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本期末已逾期未偿还的短期借款总额为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5,317,000.00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1,631,320.00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8,855,570.00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6,948,320.00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8,855,570.00</w:t>
            </w:r>
          </w:p>
        </w:tc>
      </w:tr>
    </w:tbl>
    <w:p>
      <w:pPr>
        <w:pStyle w:val="BodyText"/>
        <w:spacing w:line="240" w:lineRule="auto" w:before="49"/>
        <w:ind w:right="15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应付软件款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10,429,547.05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533,413.04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应付技术服务费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14,955,809.84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16,766,899.00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应付材料设备款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78,270,066.81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37,274,778.94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103,655,423.70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54,575,090.98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5,331,083.33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2,646,326.36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2,443,560.00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957,108.82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926,646.21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12,304,724.72</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27"/>
          <w:szCs w:val="27"/>
        </w:rPr>
      </w:pPr>
    </w:p>
    <w:p>
      <w:pPr>
        <w:pStyle w:val="BodyText"/>
        <w:spacing w:line="357" w:lineRule="auto" w:before="44"/>
        <w:ind w:right="774"/>
        <w:jc w:val="left"/>
      </w:pPr>
      <w:r>
        <w:rPr/>
        <w:t>其他说明：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日止，应付账款余额中无应付持有本公司</w:t>
      </w:r>
      <w:r>
        <w:rPr>
          <w:rFonts w:ascii="宋体" w:hAnsi="宋体" w:cs="宋体" w:eastAsia="宋体" w:hint="default"/>
        </w:rPr>
        <w:t>5%</w:t>
      </w:r>
      <w:r>
        <w:rPr/>
        <w:t>（含</w:t>
      </w:r>
      <w:r>
        <w:rPr>
          <w:rFonts w:ascii="宋体" w:hAnsi="宋体" w:cs="宋体" w:eastAsia="宋体" w:hint="default"/>
        </w:rPr>
        <w:t>5%</w:t>
      </w:r>
      <w:r>
        <w:rPr/>
        <w:t>）以上表决权股份的股东及其他关联方款项。</w:t>
      </w:r>
    </w:p>
    <w:p>
      <w:pPr>
        <w:spacing w:after="0" w:line="357"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应付账款期末余额较期初余额增加较多，主要系本年设备销售和系统集成类合同增幅较大，相应应付设备款增加所致。</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预收合同进度款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7,103,388.21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33,964,542.10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263,864.52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79,802.85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7,367,252.73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34,044,344.95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4734"/>
        <w:jc w:val="left"/>
      </w:pPr>
      <w:r>
        <w:rPr/>
        <w:t>其他说明：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日，本公司无账龄超过一年的重要预收款项。</w:t>
      </w:r>
    </w:p>
    <w:p>
      <w:pPr>
        <w:pStyle w:val="BodyText"/>
        <w:spacing w:line="212" w:lineRule="exact"/>
        <w:ind w:right="153"/>
        <w:jc w:val="left"/>
      </w:pPr>
      <w:r>
        <w:rPr/>
        <w:t>本报告期内预收款项中无预收持有本公司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）以上表决权股份的股东单位款项，无预收其他关联方款项的情况。</w:t>
      </w:r>
    </w:p>
    <w:p>
      <w:pPr>
        <w:pStyle w:val="BodyText"/>
        <w:spacing w:line="240" w:lineRule="auto" w:before="63"/>
        <w:ind w:right="153"/>
        <w:jc w:val="left"/>
      </w:pPr>
      <w:r>
        <w:rPr/>
        <w:t>预收款项期末余额较期初余额减少较多，主要系部分合同达到收入确认条件，在本期结转收入所致。</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13"/>
        <w:gridCol w:w="1996"/>
        <w:gridCol w:w="1702"/>
        <w:gridCol w:w="1561"/>
        <w:gridCol w:w="1490"/>
      </w:tblGrid>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15,584,281.94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149,820,030.77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147,280,604.11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18,123,708.60</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323,415.87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15,783,159.97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15,765,631.95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340,943.89</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15,907,697.81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165,603,190.74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163,046,236.06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18,464,652.49</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996"/>
        <w:gridCol w:w="1844"/>
        <w:gridCol w:w="1844"/>
        <w:gridCol w:w="1490"/>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3,079,713.99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124,098,675.19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123,795,209.30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3,383,179.88</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96"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3,809,981.58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3,809,981.58</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202,995.69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8,960,880.70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8,941,359.95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222,516.44</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175,480.28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8,067,706.41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8,049,312.07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193,874.62</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3,935.67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200,812.30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200,458.11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4,289.86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09"/>
        <w:gridCol w:w="1985"/>
        <w:gridCol w:w="1844"/>
        <w:gridCol w:w="1844"/>
        <w:gridCol w:w="1490"/>
      </w:tblGrid>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23,579.74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692,361.98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691,589.76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24,351.96</w:t>
            </w:r>
          </w:p>
        </w:tc>
      </w:tr>
      <w:tr>
        <w:trPr>
          <w:trHeight w:val="404"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-576.00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10,067,571.72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10,069,183.72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-2,188.00</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12,302,148.26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2,882,921.58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664,869.56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14,520,200.28</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15,584,281.94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149,820,030.77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147,280,604.11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18,123,708.60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310,206.73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15,208,136.33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15,166,215.51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352,127.55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13,209.14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575,023.64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599,416.44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-11,183.66</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323,415.87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15,783,159.97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15,765,631.95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340,943.89</w:t>
            </w:r>
          </w:p>
        </w:tc>
      </w:tr>
    </w:tbl>
    <w:p>
      <w:pPr>
        <w:pStyle w:val="BodyText"/>
        <w:spacing w:line="357" w:lineRule="auto" w:before="49"/>
        <w:ind w:right="3834"/>
        <w:jc w:val="left"/>
      </w:pPr>
      <w:r>
        <w:rPr/>
        <w:t>其他说明：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日止，本公司应付职工薪酬中没有属于拖欠性质的款项。</w:t>
      </w:r>
    </w:p>
    <w:p>
      <w:pPr>
        <w:spacing w:line="240" w:lineRule="auto" w:before="9"/>
        <w:rPr>
          <w:rFonts w:ascii="宋体" w:hAnsi="宋体" w:cs="宋体" w:eastAsia="宋体" w:hint="default"/>
          <w:sz w:val="18"/>
          <w:szCs w:val="18"/>
        </w:rPr>
      </w:pPr>
    </w:p>
    <w:p>
      <w:pPr>
        <w:pStyle w:val="Heading3"/>
        <w:spacing w:line="240" w:lineRule="auto"/>
        <w:ind w:right="153"/>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25,516,792.99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8,897,171.14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2,650,322.13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1,231,580.49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67,863.83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57,034.15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1,864,062.82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717,965.50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1,320,552.32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502,311.48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23,130.42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5,589.88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31,442,724.51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11,411,652.64</w:t>
            </w:r>
          </w:p>
        </w:tc>
      </w:tr>
    </w:tbl>
    <w:p>
      <w:pPr>
        <w:pStyle w:val="BodyText"/>
        <w:spacing w:line="360" w:lineRule="auto" w:before="49"/>
        <w:ind w:right="3834"/>
        <w:jc w:val="left"/>
      </w:pPr>
      <w:r>
        <w:rPr/>
        <w:t>其他说明： 应交税费期末余额较期初余额增加较多，主要收入增加相应税金增加所致。</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103,328.83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103,328.83</w:t>
            </w:r>
          </w:p>
        </w:tc>
      </w:tr>
    </w:tbl>
    <w:p>
      <w:pPr>
        <w:pStyle w:val="BodyText"/>
        <w:spacing w:line="360" w:lineRule="auto" w:before="49"/>
        <w:ind w:right="3654"/>
        <w:jc w:val="left"/>
      </w:pPr>
      <w:r>
        <w:rPr/>
        <w:t>其他说明： 应付利息期末余额较期初减少较多，主要系公司期末银行借款全部结清所致。</w:t>
      </w:r>
    </w:p>
    <w:p>
      <w:pPr>
        <w:spacing w:after="0" w:line="36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142,205.44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270,351.26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员工待报销款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125,834.92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社保公积金个人部分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1,804.67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288,813.21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股权激励股份回购义务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24,256,535.00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审计验资费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待付装修款等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614,641.49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423,876.56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25,485,551.81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1,670,651.52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2814"/>
        <w:jc w:val="left"/>
      </w:pPr>
      <w:r>
        <w:rPr/>
        <w:t>其他说明： 本报告期内无应付持有本公司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）以上表决权股份的股东及其他关联单位款项。</w:t>
      </w:r>
    </w:p>
    <w:p>
      <w:pPr>
        <w:pStyle w:val="BodyText"/>
        <w:spacing w:line="199" w:lineRule="exact"/>
        <w:ind w:right="153"/>
        <w:jc w:val="left"/>
      </w:pPr>
      <w:r>
        <w:rPr/>
        <w:t>其他应付款期末余额较期初增加较多，主要系公司采取股权激励，就回购限制性股票所产生的负债增加所致。</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316,901.88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316,901.88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316,901.88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316,901.88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988,104.34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316,901.88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671,202.46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988,104.34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316,901.88</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671,202.46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涉及政府补助的项目：</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991"/>
        <w:gridCol w:w="853"/>
        <w:gridCol w:w="1274"/>
        <w:gridCol w:w="1136"/>
        <w:gridCol w:w="1133"/>
        <w:gridCol w:w="566"/>
        <w:gridCol w:w="99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0" w:right="60"/>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2" w:right="89"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2" w:right="111"/>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2" w:right="10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面向灾备资源共享 的容灾云关键技术 与系统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737,039.53</w:t>
            </w:r>
          </w:p>
        </w:tc>
        <w:tc>
          <w:tcPr>
            <w:tcW w:w="8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316,901.88</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420,137.65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面向灾备资源共享 的容灾云关键技术 与系统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251,064.81</w:t>
            </w:r>
          </w:p>
        </w:tc>
        <w:tc>
          <w:tcPr>
            <w:tcW w:w="8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251,064.81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988,104.34</w:t>
            </w:r>
          </w:p>
        </w:tc>
        <w:tc>
          <w:tcPr>
            <w:tcW w:w="8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316,901.88</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671,202.46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90,150,000.00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1,041,500.00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1,041,500.00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91,191,500.00</w:t>
            </w:r>
          </w:p>
        </w:tc>
      </w:tr>
    </w:tbl>
    <w:p>
      <w:pPr>
        <w:pStyle w:val="BodyText"/>
        <w:spacing w:line="360" w:lineRule="auto" w:before="49"/>
        <w:ind w:right="8154"/>
        <w:jc w:val="left"/>
      </w:pPr>
      <w:r>
        <w:rPr/>
        <w:t>其他说明： 股本变动情况说明：</w:t>
      </w:r>
    </w:p>
    <w:p>
      <w:pPr>
        <w:pStyle w:val="BodyText"/>
        <w:spacing w:line="236" w:lineRule="exact"/>
        <w:ind w:left="513" w:right="153"/>
        <w:jc w:val="left"/>
      </w:pPr>
      <w:r>
        <w:rPr/>
        <w:t>经公司</w:t>
      </w:r>
      <w:r>
        <w:rPr>
          <w:rFonts w:ascii="Times New Roman" w:hAnsi="Times New Roman" w:cs="Times New Roman" w:eastAsia="Times New Roman" w:hint="default"/>
        </w:rPr>
        <w:t>2017</w:t>
      </w:r>
      <w:r>
        <w:rPr/>
        <w:t>年第二次临时股东大会审议通过的《关于</w:t>
      </w:r>
      <w:r>
        <w:rPr>
          <w:rFonts w:ascii="Times New Roman" w:hAnsi="Times New Roman" w:cs="Times New Roman" w:eastAsia="Times New Roman" w:hint="default"/>
        </w:rPr>
        <w:t>&lt;</w:t>
      </w:r>
      <w:r>
        <w:rPr/>
        <w:t>新晨科技股份有限公司</w:t>
      </w:r>
      <w:r>
        <w:rPr>
          <w:rFonts w:ascii="Times New Roman" w:hAnsi="Times New Roman" w:cs="Times New Roman" w:eastAsia="Times New Roman" w:hint="default"/>
        </w:rPr>
        <w:t>2017</w:t>
      </w:r>
      <w:r>
        <w:rPr/>
        <w:t>年限制性股票激励计划（草案）</w:t>
      </w:r>
      <w:r>
        <w:rPr>
          <w:rFonts w:ascii="Times New Roman" w:hAnsi="Times New Roman" w:cs="Times New Roman" w:eastAsia="Times New Roman" w:hint="default"/>
        </w:rPr>
        <w:t>&gt;</w:t>
      </w:r>
      <w:r>
        <w:rPr/>
        <w:t>及</w:t>
      </w:r>
    </w:p>
    <w:p>
      <w:pPr>
        <w:pStyle w:val="BodyText"/>
        <w:spacing w:line="304" w:lineRule="auto" w:before="63"/>
        <w:ind w:right="155"/>
        <w:jc w:val="both"/>
      </w:pPr>
      <w:r>
        <w:rPr>
          <w:spacing w:val="-2"/>
        </w:rPr>
        <w:t>其摘要的议案》，以及公司第八届董事会第二十九次会议审议通过《关于向激励对象首次授予限制性股票的议案》，公司向</w:t>
      </w:r>
      <w:r>
        <w:rPr>
          <w:spacing w:val="-67"/>
        </w:rPr>
        <w:t> </w:t>
      </w:r>
      <w:r>
        <w:rPr>
          <w:spacing w:val="-67"/>
        </w:rPr>
      </w:r>
      <w:r>
        <w:rPr/>
        <w:t>激励对象授予限制性人民币普通股（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日，激励对象共</w:t>
      </w:r>
      <w:r>
        <w:rPr>
          <w:rFonts w:ascii="Times New Roman" w:hAnsi="Times New Roman" w:cs="Times New Roman" w:eastAsia="Times New Roman" w:hint="default"/>
        </w:rPr>
        <w:t>61</w:t>
      </w:r>
      <w:r>
        <w:rPr/>
        <w:t>人，限制性股票数量为</w:t>
      </w:r>
      <w:r>
        <w:rPr>
          <w:rFonts w:ascii="Times New Roman" w:hAnsi="Times New Roman" w:cs="Times New Roman" w:eastAsia="Times New Roman" w:hint="default"/>
        </w:rPr>
        <w:t>104.15</w:t>
      </w:r>
      <w:r>
        <w:rPr/>
        <w:t>万股，每股面 值</w:t>
      </w:r>
      <w:r>
        <w:rPr>
          <w:rFonts w:ascii="Times New Roman" w:hAnsi="Times New Roman" w:cs="Times New Roman" w:eastAsia="Times New Roman" w:hint="default"/>
        </w:rPr>
        <w:t>1.0</w:t>
      </w:r>
      <w:r>
        <w:rPr/>
        <w:t>元，每股授予价格</w:t>
      </w:r>
      <w:r>
        <w:rPr>
          <w:rFonts w:ascii="Times New Roman" w:hAnsi="Times New Roman" w:cs="Times New Roman" w:eastAsia="Times New Roman" w:hint="default"/>
        </w:rPr>
        <w:t>23.29</w:t>
      </w:r>
      <w:r>
        <w:rPr/>
        <w:t>元，其中计入</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”1,041,500.00</w:t>
      </w:r>
      <w:r>
        <w:rPr/>
        <w:t>元，计入</w:t>
      </w:r>
      <w:r>
        <w:rPr>
          <w:rFonts w:ascii="Times New Roman" w:hAnsi="Times New Roman" w:cs="Times New Roman" w:eastAsia="Times New Roman" w:hint="default"/>
        </w:rPr>
        <w:t>“</w:t>
      </w:r>
      <w:r>
        <w:rPr/>
        <w:t>资本公积－股本溢价</w:t>
      </w:r>
      <w:r>
        <w:rPr>
          <w:rFonts w:ascii="Times New Roman" w:hAnsi="Times New Roman" w:cs="Times New Roman" w:eastAsia="Times New Roman" w:hint="default"/>
        </w:rPr>
        <w:t>”23,215,035.00</w:t>
      </w:r>
      <w:r>
        <w:rPr/>
        <w:t>元。公司授予限 制性股票后，注册资本变更为人民币</w:t>
      </w:r>
      <w:r>
        <w:rPr>
          <w:rFonts w:ascii="Times New Roman" w:hAnsi="Times New Roman" w:cs="Times New Roman" w:eastAsia="Times New Roman" w:hint="default"/>
        </w:rPr>
        <w:t>91,191,500.00</w:t>
      </w:r>
      <w:r>
        <w:rPr/>
        <w:t>元。此次增资业经大华会计师事务所（特殊普通合伙）于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 出具大华验字</w:t>
      </w:r>
      <w:r>
        <w:rPr>
          <w:rFonts w:ascii="Times New Roman" w:hAnsi="Times New Roman" w:cs="Times New Roman" w:eastAsia="Times New Roman" w:hint="default"/>
        </w:rPr>
        <w:t>[2017]00050</w:t>
      </w:r>
      <w:r>
        <w:rPr/>
        <w:t>号验资报告予以验证。</w:t>
      </w:r>
    </w:p>
    <w:p>
      <w:pPr>
        <w:spacing w:line="240" w:lineRule="auto" w:before="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199,150,728.42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23,215,035.00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222,365,763.42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105,786.00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2,235,689.61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2,341,475.61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199,256,514.42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25,450,724.61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224,707,239.03</w:t>
            </w:r>
          </w:p>
        </w:tc>
      </w:tr>
    </w:tbl>
    <w:p>
      <w:pPr>
        <w:pStyle w:val="BodyText"/>
        <w:spacing w:line="240" w:lineRule="auto" w:before="49"/>
        <w:ind w:right="153"/>
        <w:jc w:val="left"/>
      </w:pPr>
      <w:r>
        <w:rPr/>
        <w:t>其他说明，包括本期增减变动情况、变动原因说明：</w:t>
      </w:r>
    </w:p>
    <w:p>
      <w:pPr>
        <w:pStyle w:val="BodyText"/>
        <w:spacing w:line="240" w:lineRule="auto" w:before="115"/>
        <w:ind w:right="153"/>
        <w:jc w:val="left"/>
      </w:pPr>
      <w:r>
        <w:rPr>
          <w:rFonts w:ascii="Times New Roman" w:hAnsi="Times New Roman" w:cs="Times New Roman" w:eastAsia="Times New Roman" w:hint="default"/>
        </w:rPr>
        <w:t>1</w:t>
      </w:r>
      <w:r>
        <w:rPr/>
        <w:t>、本期增加系发行限制性股票时形成的股本溢价。</w:t>
      </w:r>
    </w:p>
    <w:p>
      <w:pPr>
        <w:pStyle w:val="BodyText"/>
        <w:spacing w:line="240" w:lineRule="auto" w:before="103"/>
        <w:ind w:right="153"/>
        <w:jc w:val="left"/>
      </w:pPr>
      <w:r>
        <w:rPr>
          <w:rFonts w:ascii="Times New Roman" w:hAnsi="Times New Roman" w:cs="Times New Roman" w:eastAsia="Times New Roman" w:hint="default"/>
        </w:rPr>
        <w:t>2</w:t>
      </w:r>
      <w:r>
        <w:rPr/>
        <w:t>、本年权益结算的涉及职工的股份支付，按照授予日权益工具的公允价值计入 </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 2,23</w:t>
      </w:r>
      <w:r>
        <w:rPr>
          <w:rFonts w:ascii="Times New Roman" w:hAnsi="Times New Roman" w:cs="Times New Roman" w:eastAsia="Times New Roman" w:hint="default"/>
        </w:rPr>
        <w:t>5,689.61</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限制性股份支付</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24,256,535.00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24,256,535.00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24,256,535.00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24,256,535.00</w:t>
            </w:r>
          </w:p>
        </w:tc>
      </w:tr>
    </w:tbl>
    <w:p>
      <w:pPr>
        <w:pStyle w:val="BodyText"/>
        <w:spacing w:line="240" w:lineRule="auto" w:before="49"/>
        <w:ind w:right="153"/>
        <w:jc w:val="left"/>
      </w:pPr>
      <w:r>
        <w:rPr/>
        <w:t>其他说明，包括本期增减变动情况、变动原因说明：</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本期新增库存股，系本期因实施附回购义务的限制性股票激励，按照发行限制性股票的数量以及相应的回购价格计算确定的</w:t>
      </w:r>
      <w:r>
        <w:rPr>
          <w:spacing w:val="-62"/>
        </w:rPr>
        <w:t> </w:t>
      </w:r>
      <w:r>
        <w:rPr>
          <w:spacing w:val="-62"/>
        </w:rPr>
      </w:r>
      <w:r>
        <w:rPr/>
        <w:t>金额。</w:t>
      </w:r>
    </w:p>
    <w:p>
      <w:pPr>
        <w:spacing w:line="240" w:lineRule="auto" w:before="9"/>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36,925,460.85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3,066,154.50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39,991,615.35</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36,925,460.85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3,066,154.50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39,991,615.35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236,700,724.74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205,429,819.73</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236,700,724.74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205,429,819.73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36,187,810.88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34,396,365.86</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3,066,154.50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3,125,460.85</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6,310,500.00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263,511,881.12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236,700,724.74</w:t>
            </w:r>
          </w:p>
        </w:tc>
      </w:tr>
    </w:tbl>
    <w:p>
      <w:pPr>
        <w:pStyle w:val="BodyText"/>
        <w:spacing w:line="240" w:lineRule="auto" w:before="49"/>
        <w:ind w:right="153"/>
        <w:jc w:val="left"/>
      </w:pPr>
      <w:r>
        <w:rPr/>
        <w:t>调整期初未分配利润明细：</w:t>
      </w:r>
    </w:p>
    <w:p>
      <w:pPr>
        <w:pStyle w:val="BodyText"/>
        <w:spacing w:line="240" w:lineRule="auto" w:before="115"/>
        <w:ind w:right="15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5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53"/>
        <w:jc w:val="left"/>
      </w:pPr>
      <w:r>
        <w:rPr>
          <w:rFonts w:ascii="Times New Roman" w:hAnsi="Times New Roman" w:cs="Times New Roman" w:eastAsia="Times New Roman" w:hint="default"/>
        </w:rPr>
        <w:t>3)</w:t>
      </w:r>
      <w:r>
        <w:rPr/>
        <w:t>、由于重大会计差错更正，影响期初未分配利润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5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5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605,507,617.99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462,830,807.90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430,523,043.41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312,245,376.61</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944,194.66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182,464.22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899,397.94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182,463.96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606,451,812.65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463,013,272.12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431,422,441.35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312,427,840.57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1,978,193.20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899,653.44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1,400,389.09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629,645.59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1,115,911.71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162,338.87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2,326.92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3,833.33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118,644.82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44,415.07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11,455.58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5,404.48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19,517.55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4,642,431.24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1,773,186.35</w:t>
            </w:r>
          </w:p>
        </w:tc>
      </w:tr>
    </w:tbl>
    <w:p>
      <w:pPr>
        <w:pStyle w:val="BodyText"/>
        <w:spacing w:line="360" w:lineRule="auto" w:before="49"/>
        <w:ind w:right="3474"/>
        <w:jc w:val="left"/>
      </w:pPr>
      <w:r>
        <w:rPr/>
        <w:t>其他说明： 税金及附加本期金额较上期增加较多，主要系本期收入增加相应附加税增加所致</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9,075,393.24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8,490,308.93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6,565,062.06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4,490,318.72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3,023,738.12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3,658,574.33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2,344,345.57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2,959,138.20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211,959.00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40,595.00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253,624.27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415,872.77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2,482,535.26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1,485,699.33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23,956,657.52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21,540,507.28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23,912,263.77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20,026,888.76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26,294,210.82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11,404,479.66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2,582,589.30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2,005,512.08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4,562,700.72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4,307,991.60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1,119,242.24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1,142,491.11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审计和技术咨询费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941,426.07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273,060.56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833,016.94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943,728.86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865,666.10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161,823.18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195,648.83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128,984.00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201,312.82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303,953.42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交通及通讯费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778,905.64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735,614.03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24,100.77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124,531.86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1,185,470.99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1,446,168.03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2,473,283.03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1,429,610.61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2,235,689.61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68,205,527.65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44,434,837.76</w:t>
            </w:r>
          </w:p>
        </w:tc>
      </w:tr>
    </w:tbl>
    <w:p>
      <w:pPr>
        <w:pStyle w:val="BodyText"/>
        <w:spacing w:line="357" w:lineRule="auto" w:before="49"/>
        <w:ind w:right="4374"/>
        <w:jc w:val="left"/>
      </w:pPr>
      <w:r>
        <w:rPr/>
        <w:t>其他说明： 管理费用本期较上期增加较多，主要系募投项目研发投入增加所致。</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58,603.43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2,250,296.95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2,303,268.36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868,906.60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20,189.51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-26,544.33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183,951.62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180,673.92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-2,040,523.80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1,535,519.94</w:t>
            </w:r>
          </w:p>
        </w:tc>
      </w:tr>
    </w:tbl>
    <w:p>
      <w:pPr>
        <w:pStyle w:val="BodyText"/>
        <w:spacing w:line="357" w:lineRule="auto" w:before="49"/>
        <w:ind w:right="4194"/>
        <w:jc w:val="left"/>
      </w:pPr>
      <w:r>
        <w:rPr/>
        <w:t>其他说明： 财务费用本期较上期减少较多，主要系借款本期已偿还，利息支出减少</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12,583,984.84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14,403,738.82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12,583,984.84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14,403,738.82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-30,165.61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-4,721.70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687"/>
        <w:gridCol w:w="3118"/>
        <w:gridCol w:w="2765"/>
      </w:tblGrid>
      <w:tr>
        <w:trPr>
          <w:trHeight w:val="40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中关村企业信用促进会中介服务资金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中关村科管委中小企业信用贷款贴息</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110,926.00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国家高技术研究发展计划（</w:t>
            </w:r>
            <w:r>
              <w:rPr>
                <w:rFonts w:ascii="Times New Roman" w:hAnsi="Times New Roman" w:cs="Times New Roman" w:eastAsia="Times New Roman" w:hint="default"/>
                <w:sz w:val="18"/>
                <w:szCs w:val="18"/>
              </w:rPr>
              <w:t>863 </w:t>
            </w:r>
            <w:r>
              <w:rPr>
                <w:rFonts w:ascii="宋体" w:hAnsi="宋体" w:cs="宋体" w:eastAsia="宋体" w:hint="default"/>
                <w:sz w:val="18"/>
                <w:szCs w:val="18"/>
              </w:rPr>
              <w:t>计划）基金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316,901.88</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上海市长宁区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年度信息消费专项资金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上海市长宁区支持经济发展专项资金项目拨款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增值税税费返还</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299,145.29</w:t>
            </w: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1,044,278.04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154,064.63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奖励收入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698,529.56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153,821.39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82,632.77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153,821.39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1,979,505.00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594"/>
        <w:jc w:val="left"/>
      </w:pPr>
      <w:r>
        <w:rPr/>
        <w:t>其他说明： 营业外收入较上期减少较多，主要系按新的政府补助准则将与公司生产经营相关的政府补助计入其他收益核算所致。</w:t>
      </w:r>
    </w:p>
    <w:p>
      <w:pPr>
        <w:spacing w:after="0" w:line="36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021"/>
        <w:gridCol w:w="2765"/>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2,124.43</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2,124.43</w:t>
            </w: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4,577,705.31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4,933,348.26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-2,213,176.33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-2,048,014.55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2,364,528.98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2,885,333.71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38,551,092.03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5,782,663.81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346,854.49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727,031.91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-141,085.18</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63,872.78</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-4,414,808.83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2,364,528.98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3"/>
        <w:jc w:val="left"/>
        <w:rPr>
          <w:b w:val="0"/>
          <w:bCs w:val="0"/>
        </w:rPr>
      </w:pPr>
      <w:r>
        <w:rPr>
          <w:rFonts w:ascii="Times New Roman" w:hAnsi="Times New Roman" w:cs="Times New Roman" w:eastAsia="Times New Roman" w:hint="default"/>
        </w:rPr>
        <w:t>74</w:t>
      </w:r>
      <w:r>
        <w:rPr/>
        <w:t>、其他综合收益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18"/>
        <w:ind w:right="93"/>
        <w:jc w:val="left"/>
        <w:rPr>
          <w:b w:val="0"/>
          <w:bCs w:val="0"/>
        </w:rPr>
      </w:pP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4,375,029.70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8,377,020.20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6,777,940.19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2,256,414.22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保函保证金退回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5,781,144.00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7,392,776.20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1,720,926.00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587,376.16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2,303,268.36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868,906.60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奖励款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698,529.56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1,190,055.39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197,503.41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22,148,363.64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20,378,526.35</w:t>
            </w:r>
          </w:p>
        </w:tc>
      </w:tr>
    </w:tbl>
    <w:p>
      <w:pPr>
        <w:pStyle w:val="BodyText"/>
        <w:spacing w:line="357" w:lineRule="auto" w:before="49"/>
        <w:ind w:right="94"/>
        <w:jc w:val="left"/>
      </w:pPr>
      <w:r>
        <w:rPr/>
        <w:t>收到的其他与经营活动有关的现金说明： 政府补助存在差异主要系由于本公司收到国家高技术研发计划基金及增值税税费返还，需根据资产受益期限分期摊销所致。</w:t>
      </w:r>
    </w:p>
    <w:p>
      <w:pPr>
        <w:spacing w:line="240" w:lineRule="auto" w:before="6"/>
        <w:rPr>
          <w:rFonts w:ascii="宋体" w:hAnsi="宋体" w:cs="宋体" w:eastAsia="宋体" w:hint="default"/>
          <w:sz w:val="20"/>
          <w:szCs w:val="20"/>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9,107,545.56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10,360,238.00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9,588,275.76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4,337,254.99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支付的保函及银行承兑汇票保证金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5,608,895.00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5,781,144.00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以现金支付的各项费用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50,544,767.62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47,968,712.75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74,849,483.94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68,447,349.74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10"/>
        <w:rPr>
          <w:rFonts w:ascii="宋体" w:hAnsi="宋体" w:cs="宋体" w:eastAsia="宋体" w:hint="default"/>
          <w:sz w:val="24"/>
          <w:szCs w:val="24"/>
        </w:rPr>
      </w:pPr>
      <w:r>
        <w:rPr/>
        <w:pict>
          <v:group style="position:absolute;margin-left:235.369995pt;margin-top:619.869995pt;width:160.25pt;height:39.75pt;mso-position-horizontal-relative:page;mso-position-vertical-relative:page;z-index:-832816" coordorigin="4707,12397" coordsize="3205,795">
            <v:group style="position:absolute;left:4707;top:12397;width:3205;height:392" coordorigin="4707,12397" coordsize="3205,392">
              <v:shape style="position:absolute;left:4707;top:12397;width:3205;height:392" coordorigin="4707,12397" coordsize="3205,392" path="m4707,12789l7912,12789,7912,12397,4707,12397,4707,12789xe" filled="true" fillcolor="#ffffff" stroked="false">
                <v:path arrowok="t"/>
                <v:fill type="solid"/>
              </v:shape>
            </v:group>
            <v:group style="position:absolute;left:4707;top:12798;width:3205;height:395" coordorigin="4707,12798" coordsize="3205,395">
              <v:shape style="position:absolute;left:4707;top:12798;width:3205;height:395" coordorigin="4707,12798" coordsize="3205,395" path="m4707,13192l7912,13192,7912,12798,4707,12798,4707,13192xe" filled="true" fillcolor="#ffffff" stroked="false">
                <v:path arrowok="t"/>
                <v:fill type="solid"/>
              </v:shape>
            </v:group>
            <w10:wrap type="none"/>
          </v:group>
        </w:pict>
      </w: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支付的上市发行费用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4,254,725.00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4,254,725.00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2"/>
        <w:gridCol w:w="1069"/>
        <w:gridCol w:w="2202"/>
        <w:gridCol w:w="2765"/>
      </w:tblGrid>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2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2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7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36,186,563.05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34,394,135.79</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27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12,583,984.84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14,403,738.82</w:t>
            </w:r>
          </w:p>
        </w:tc>
      </w:tr>
      <w:tr>
        <w:trPr>
          <w:trHeight w:val="716"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78"/>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 资产折旧</w:t>
            </w:r>
          </w:p>
        </w:tc>
        <w:tc>
          <w:tcPr>
            <w:tcW w:w="327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2,258,802.12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2,405,829.55</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27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1,119,242.24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1,142,491.11</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27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98,444.39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83,212.53</w:t>
            </w: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8"/>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 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7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30,165.61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4,721.70</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7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58,603.43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2,250,296.95</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7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-2,213,176.33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-2,048,014.55</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7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8,782,020.24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-12,661,049.57</w:t>
            </w:r>
          </w:p>
        </w:tc>
      </w:tr>
      <w:tr>
        <w:trPr>
          <w:trHeight w:val="401" w:hRule="exact"/>
        </w:trPr>
        <w:tc>
          <w:tcPr>
            <w:tcW w:w="352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69"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2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-128,110,642.37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-52,495,895.14</w:t>
            </w:r>
          </w:p>
        </w:tc>
      </w:tr>
      <w:tr>
        <w:trPr>
          <w:trHeight w:val="404" w:hRule="exact"/>
        </w:trPr>
        <w:tc>
          <w:tcPr>
            <w:tcW w:w="352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69"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2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66,795,588.51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2,518,373.43</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7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1,918,787.73</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27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-491,616.54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-10,002,159.38</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32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2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27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2" w:right="0"/>
              <w:jc w:val="left"/>
              <w:rPr>
                <w:rFonts w:ascii="Times New Roman" w:hAnsi="Times New Roman" w:cs="Times New Roman" w:eastAsia="Times New Roman" w:hint="default"/>
                <w:sz w:val="18"/>
                <w:szCs w:val="18"/>
              </w:rPr>
            </w:pPr>
            <w:r>
              <w:rPr>
                <w:rFonts w:ascii="Times New Roman"/>
                <w:sz w:val="18"/>
              </w:rPr>
              <w:t>286,177,805.71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309,703,944.48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45"/>
        <w:gridCol w:w="3260"/>
        <w:gridCol w:w="2765"/>
      </w:tblGrid>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309,703,944.48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183,402,457.17</w:t>
            </w:r>
          </w:p>
        </w:tc>
      </w:tr>
      <w:tr>
        <w:trPr>
          <w:trHeight w:val="404"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-23,526,138.77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126,301,487.31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286,177,805.71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309,703,944.48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171,050.57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170,953.78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282,489,894.45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298,234,699.14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3,516,860.69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11,298,291.56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286,177,805.71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309,703,944.48</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3,516,860.69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11,298,291.56</w:t>
            </w:r>
          </w:p>
        </w:tc>
      </w:tr>
    </w:tbl>
    <w:p>
      <w:pPr>
        <w:spacing w:line="240" w:lineRule="auto" w:before="3"/>
        <w:rPr>
          <w:rFonts w:ascii="宋体" w:hAnsi="宋体" w:cs="宋体" w:eastAsia="宋体" w:hint="default"/>
          <w:sz w:val="19"/>
          <w:szCs w:val="19"/>
        </w:rPr>
      </w:pPr>
    </w:p>
    <w:p>
      <w:pPr>
        <w:spacing w:line="547" w:lineRule="auto" w:before="36"/>
        <w:ind w:left="152" w:right="4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6"/>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9,058,873.00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银行承兑汇票保证金及保函保证金</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9,058,873.00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25,116.39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53" w:right="0"/>
              <w:jc w:val="left"/>
              <w:rPr>
                <w:rFonts w:ascii="Times New Roman" w:hAnsi="Times New Roman" w:cs="Times New Roman" w:eastAsia="Times New Roman" w:hint="default"/>
                <w:sz w:val="18"/>
                <w:szCs w:val="18"/>
              </w:rPr>
            </w:pPr>
            <w:r>
              <w:rPr>
                <w:rFonts w:ascii="Times New Roman"/>
                <w:sz w:val="18"/>
              </w:rPr>
              <w:t>164,115.52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59" w:lineRule="auto" w:before="36"/>
        <w:ind w:right="15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line="484" w:lineRule="auto" w:before="120"/>
        <w:ind w:left="152" w:right="7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15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是否存在通过多次交易分步实现企业合并且在报告期内取得控制权的交易</w:t>
      </w:r>
    </w:p>
    <w:p>
      <w:pPr>
        <w:pStyle w:val="BodyText"/>
        <w:spacing w:line="240" w:lineRule="auto" w:before="115"/>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3"/>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after="0" w:line="31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t>是否存在单次处置对子公司投资即丧失控制权的情形</w:t>
      </w:r>
    </w:p>
    <w:p>
      <w:pPr>
        <w:pStyle w:val="BodyText"/>
        <w:spacing w:line="340" w:lineRule="auto" w:before="115"/>
        <w:ind w:right="40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15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96"/>
        <w:gridCol w:w="708"/>
        <w:gridCol w:w="701"/>
        <w:gridCol w:w="2984"/>
        <w:gridCol w:w="711"/>
        <w:gridCol w:w="708"/>
        <w:gridCol w:w="1066"/>
      </w:tblGrid>
      <w:tr>
        <w:trPr>
          <w:trHeight w:val="403" w:hRule="exact"/>
        </w:trPr>
        <w:tc>
          <w:tcPr>
            <w:tcW w:w="2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9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70" w:right="77" w:hanging="92"/>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9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2984"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江苏新晨信息科技发展有限公司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
              <w:jc w:val="center"/>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武汉新晨信息产业有限公司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
              <w:jc w:val="center"/>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上海点逸网络科技有限公司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
              <w:jc w:val="center"/>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广州新晨信息系统工程有限公司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67" w:right="74" w:hanging="89"/>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上海新晨信息集成系统有限公司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67" w:right="74" w:hanging="89"/>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北京新晨科技发展有限公司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67" w:right="74" w:hanging="89"/>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江苏点逸网络科技有限公司</w:t>
            </w:r>
            <w:r>
              <w:rPr>
                <w:rFonts w:ascii="Times New Roman" w:hAnsi="Times New Roman" w:cs="Times New Roman" w:eastAsia="Times New Roman" w:hint="default"/>
                <w:sz w:val="18"/>
                <w:szCs w:val="18"/>
              </w:rPr>
              <w: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常州</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常州</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
              <w:jc w:val="center"/>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240" w:lineRule="auto" w:before="49"/>
        <w:ind w:right="153"/>
        <w:jc w:val="left"/>
      </w:pPr>
      <w:r>
        <w:rPr/>
        <w:t>其他说明：</w:t>
      </w:r>
    </w:p>
    <w:p>
      <w:pPr>
        <w:pStyle w:val="BodyText"/>
        <w:spacing w:line="240" w:lineRule="auto" w:before="115"/>
        <w:ind w:right="153"/>
        <w:jc w:val="left"/>
      </w:pPr>
      <w:r>
        <w:rPr>
          <w:rFonts w:ascii="Times New Roman" w:hAnsi="Times New Roman" w:cs="Times New Roman" w:eastAsia="Times New Roman" w:hint="default"/>
        </w:rPr>
        <w:t>*1 </w:t>
      </w:r>
      <w:r>
        <w:rPr/>
        <w:t>江苏点逸网络科技公司系上海点逸之控股子公司。</w:t>
      </w:r>
    </w:p>
    <w:p>
      <w:pPr>
        <w:spacing w:line="240" w:lineRule="auto" w:before="4"/>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53"/>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3" w:firstLine="360"/>
        <w:jc w:val="left"/>
      </w:pPr>
      <w:r>
        <w:rPr>
          <w:spacing w:val="-2"/>
        </w:rPr>
        <w:t>本公司的经营活动会面临各种金融风险：信用风险、流动风险和市场风险（主要为外汇风险和利率风险）。本公司整体</w:t>
      </w:r>
      <w:r>
        <w:rPr/>
        <w:t> 的风险管理计划针对金融市场的不可预见性，力求减少对本公司财务业绩的潜在不利影响。</w:t>
      </w:r>
    </w:p>
    <w:p>
      <w:pPr>
        <w:pStyle w:val="BodyText"/>
        <w:spacing w:line="316" w:lineRule="auto" w:before="19"/>
        <w:ind w:left="513" w:right="0"/>
        <w:jc w:val="left"/>
      </w:pPr>
      <w:r>
        <w:rPr/>
        <w:t>（一）信用风险 </w:t>
      </w:r>
      <w:r>
        <w:rPr>
          <w:spacing w:val="-2"/>
        </w:rPr>
        <w:t>本公司的信用风险主要来自货币资金、应收票据、应收账款和其他应收款等。管理层已制定适当的信用政策，并且不断</w:t>
      </w:r>
    </w:p>
    <w:p>
      <w:pPr>
        <w:pStyle w:val="BodyText"/>
        <w:spacing w:line="316" w:lineRule="auto" w:before="19"/>
        <w:ind w:left="513" w:right="0" w:hanging="361"/>
        <w:jc w:val="left"/>
      </w:pPr>
      <w:r>
        <w:rPr/>
        <w:t>监察这些信用风险的敞口。 </w:t>
      </w:r>
      <w:r>
        <w:rPr>
          <w:spacing w:val="-2"/>
        </w:rPr>
        <w:t>本公司持有的货币资金，主要存放于商业银行等金融机构，管理层认为这些商业银行具备较高信誉和资产状况，不存在</w:t>
      </w:r>
    </w:p>
    <w:p>
      <w:pPr>
        <w:pStyle w:val="BodyText"/>
        <w:spacing w:line="319" w:lineRule="auto" w:before="19"/>
        <w:ind w:left="513" w:right="0" w:hanging="361"/>
        <w:jc w:val="left"/>
      </w:pPr>
      <w:r>
        <w:rPr/>
        <w:t>重大的信用风险，不会产生因对方单位违约而导致的任何重大损失。 </w:t>
      </w:r>
      <w:r>
        <w:rPr>
          <w:spacing w:val="-2"/>
        </w:rPr>
        <w:t>对于应收账款、其他应收款和应收票据，本公司设定相关政策以控制信用风险敞口。本公司会定期对客户信用记录进行</w:t>
      </w:r>
    </w:p>
    <w:p>
      <w:pPr>
        <w:pStyle w:val="BodyText"/>
        <w:spacing w:line="309" w:lineRule="auto" w:before="17"/>
        <w:ind w:left="513" w:right="143" w:hanging="361"/>
        <w:jc w:val="left"/>
      </w:pPr>
      <w:r>
        <w:rPr/>
        <w:t>监控，对于信用记录不良的客户，本公司会采用书面催款等方式，以确保本公司的整体信用风险在可控的范围内。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日，本公司的前五大客户的应收款占本公司应收款项总额的</w:t>
      </w:r>
      <w:r>
        <w:rPr>
          <w:rFonts w:ascii="Times New Roman" w:hAnsi="Times New Roman" w:cs="Times New Roman" w:eastAsia="Times New Roman" w:hint="default"/>
        </w:rPr>
        <w:t>55.51%</w:t>
      </w:r>
      <w:r>
        <w:rPr/>
        <w:t>。 本公司所承受的最大信用风险敞口为资产负债表中每项金融资产</w:t>
      </w:r>
      <w:r>
        <w:rPr>
          <w:rFonts w:ascii="宋体" w:hAnsi="宋体" w:cs="宋体" w:eastAsia="宋体" w:hint="default"/>
        </w:rPr>
        <w:t>(</w:t>
      </w:r>
      <w:r>
        <w:rPr/>
        <w:t>包括衍生金融工具</w:t>
      </w:r>
      <w:r>
        <w:rPr>
          <w:rFonts w:ascii="宋体" w:hAnsi="宋体" w:cs="宋体" w:eastAsia="宋体" w:hint="default"/>
        </w:rPr>
        <w:t>) </w:t>
      </w:r>
      <w:r>
        <w:rPr/>
        <w:t>的账面金额。本公司没有提供任</w:t>
      </w:r>
    </w:p>
    <w:p>
      <w:pPr>
        <w:pStyle w:val="BodyText"/>
        <w:spacing w:line="240" w:lineRule="auto" w:before="24"/>
        <w:ind w:right="153"/>
        <w:jc w:val="left"/>
      </w:pPr>
      <w:r>
        <w:rPr/>
        <w:t>何其他可能令本公司承受信用风险的担保，于资产负债表日承受的最大信用风险敞口已在附注十披露。</w:t>
      </w:r>
    </w:p>
    <w:p>
      <w:pPr>
        <w:pStyle w:val="BodyText"/>
        <w:spacing w:line="316" w:lineRule="auto" w:before="76"/>
        <w:ind w:left="513" w:right="0"/>
        <w:jc w:val="left"/>
      </w:pPr>
      <w:r>
        <w:rPr/>
        <w:t>（二）流动性风险 流动性风险是指本公司无法及时获得充足资金</w:t>
      </w:r>
      <w:r>
        <w:rPr>
          <w:rFonts w:ascii="宋体" w:hAnsi="宋体" w:cs="宋体" w:eastAsia="宋体" w:hint="default"/>
        </w:rPr>
        <w:t>,</w:t>
      </w:r>
      <w:r>
        <w:rPr/>
        <w:t>满足业务发展需要或偿付到期债务以及其他支付义务的风险。 </w:t>
      </w:r>
      <w:r>
        <w:rPr>
          <w:spacing w:val="-2"/>
        </w:rPr>
        <w:t>本公司财务部门持续监控公司短期和长期的资金需求，以确保维持充裕的现金储备；同时持续监控是否符合借款协议的</w:t>
      </w:r>
    </w:p>
    <w:p>
      <w:pPr>
        <w:spacing w:after="0" w:line="316"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left="513" w:right="1313" w:hanging="361"/>
        <w:jc w:val="left"/>
      </w:pPr>
      <w:r>
        <w:rPr/>
        <w:t>规定，从主要金融机构获得提供足够备用资金的承诺，以满足短期和长期的资金需求。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日止，本公司各项金融资产及金融负债以未折现的合同现金流量按到期日列示如下：</w:t>
      </w:r>
    </w:p>
    <w:p>
      <w:pPr>
        <w:spacing w:line="4320" w:lineRule="exact"/>
        <w:ind w:left="153"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6048375" cy="2743200"/>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9" cstate="print"/>
                    <a:stretch>
                      <a:fillRect/>
                    </a:stretch>
                  </pic:blipFill>
                  <pic:spPr>
                    <a:xfrm>
                      <a:off x="0" y="0"/>
                      <a:ext cx="6048375" cy="2743200"/>
                    </a:xfrm>
                    <a:prstGeom prst="rect">
                      <a:avLst/>
                    </a:prstGeom>
                  </pic:spPr>
                </pic:pic>
              </a:graphicData>
            </a:graphic>
          </wp:inline>
        </w:drawing>
      </w:r>
      <w:r>
        <w:rPr>
          <w:rFonts w:ascii="宋体" w:hAnsi="宋体" w:cs="宋体" w:eastAsia="宋体" w:hint="default"/>
          <w:position w:val="-85"/>
          <w:sz w:val="20"/>
          <w:szCs w:val="20"/>
        </w:rPr>
      </w:r>
    </w:p>
    <w:p>
      <w:pPr>
        <w:pStyle w:val="BodyText"/>
        <w:spacing w:line="240" w:lineRule="auto" w:before="45"/>
        <w:ind w:left="513" w:right="153"/>
        <w:jc w:val="left"/>
      </w:pPr>
      <w:r>
        <w:rPr/>
        <w:t>（三）市场风险</w:t>
      </w:r>
    </w:p>
    <w:p>
      <w:pPr>
        <w:pStyle w:val="BodyText"/>
        <w:spacing w:line="300" w:lineRule="auto" w:before="76"/>
        <w:ind w:left="513" w:right="0"/>
        <w:jc w:val="left"/>
      </w:pPr>
      <w:r>
        <w:rPr>
          <w:rFonts w:ascii="Times New Roman" w:hAnsi="Times New Roman" w:cs="Times New Roman" w:eastAsia="Times New Roman" w:hint="default"/>
        </w:rPr>
        <w:t>1</w:t>
      </w:r>
      <w:r>
        <w:rPr/>
        <w:t>．汇率风险 </w:t>
      </w:r>
      <w:r>
        <w:rPr>
          <w:spacing w:val="-2"/>
        </w:rPr>
        <w:t>本公司的主要经营位于中国境内，主要业务以人民币结算。但本公司已确认的外币资产和负债及未来的外币交易（外币</w:t>
      </w:r>
    </w:p>
    <w:p>
      <w:pPr>
        <w:pStyle w:val="BodyText"/>
        <w:spacing w:line="316" w:lineRule="auto" w:before="31"/>
        <w:ind w:right="153"/>
        <w:jc w:val="both"/>
      </w:pPr>
      <w:r>
        <w:rPr>
          <w:spacing w:val="-2"/>
        </w:rPr>
        <w:t>资产和负债及外币交易的计价货币主要为美元）依然存在汇率风险。本公司财务部门负责监控公司外币交易和外币资产及负</w:t>
      </w:r>
      <w:r>
        <w:rPr>
          <w:spacing w:val="-64"/>
        </w:rPr>
        <w:t> </w:t>
      </w:r>
      <w:r>
        <w:rPr>
          <w:spacing w:val="-64"/>
        </w:rPr>
      </w:r>
      <w:r>
        <w:rPr>
          <w:spacing w:val="-2"/>
        </w:rPr>
        <w:t>债的规模，以最大程度降低面临的汇率风险；为此，本公司可能会以签署远期外汇合约或货币互换合约方式来达到规避汇率</w:t>
      </w:r>
      <w:r>
        <w:rPr>
          <w:spacing w:val="-66"/>
        </w:rPr>
        <w:t> </w:t>
      </w:r>
      <w:r>
        <w:rPr>
          <w:spacing w:val="-66"/>
        </w:rPr>
      </w:r>
      <w:r>
        <w:rPr/>
        <w:t>风险的目的。</w:t>
      </w:r>
    </w:p>
    <w:p>
      <w:pPr>
        <w:pStyle w:val="BodyText"/>
        <w:spacing w:line="240" w:lineRule="auto" w:before="19"/>
        <w:ind w:left="513" w:right="153"/>
        <w:jc w:val="left"/>
      </w:pPr>
      <w:r>
        <w:rPr/>
        <w:t>（</w:t>
      </w:r>
      <w:r>
        <w:rPr>
          <w:rFonts w:ascii="Times New Roman" w:hAnsi="Times New Roman" w:cs="Times New Roman" w:eastAsia="Times New Roman" w:hint="default"/>
        </w:rPr>
        <w:t>1</w:t>
      </w:r>
      <w:r>
        <w:rPr/>
        <w:t>）本年度公司未签署远期外汇合约或货币互换合约。</w:t>
      </w:r>
    </w:p>
    <w:p>
      <w:pPr>
        <w:pStyle w:val="BodyText"/>
        <w:spacing w:line="240" w:lineRule="auto" w:before="63"/>
        <w:ind w:left="513" w:right="153"/>
        <w:jc w:val="left"/>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日止，本公司持有的外币金融资产和外币金融负债折算成人民币的金额列示如下：</w:t>
      </w:r>
    </w:p>
    <w:p>
      <w:pPr>
        <w:spacing w:line="240" w:lineRule="auto" w:before="4"/>
        <w:rPr>
          <w:rFonts w:ascii="宋体" w:hAnsi="宋体" w:cs="宋体" w:eastAsia="宋体" w:hint="default"/>
          <w:sz w:val="6"/>
          <w:szCs w:val="6"/>
        </w:rPr>
      </w:pPr>
    </w:p>
    <w:p>
      <w:pPr>
        <w:spacing w:line="3679" w:lineRule="exact"/>
        <w:ind w:left="153" w:right="0" w:firstLine="0"/>
        <w:rPr>
          <w:rFonts w:ascii="宋体" w:hAnsi="宋体" w:cs="宋体" w:eastAsia="宋体" w:hint="default"/>
          <w:sz w:val="20"/>
          <w:szCs w:val="20"/>
        </w:rPr>
      </w:pPr>
      <w:r>
        <w:rPr>
          <w:rFonts w:ascii="宋体" w:hAnsi="宋体" w:cs="宋体" w:eastAsia="宋体" w:hint="default"/>
          <w:position w:val="-73"/>
          <w:sz w:val="20"/>
          <w:szCs w:val="20"/>
        </w:rPr>
        <w:pict>
          <v:group style="width:429pt;height:183.95pt;mso-position-horizontal-relative:char;mso-position-vertical-relative:line" coordorigin="0,0" coordsize="8580,3679">
            <v:shape style="position:absolute;left:0;top:0;width:8580;height:1814" type="#_x0000_t75" stroked="false">
              <v:imagedata r:id="rId30" o:title=""/>
            </v:shape>
            <v:shape style="position:absolute;left:0;top:1879;width:8565;height:1800" type="#_x0000_t75" stroked="false">
              <v:imagedata r:id="rId31" o:title=""/>
            </v:shape>
          </v:group>
        </w:pict>
      </w:r>
      <w:r>
        <w:rPr>
          <w:rFonts w:ascii="宋体" w:hAnsi="宋体" w:cs="宋体" w:eastAsia="宋体" w:hint="default"/>
          <w:position w:val="-73"/>
          <w:sz w:val="20"/>
          <w:szCs w:val="20"/>
        </w:rPr>
      </w:r>
    </w:p>
    <w:p>
      <w:pPr>
        <w:pStyle w:val="BodyText"/>
        <w:spacing w:line="240" w:lineRule="auto" w:before="45"/>
        <w:ind w:left="513" w:right="153"/>
        <w:jc w:val="left"/>
      </w:pPr>
      <w:r>
        <w:rPr/>
        <w:t>（</w:t>
      </w:r>
      <w:r>
        <w:rPr>
          <w:rFonts w:ascii="Times New Roman" w:hAnsi="Times New Roman" w:cs="Times New Roman" w:eastAsia="Times New Roman" w:hint="default"/>
        </w:rPr>
        <w:t>3</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日，本公司无外币金融负债。</w:t>
      </w:r>
    </w:p>
    <w:p>
      <w:pPr>
        <w:pStyle w:val="BodyText"/>
        <w:spacing w:line="300" w:lineRule="auto" w:before="63"/>
        <w:ind w:left="513" w:right="140"/>
        <w:jc w:val="left"/>
      </w:pPr>
      <w:r>
        <w:rPr/>
        <w:t>（</w:t>
      </w:r>
      <w:r>
        <w:rPr>
          <w:rFonts w:ascii="Times New Roman" w:hAnsi="Times New Roman" w:cs="Times New Roman" w:eastAsia="Times New Roman" w:hint="default"/>
        </w:rPr>
        <w:t>4</w:t>
      </w:r>
      <w:r>
        <w:rPr/>
        <w:t>）敏感性分析： </w:t>
      </w: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日止，对于本公司美元金融资产，如果人民币对美元升值或贬值</w:t>
      </w:r>
      <w:r>
        <w:rPr>
          <w:rFonts w:ascii="Times New Roman" w:hAnsi="Times New Roman" w:cs="Times New Roman" w:eastAsia="Times New Roman" w:hint="default"/>
          <w:spacing w:val="-1"/>
        </w:rPr>
        <w:t>10%</w:t>
      </w:r>
      <w:r>
        <w:rPr>
          <w:spacing w:val="-1"/>
        </w:rPr>
        <w:t>，其他因素保持不变，则本公司</w:t>
      </w:r>
    </w:p>
    <w:p>
      <w:pPr>
        <w:pStyle w:val="BodyText"/>
        <w:spacing w:line="240" w:lineRule="auto" w:before="13"/>
        <w:ind w:right="153"/>
        <w:jc w:val="left"/>
      </w:pPr>
      <w:r>
        <w:rPr/>
        <w:t>将减少或增加净利润约</w:t>
      </w:r>
      <w:r>
        <w:rPr>
          <w:rFonts w:ascii="Times New Roman" w:hAnsi="Times New Roman" w:cs="Times New Roman" w:eastAsia="Times New Roman" w:hint="default"/>
        </w:rPr>
        <w:t>13,949.82</w:t>
      </w:r>
      <w:r>
        <w:rPr/>
        <w:t>元。</w:t>
      </w:r>
    </w:p>
    <w:p>
      <w:pPr>
        <w:pStyle w:val="BodyText"/>
        <w:spacing w:line="300" w:lineRule="auto" w:before="63"/>
        <w:ind w:left="513" w:right="0"/>
        <w:jc w:val="left"/>
      </w:pPr>
      <w:r>
        <w:rPr>
          <w:rFonts w:ascii="Times New Roman" w:hAnsi="Times New Roman" w:cs="Times New Roman" w:eastAsia="Times New Roman" w:hint="default"/>
        </w:rPr>
        <w:t>2</w:t>
      </w:r>
      <w:r>
        <w:rPr/>
        <w:t>．利率风险 </w:t>
      </w:r>
      <w:r>
        <w:rPr>
          <w:spacing w:val="-2"/>
        </w:rPr>
        <w:t>本公司的利率风险主要产生于银行借款等。浮动利率的金融负债使本公司面临现金流量利率风险，固定利率的金融负债</w:t>
      </w:r>
    </w:p>
    <w:p>
      <w:pPr>
        <w:pStyle w:val="BodyText"/>
        <w:spacing w:line="316" w:lineRule="auto" w:before="31"/>
        <w:ind w:left="513" w:right="0" w:hanging="361"/>
        <w:jc w:val="left"/>
      </w:pPr>
      <w:r>
        <w:rPr/>
        <w:t>使本公司面临公允价值利率风险。本公司根据当时的市场环境来决定固定利率及浮动利率合同的相对比例。 </w:t>
      </w:r>
      <w:r>
        <w:rPr>
          <w:spacing w:val="-2"/>
        </w:rPr>
        <w:t>本公司财务部门持续监控公司利率水平。利率上升会增加新增带息债务的成本以及本公司尚未付清的以浮动利率计息的</w:t>
      </w:r>
    </w:p>
    <w:p>
      <w:pPr>
        <w:spacing w:after="0" w:line="316"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带息债务的利息支出，并对本公司的财务业绩产生重大的不利影响，管理层会依据最新的市场状况及时做出调整，这些调整</w:t>
      </w:r>
      <w:r>
        <w:rPr>
          <w:spacing w:val="-63"/>
        </w:rPr>
        <w:t> </w:t>
      </w:r>
      <w:r>
        <w:rPr>
          <w:spacing w:val="-63"/>
        </w:rPr>
      </w:r>
      <w:r>
        <w:rPr/>
        <w:t>可能是进行利率互换的安排来降低利率风险。</w:t>
      </w:r>
    </w:p>
    <w:p>
      <w:pPr>
        <w:pStyle w:val="BodyText"/>
        <w:spacing w:line="240" w:lineRule="auto" w:before="17"/>
        <w:ind w:left="513" w:right="153"/>
        <w:jc w:val="left"/>
      </w:pPr>
      <w:r>
        <w:rPr/>
        <w:t>（</w:t>
      </w:r>
      <w:r>
        <w:rPr>
          <w:rFonts w:ascii="Times New Roman" w:hAnsi="Times New Roman" w:cs="Times New Roman" w:eastAsia="Times New Roman" w:hint="default"/>
        </w:rPr>
        <w:t>1</w:t>
      </w:r>
      <w:r>
        <w:rPr/>
        <w:t>）本年度公司无利率互换安排。</w:t>
      </w:r>
    </w:p>
    <w:p>
      <w:pPr>
        <w:pStyle w:val="BodyText"/>
        <w:spacing w:line="240" w:lineRule="auto" w:before="63"/>
        <w:ind w:left="513" w:right="153"/>
        <w:jc w:val="left"/>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日止，本公司无长期带息债务。</w:t>
      </w:r>
    </w:p>
    <w:p>
      <w:pPr>
        <w:pStyle w:val="BodyText"/>
        <w:spacing w:line="300" w:lineRule="auto" w:before="63"/>
        <w:ind w:left="513" w:right="2753"/>
        <w:jc w:val="left"/>
      </w:pPr>
      <w:r>
        <w:rPr/>
        <w:t>（</w:t>
      </w:r>
      <w:r>
        <w:rPr>
          <w:rFonts w:ascii="Times New Roman" w:hAnsi="Times New Roman" w:cs="Times New Roman" w:eastAsia="Times New Roman" w:hint="default"/>
        </w:rPr>
        <w:t>3</w:t>
      </w:r>
      <w:r>
        <w:rPr/>
        <w:t>）敏感性分析：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日止，本公司无浮动利率借款，利率变动对本公司净利润无影响。</w:t>
      </w:r>
    </w:p>
    <w:p>
      <w:pPr>
        <w:spacing w:line="240" w:lineRule="auto" w:before="3"/>
        <w:rPr>
          <w:rFonts w:ascii="宋体" w:hAnsi="宋体" w:cs="宋体" w:eastAsia="宋体" w:hint="default"/>
          <w:sz w:val="20"/>
          <w:szCs w:val="20"/>
        </w:rPr>
      </w:pPr>
    </w:p>
    <w:p>
      <w:pPr>
        <w:pStyle w:val="Heading2"/>
        <w:spacing w:line="240" w:lineRule="auto"/>
        <w:ind w:right="153"/>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61"/>
        <w:jc w:val="left"/>
      </w:pPr>
      <w:r>
        <w:rPr/>
        <w:t>不以公允价值计量的金融资产和负债主要包括：应收款项、短期借款、应付款项，</w:t>
      </w:r>
      <w:r>
        <w:rPr>
          <w:spacing w:val="-17"/>
        </w:rPr>
        <w:t> </w:t>
      </w:r>
      <w:r>
        <w:rPr/>
        <w:t>上述不以公允价值计量的金融资产和负</w:t>
      </w:r>
      <w:r>
        <w:rPr/>
        <w:t> 债的账面价值与公允价值相差很小。</w:t>
      </w:r>
    </w:p>
    <w:p>
      <w:pPr>
        <w:spacing w:line="240" w:lineRule="auto" w:before="10"/>
        <w:rPr>
          <w:rFonts w:ascii="宋体" w:hAnsi="宋体" w:cs="宋体" w:eastAsia="宋体" w:hint="default"/>
          <w:sz w:val="22"/>
          <w:szCs w:val="22"/>
        </w:rPr>
      </w:pPr>
    </w:p>
    <w:p>
      <w:pPr>
        <w:spacing w:line="487" w:lineRule="auto" w:before="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BodyText"/>
        <w:spacing w:line="357" w:lineRule="auto" w:before="105"/>
        <w:ind w:right="6174"/>
        <w:jc w:val="left"/>
      </w:pPr>
      <w:r>
        <w:rPr/>
        <w:t>本企业最终控制方是李福华、康路、张燕生。 其他说明：</w:t>
      </w:r>
    </w:p>
    <w:p>
      <w:pPr>
        <w:pStyle w:val="BodyText"/>
        <w:spacing w:line="309" w:lineRule="auto" w:before="29"/>
        <w:ind w:right="152"/>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日，李福华、康路、张燕生三人共同签署《共同控制及一致行动人协议》，约定在涉及公司经营管理等相关事 </w:t>
      </w:r>
      <w:r>
        <w:rPr>
          <w:spacing w:val="-2"/>
        </w:rPr>
        <w:t>项时，三人作为一致行动人共同行使股东的召集权、提案权、表决权等股东权利。同时，《公司章程（草案）》亦对上述三</w:t>
      </w:r>
      <w:r>
        <w:rPr>
          <w:spacing w:val="-67"/>
        </w:rPr>
        <w:t> </w:t>
      </w:r>
      <w:r>
        <w:rPr>
          <w:spacing w:val="-67"/>
        </w:rPr>
      </w:r>
      <w:r>
        <w:rPr/>
        <w:t>人行使股东表决权时的一致行动安排进行了约定。</w:t>
      </w:r>
    </w:p>
    <w:p>
      <w:pPr>
        <w:spacing w:line="240" w:lineRule="auto" w:before="3"/>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本企业子公司的情况详见附注九</w:t>
      </w:r>
      <w:r>
        <w:rPr>
          <w:rFonts w:ascii="Times New Roman" w:hAnsi="Times New Roman" w:cs="Times New Roman" w:eastAsia="Times New Roman" w:hint="default"/>
        </w:rPr>
        <w:t>-1</w:t>
      </w:r>
      <w:r>
        <w:rPr/>
        <w:t>。</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971"/>
        <w:gridCol w:w="5600"/>
      </w:tblGrid>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5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5"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北京迅通达科技发展有限公司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北京金世通投资有限公司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天津时代怡诺科技股份有限公司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实际控制人能够施加重大影响的企业</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北京怡诺创业投资中心（有限合伙）</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实际控制人能够施加重大影响的企业</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江苏宏微科技股份有限公司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实际控制人能够施加重大影响的企业</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昆腾微电子股份有限公司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实际控制人能够施加重大影响的企业</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天津市聚晶自动化新技术有限公司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以上股东关系密切的家庭成员控制的企业</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北京沃瑞视讯投资中心（有限合伙）</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北京水兵壹号科技有限公司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以上股东能够施加重大影响的企业</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北京灵境世界科技有限公司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以上股东控制的企业</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江苏新业科技投资发展有限公司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江苏新业置业发展有限公司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南京金源房地产开发有限公司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江苏新业文体实业有限公司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江苏金源新业物业服务有限公司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南京金源商业管理有限公司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南京新业亿阳商务信息咨询有限公司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南京新业丰泽物业服务有限公司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南京铁源房地产开发有限公司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以上股东及与其关系密切的家庭成员能够施加重大影响的企业</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南京金宏源房地产开发有限公司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以上股东及与其关系密切的家庭成员能够施加重大影响的企业</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南京金汇智物业服务有限公司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南京源聚汇物业管理有限公司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南京汇添富物业管理有限公司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南京东吴置业有限公司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银川富洪投资合伙企业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北京德莱赛塔机械设备有限公司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实际控制人关系密切的家庭成员控制的企业</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北京厚德阳光商贸有限公司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实际控制人关系密切的家庭成员能够施加重大影响的企业</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北京泛涵投资管理有限公司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董事关系密切的家庭成员能够施加重大影响的企业</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北京科力华源科技有限公司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监事关系密切的家庭成员控制的企业</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良生美嘉国际贸易（北京）有限公司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独立董事及与其关系密切的家庭成员共同控制的企业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3971"/>
        <w:gridCol w:w="5600"/>
      </w:tblGrid>
      <w:tr>
        <w:trPr>
          <w:trHeight w:val="334" w:hRule="exact"/>
        </w:trPr>
        <w:tc>
          <w:tcPr>
            <w:tcW w:w="3971" w:type="dxa"/>
            <w:tcBorders>
              <w:top w:val="single" w:sz="6" w:space="0" w:color="000000"/>
              <w:left w:val="nil" w:sz="6" w:space="0" w:color="auto"/>
              <w:bottom w:val="single" w:sz="4" w:space="0" w:color="000000"/>
              <w:right w:val="nil" w:sz="6" w:space="0" w:color="auto"/>
            </w:tcBorders>
          </w:tcPr>
          <w:p>
            <w:pPr/>
          </w:p>
        </w:tc>
        <w:tc>
          <w:tcPr>
            <w:tcW w:w="5600" w:type="dxa"/>
            <w:tcBorders>
              <w:top w:val="single" w:sz="6" w:space="0" w:color="000000"/>
              <w:left w:val="nil" w:sz="6" w:space="0" w:color="auto"/>
              <w:bottom w:val="single" w:sz="4" w:space="0" w:color="000000"/>
              <w:right w:val="nil" w:sz="6" w:space="0" w:color="auto"/>
            </w:tcBorders>
          </w:tcPr>
          <w:p>
            <w:pP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青岛良生丽芙国际贸易有限公司</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独立董事关系密切的家庭成员控制的企业</w:t>
            </w:r>
          </w:p>
        </w:tc>
      </w:tr>
    </w:tbl>
    <w:p>
      <w:pPr>
        <w:spacing w:line="240" w:lineRule="auto" w:before="3"/>
        <w:rPr>
          <w:rFonts w:ascii="宋体" w:hAnsi="宋体" w:cs="宋体" w:eastAsia="宋体" w:hint="default"/>
          <w:b/>
          <w:bCs/>
          <w:sz w:val="19"/>
          <w:szCs w:val="19"/>
        </w:rPr>
      </w:pPr>
    </w:p>
    <w:p>
      <w:pPr>
        <w:pStyle w:val="Heading3"/>
        <w:spacing w:line="240" w:lineRule="auto" w:before="36"/>
        <w:ind w:left="112" w:right="15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12" w:right="15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2" w:right="15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12" w:right="15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2" w:right="15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112" w:right="153"/>
        <w:jc w:val="left"/>
      </w:pPr>
      <w:r>
        <w:rPr/>
        <w:t>本公司作为被担保方</w:t>
      </w:r>
    </w:p>
    <w:p>
      <w:pPr>
        <w:pStyle w:val="BodyText"/>
        <w:spacing w:line="240" w:lineRule="auto" w:before="118"/>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12" w:right="153"/>
        <w:jc w:val="left"/>
      </w:pPr>
      <w:r>
        <w:rPr/>
        <w:t>关联担保情况说明</w:t>
      </w:r>
    </w:p>
    <w:p>
      <w:pPr>
        <w:pStyle w:val="BodyText"/>
        <w:spacing w:line="300" w:lineRule="auto" w:before="115"/>
        <w:ind w:left="112" w:right="183"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日，康路与世纪城支行签订最高额不可撤销担保书，为同日公司与世纪城支行签订的</w:t>
      </w:r>
      <w:r>
        <w:rPr>
          <w:rFonts w:ascii="Times New Roman" w:hAnsi="Times New Roman" w:cs="Times New Roman" w:eastAsia="Times New Roman" w:hint="default"/>
        </w:rPr>
        <w:t>“2016</w:t>
      </w:r>
      <w:r>
        <w:rPr/>
        <w:t>年招世授字</w:t>
      </w:r>
      <w:r>
        <w:rPr>
          <w:rFonts w:ascii="Times New Roman" w:hAnsi="Times New Roman" w:cs="Times New Roman" w:eastAsia="Times New Roman" w:hint="default"/>
        </w:rPr>
        <w:t>017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《授信协议》</w:t>
      </w:r>
      <w:r>
        <w:rPr>
          <w:rFonts w:ascii="Times New Roman" w:hAnsi="Times New Roman" w:cs="Times New Roman" w:eastAsia="Times New Roman" w:hint="default"/>
        </w:rPr>
        <w:t>”</w:t>
      </w:r>
      <w:r>
        <w:rPr/>
        <w:t>授信期间本公司所有债务承担连带保证责任，同时原</w:t>
      </w:r>
      <w:r>
        <w:rPr>
          <w:rFonts w:ascii="Times New Roman" w:hAnsi="Times New Roman" w:cs="Times New Roman" w:eastAsia="Times New Roman" w:hint="default"/>
        </w:rPr>
        <w:t>“2015</w:t>
      </w:r>
      <w:r>
        <w:rPr/>
        <w:t>年招世授字第</w:t>
      </w:r>
      <w:r>
        <w:rPr>
          <w:rFonts w:ascii="Times New Roman" w:hAnsi="Times New Roman" w:cs="Times New Roman" w:eastAsia="Times New Roman" w:hint="default"/>
        </w:rPr>
        <w:t>018</w:t>
      </w:r>
      <w:r>
        <w:rPr/>
        <w:t>号</w:t>
      </w:r>
      <w:r>
        <w:rPr>
          <w:rFonts w:ascii="Times New Roman" w:hAnsi="Times New Roman" w:cs="Times New Roman" w:eastAsia="Times New Roman" w:hint="default"/>
        </w:rPr>
        <w:t>”</w:t>
      </w:r>
      <w:r>
        <w:rPr/>
        <w:t>《授信协议》项下正在执 </w:t>
      </w:r>
      <w:r>
        <w:rPr>
          <w:spacing w:val="-2"/>
        </w:rPr>
        <w:t>行的公司流动资金借款和保函转移至</w:t>
      </w:r>
      <w:r>
        <w:rPr>
          <w:rFonts w:ascii="Times New Roman" w:hAnsi="Times New Roman" w:cs="Times New Roman" w:eastAsia="Times New Roman" w:hint="default"/>
          <w:spacing w:val="-2"/>
        </w:rPr>
        <w:t>“2016</w:t>
      </w:r>
      <w:r>
        <w:rPr>
          <w:spacing w:val="-2"/>
        </w:rPr>
        <w:t>年招世授字第</w:t>
      </w:r>
      <w:r>
        <w:rPr>
          <w:rFonts w:ascii="Times New Roman" w:hAnsi="Times New Roman" w:cs="Times New Roman" w:eastAsia="Times New Roman" w:hint="default"/>
          <w:spacing w:val="-2"/>
        </w:rPr>
        <w:t>017</w:t>
      </w:r>
      <w:r>
        <w:rPr>
          <w:spacing w:val="-2"/>
        </w:rPr>
        <w:t>号</w:t>
      </w:r>
      <w:r>
        <w:rPr>
          <w:rFonts w:ascii="Times New Roman" w:hAnsi="Times New Roman" w:cs="Times New Roman" w:eastAsia="Times New Roman" w:hint="default"/>
          <w:spacing w:val="-2"/>
        </w:rPr>
        <w:t>”</w:t>
      </w:r>
      <w:r>
        <w:rPr>
          <w:spacing w:val="-2"/>
        </w:rPr>
        <w:t>《授信协议》项下继续执行。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21</w:t>
      </w:r>
      <w:r>
        <w:rPr>
          <w:spacing w:val="-2"/>
        </w:rPr>
        <w:t>日，康路与世纪城</w:t>
      </w:r>
      <w:r>
        <w:rPr>
          <w:spacing w:val="-36"/>
        </w:rPr>
        <w:t> </w:t>
      </w:r>
      <w:r>
        <w:rPr>
          <w:spacing w:val="-36"/>
        </w:rPr>
      </w:r>
      <w:r>
        <w:rPr>
          <w:spacing w:val="-1"/>
        </w:rPr>
        <w:t>支行签订最高额不可撤销担保书，为同日公司与世纪城支行签订的</w:t>
      </w:r>
      <w:r>
        <w:rPr>
          <w:rFonts w:ascii="Times New Roman" w:hAnsi="Times New Roman" w:cs="Times New Roman" w:eastAsia="Times New Roman" w:hint="default"/>
          <w:spacing w:val="-1"/>
        </w:rPr>
        <w:t>“2017</w:t>
      </w:r>
      <w:r>
        <w:rPr>
          <w:spacing w:val="-1"/>
        </w:rPr>
        <w:t>年招世授字</w:t>
      </w:r>
      <w:r>
        <w:rPr>
          <w:rFonts w:ascii="Times New Roman" w:hAnsi="Times New Roman" w:cs="Times New Roman" w:eastAsia="Times New Roman" w:hint="default"/>
          <w:spacing w:val="-1"/>
        </w:rPr>
        <w:t>015</w:t>
      </w:r>
      <w:r>
        <w:rPr>
          <w:spacing w:val="-1"/>
        </w:rPr>
        <w:t>号</w:t>
      </w:r>
      <w:r>
        <w:rPr>
          <w:rFonts w:ascii="Times New Roman" w:hAnsi="Times New Roman" w:cs="Times New Roman" w:eastAsia="Times New Roman" w:hint="default"/>
          <w:spacing w:val="-1"/>
        </w:rPr>
        <w:t>”</w:t>
      </w:r>
      <w:r>
        <w:rPr>
          <w:spacing w:val="-1"/>
        </w:rPr>
        <w:t>《授信协议》</w:t>
      </w:r>
      <w:r>
        <w:rPr>
          <w:rFonts w:ascii="Times New Roman" w:hAnsi="Times New Roman" w:cs="Times New Roman" w:eastAsia="Times New Roman" w:hint="default"/>
          <w:spacing w:val="-1"/>
        </w:rPr>
        <w:t>”</w:t>
      </w:r>
      <w:r>
        <w:rPr>
          <w:spacing w:val="-1"/>
        </w:rPr>
        <w:t>授信期间本公司所</w:t>
      </w:r>
      <w:r>
        <w:rPr>
          <w:spacing w:val="-85"/>
        </w:rPr>
        <w:t> </w:t>
      </w:r>
      <w:r>
        <w:rPr/>
        <w:t>有债务承担连带保证责任，同时原</w:t>
      </w:r>
      <w:r>
        <w:rPr>
          <w:rFonts w:ascii="Times New Roman" w:hAnsi="Times New Roman" w:cs="Times New Roman" w:eastAsia="Times New Roman" w:hint="default"/>
        </w:rPr>
        <w:t>“2016</w:t>
      </w:r>
      <w:r>
        <w:rPr/>
        <w:t>年招世授字</w:t>
      </w:r>
      <w:r>
        <w:rPr>
          <w:rFonts w:ascii="Times New Roman" w:hAnsi="Times New Roman" w:cs="Times New Roman" w:eastAsia="Times New Roman" w:hint="default"/>
        </w:rPr>
        <w:t>017</w:t>
      </w:r>
      <w:r>
        <w:rPr/>
        <w:t>号</w:t>
      </w:r>
      <w:r>
        <w:rPr>
          <w:rFonts w:ascii="Times New Roman" w:hAnsi="Times New Roman" w:cs="Times New Roman" w:eastAsia="Times New Roman" w:hint="default"/>
        </w:rPr>
        <w:t>”</w:t>
      </w:r>
      <w:r>
        <w:rPr/>
        <w:t>《授信协议》</w:t>
      </w:r>
      <w:r>
        <w:rPr>
          <w:rFonts w:ascii="Times New Roman" w:hAnsi="Times New Roman" w:cs="Times New Roman" w:eastAsia="Times New Roman" w:hint="default"/>
        </w:rPr>
        <w:t>”</w:t>
      </w:r>
      <w:r>
        <w:rPr/>
        <w:t>项下正在执行的公司流动资金借款和保函转移至 </w:t>
      </w:r>
      <w:r>
        <w:rPr>
          <w:rFonts w:ascii="Times New Roman" w:hAnsi="Times New Roman" w:cs="Times New Roman" w:eastAsia="Times New Roman" w:hint="default"/>
        </w:rPr>
        <w:t>“2017</w:t>
      </w:r>
      <w:r>
        <w:rPr/>
        <w:t>年招世授字第</w:t>
      </w:r>
      <w:r>
        <w:rPr>
          <w:rFonts w:ascii="Times New Roman" w:hAnsi="Times New Roman" w:cs="Times New Roman" w:eastAsia="Times New Roman" w:hint="default"/>
        </w:rPr>
        <w:t>015</w:t>
      </w:r>
      <w:r>
        <w:rPr/>
        <w:t>号</w:t>
      </w:r>
      <w:r>
        <w:rPr>
          <w:rFonts w:ascii="Times New Roman" w:hAnsi="Times New Roman" w:cs="Times New Roman" w:eastAsia="Times New Roman" w:hint="default"/>
        </w:rPr>
        <w:t>”</w:t>
      </w:r>
      <w:r>
        <w:rPr/>
        <w:t>《授信协议》项下继续执行。截至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日，本公司在招商银行北京世纪城支行银行承兑 汇票和保函余额合计</w:t>
      </w:r>
      <w:r>
        <w:rPr>
          <w:rFonts w:ascii="Times New Roman" w:hAnsi="Times New Roman" w:cs="Times New Roman" w:eastAsia="Times New Roman" w:hint="default"/>
        </w:rPr>
        <w:t>17,935,890.00</w:t>
      </w:r>
      <w:r>
        <w:rPr/>
        <w:t>元。</w:t>
      </w:r>
    </w:p>
    <w:p>
      <w:pPr>
        <w:pStyle w:val="BodyText"/>
        <w:spacing w:line="300" w:lineRule="auto" w:before="13"/>
        <w:ind w:left="112" w:right="188" w:firstLine="36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15</w:t>
      </w:r>
      <w:r>
        <w:rPr>
          <w:spacing w:val="-1"/>
        </w:rPr>
        <w:t>日，康路与浦发银行北京分行签订最高额保证合同，为本公司编号为</w:t>
      </w:r>
      <w:r>
        <w:rPr>
          <w:rFonts w:ascii="Times New Roman" w:hAnsi="Times New Roman" w:cs="Times New Roman" w:eastAsia="Times New Roman" w:hint="default"/>
          <w:spacing w:val="-1"/>
        </w:rPr>
        <w:t>BC2016071500001661</w:t>
      </w:r>
      <w:r>
        <w:rPr>
          <w:spacing w:val="-1"/>
        </w:rPr>
        <w:t>号《融资额度协</w:t>
      </w:r>
      <w:r>
        <w:rPr/>
        <w:t> </w:t>
      </w:r>
      <w:r>
        <w:rPr>
          <w:spacing w:val="-1"/>
        </w:rPr>
        <w:t>议》下发生的所有债务承担连带保证责任，融资额度为</w:t>
      </w:r>
      <w:r>
        <w:rPr>
          <w:rFonts w:ascii="Times New Roman" w:hAnsi="Times New Roman" w:cs="Times New Roman" w:eastAsia="Times New Roman" w:hint="default"/>
          <w:spacing w:val="-1"/>
        </w:rPr>
        <w:t>5,000</w:t>
      </w:r>
      <w:r>
        <w:rPr>
          <w:spacing w:val="-1"/>
        </w:rPr>
        <w:t>万元，同时原</w:t>
      </w:r>
      <w:r>
        <w:rPr>
          <w:rFonts w:ascii="Times New Roman" w:hAnsi="Times New Roman" w:cs="Times New Roman" w:eastAsia="Times New Roman" w:hint="default"/>
          <w:spacing w:val="-1"/>
        </w:rPr>
        <w:t>BC2015052100001511</w:t>
      </w:r>
      <w:r>
        <w:rPr>
          <w:spacing w:val="-1"/>
        </w:rPr>
        <w:t>号《融资额度协议》项下正</w:t>
      </w:r>
      <w:r>
        <w:rPr>
          <w:spacing w:val="-43"/>
        </w:rPr>
        <w:t> </w:t>
      </w:r>
      <w:r>
        <w:rPr>
          <w:spacing w:val="-43"/>
        </w:rPr>
      </w:r>
      <w:r>
        <w:rPr>
          <w:spacing w:val="-1"/>
        </w:rPr>
        <w:t>在执行的公司流动资金借款和保函转移至</w:t>
      </w:r>
      <w:r>
        <w:rPr>
          <w:rFonts w:ascii="Times New Roman" w:hAnsi="Times New Roman" w:cs="Times New Roman" w:eastAsia="Times New Roman" w:hint="default"/>
          <w:spacing w:val="-1"/>
        </w:rPr>
        <w:t>BC2016071500001661</w:t>
      </w:r>
      <w:r>
        <w:rPr>
          <w:spacing w:val="-1"/>
        </w:rPr>
        <w:t>号《融资额度协议》项下继续执行。</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17</w:t>
      </w:r>
      <w:r>
        <w:rPr>
          <w:spacing w:val="-1"/>
        </w:rPr>
        <w:t>日，康路与</w:t>
      </w:r>
      <w:r>
        <w:rPr/>
        <w:t> 浦发银行北京分行签订最高额保证合同，为本公司编号为</w:t>
      </w:r>
      <w:r>
        <w:rPr>
          <w:rFonts w:ascii="Times New Roman" w:hAnsi="Times New Roman" w:cs="Times New Roman" w:eastAsia="Times New Roman" w:hint="default"/>
        </w:rPr>
        <w:t>BC2017070600001126</w:t>
      </w:r>
      <w:r>
        <w:rPr/>
        <w:t>号《融资额度协议》下发生的所有债务承担 </w:t>
      </w:r>
      <w:r>
        <w:rPr>
          <w:spacing w:val="-1"/>
        </w:rPr>
        <w:t>连带保证责任，融资额度为</w:t>
      </w:r>
      <w:r>
        <w:rPr>
          <w:rFonts w:ascii="Times New Roman" w:hAnsi="Times New Roman" w:cs="Times New Roman" w:eastAsia="Times New Roman" w:hint="default"/>
          <w:spacing w:val="-1"/>
        </w:rPr>
        <w:t>5,000</w:t>
      </w:r>
      <w:r>
        <w:rPr>
          <w:spacing w:val="-1"/>
        </w:rPr>
        <w:t>万元，同时原</w:t>
      </w:r>
      <w:r>
        <w:rPr>
          <w:rFonts w:ascii="Times New Roman" w:hAnsi="Times New Roman" w:cs="Times New Roman" w:eastAsia="Times New Roman" w:hint="default"/>
          <w:spacing w:val="-1"/>
        </w:rPr>
        <w:t>BC2016071500001661</w:t>
      </w:r>
      <w:r>
        <w:rPr>
          <w:spacing w:val="-1"/>
        </w:rPr>
        <w:t>号《融资额度协议》项下正在执行的公司流动资金借款</w:t>
      </w:r>
      <w:r>
        <w:rPr>
          <w:spacing w:val="-43"/>
        </w:rPr>
        <w:t> </w:t>
      </w:r>
      <w:r>
        <w:rPr>
          <w:spacing w:val="-43"/>
        </w:rPr>
      </w:r>
      <w:r>
        <w:rPr/>
        <w:t>和保函转移至</w:t>
      </w:r>
      <w:r>
        <w:rPr>
          <w:rFonts w:ascii="Times New Roman" w:hAnsi="Times New Roman" w:cs="Times New Roman" w:eastAsia="Times New Roman" w:hint="default"/>
        </w:rPr>
        <w:t>BC2017070600001126</w:t>
      </w:r>
      <w:r>
        <w:rPr/>
        <w:t>号《融资额度协议》项下继续执行。截至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日，本公司在浦发银行北京分行 银行承兑汇票和保函余额合计</w:t>
      </w:r>
      <w:r>
        <w:rPr>
          <w:rFonts w:ascii="Times New Roman" w:hAnsi="Times New Roman" w:cs="Times New Roman" w:eastAsia="Times New Roman" w:hint="default"/>
        </w:rPr>
        <w:t>9,217,180.00</w:t>
      </w:r>
      <w:r>
        <w:rPr/>
        <w:t>元。</w:t>
      </w:r>
    </w:p>
    <w:p>
      <w:pPr>
        <w:pStyle w:val="BodyText"/>
        <w:spacing w:line="240" w:lineRule="auto" w:before="13"/>
        <w:ind w:left="473"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日，康路与中信银行股份有限公司总行营业部签订最高额保证合同，为本公司编号为（</w:t>
      </w:r>
      <w:r>
        <w:rPr>
          <w:rFonts w:ascii="Times New Roman" w:hAnsi="Times New Roman" w:cs="Times New Roman" w:eastAsia="Times New Roman" w:hint="default"/>
        </w:rPr>
        <w:t>2016</w:t>
      </w:r>
      <w:r>
        <w:rPr/>
        <w:t>）信银营授字第</w:t>
      </w:r>
    </w:p>
    <w:p>
      <w:pPr>
        <w:pStyle w:val="BodyText"/>
        <w:spacing w:line="300" w:lineRule="auto" w:before="63"/>
        <w:ind w:left="112" w:right="97"/>
        <w:jc w:val="left"/>
      </w:pPr>
      <w:r>
        <w:rPr>
          <w:rFonts w:ascii="Times New Roman" w:hAnsi="Times New Roman" w:cs="Times New Roman" w:eastAsia="Times New Roman" w:hint="default"/>
        </w:rPr>
        <w:t>000023</w:t>
      </w:r>
      <w:r>
        <w:rPr/>
        <w:t>号《综合授信合同》下发生的所有债务承担连带保证责任，融资额度为</w:t>
      </w:r>
      <w:r>
        <w:rPr>
          <w:rFonts w:ascii="Times New Roman" w:hAnsi="Times New Roman" w:cs="Times New Roman" w:eastAsia="Times New Roman" w:hint="default"/>
        </w:rPr>
        <w:t>8,500</w:t>
      </w:r>
      <w:r>
        <w:rPr/>
        <w:t>万元；同时原编号为（</w:t>
      </w:r>
      <w:r>
        <w:rPr>
          <w:rFonts w:ascii="Times New Roman" w:hAnsi="Times New Roman" w:cs="Times New Roman" w:eastAsia="Times New Roman" w:hint="default"/>
        </w:rPr>
        <w:t>2015</w:t>
      </w:r>
      <w:r>
        <w:rPr/>
        <w:t>）信银授字 </w:t>
      </w:r>
      <w:r>
        <w:rPr>
          <w:spacing w:val="-2"/>
        </w:rPr>
        <w:t>第</w:t>
      </w:r>
      <w:r>
        <w:rPr>
          <w:rFonts w:ascii="Times New Roman" w:hAnsi="Times New Roman" w:cs="Times New Roman" w:eastAsia="Times New Roman" w:hint="default"/>
          <w:spacing w:val="-2"/>
        </w:rPr>
        <w:t>000114</w:t>
      </w:r>
      <w:r>
        <w:rPr>
          <w:spacing w:val="-2"/>
        </w:rPr>
        <w:t>号的《综合授信合同》项下正在执行的公司流动资金借款、银行承兑汇票和保函转移至编号为（</w:t>
      </w:r>
      <w:r>
        <w:rPr>
          <w:rFonts w:ascii="Times New Roman" w:hAnsi="Times New Roman" w:cs="Times New Roman" w:eastAsia="Times New Roman" w:hint="default"/>
          <w:spacing w:val="-2"/>
        </w:rPr>
        <w:t>2016</w:t>
      </w:r>
      <w:r>
        <w:rPr>
          <w:spacing w:val="-2"/>
        </w:rPr>
        <w:t>）信银营授字</w:t>
      </w:r>
      <w:r>
        <w:rPr>
          <w:spacing w:val="-61"/>
        </w:rPr>
        <w:t> </w:t>
      </w:r>
      <w:r>
        <w:rPr>
          <w:spacing w:val="-61"/>
        </w:rPr>
      </w:r>
      <w:r>
        <w:rPr>
          <w:spacing w:val="-3"/>
        </w:rPr>
        <w:t>第</w:t>
      </w:r>
      <w:r>
        <w:rPr>
          <w:rFonts w:ascii="Times New Roman" w:hAnsi="Times New Roman" w:cs="Times New Roman" w:eastAsia="Times New Roman" w:hint="default"/>
          <w:spacing w:val="-3"/>
        </w:rPr>
        <w:t>000023</w:t>
      </w:r>
      <w:r>
        <w:rPr>
          <w:spacing w:val="-3"/>
        </w:rPr>
        <w:t>号《综合授信合同》项下继续执行。</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w:t>
      </w:r>
      <w:r>
        <w:rPr>
          <w:spacing w:val="-3"/>
        </w:rPr>
        <w:t>日，康路与中信银行股份有限公司总行营业部签订最高额保证合同，</w:t>
      </w:r>
      <w:r>
        <w:rPr>
          <w:spacing w:val="-88"/>
        </w:rPr>
        <w:t> </w:t>
      </w:r>
      <w:r>
        <w:rPr>
          <w:spacing w:val="-88"/>
        </w:rPr>
      </w:r>
      <w:r>
        <w:rPr>
          <w:spacing w:val="-3"/>
        </w:rPr>
        <w:t>为本公司编号为（</w:t>
      </w:r>
      <w:r>
        <w:rPr>
          <w:rFonts w:ascii="Times New Roman" w:hAnsi="Times New Roman" w:cs="Times New Roman" w:eastAsia="Times New Roman" w:hint="default"/>
          <w:spacing w:val="-3"/>
        </w:rPr>
        <w:t>2017</w:t>
      </w:r>
      <w:r>
        <w:rPr>
          <w:spacing w:val="-3"/>
        </w:rPr>
        <w:t>）信银营最保字第</w:t>
      </w:r>
      <w:r>
        <w:rPr>
          <w:rFonts w:ascii="Times New Roman" w:hAnsi="Times New Roman" w:cs="Times New Roman" w:eastAsia="Times New Roman" w:hint="default"/>
          <w:spacing w:val="-3"/>
        </w:rPr>
        <w:t>000407</w:t>
      </w:r>
      <w:r>
        <w:rPr>
          <w:spacing w:val="-3"/>
        </w:rPr>
        <w:t>号《综合授信合同》下发生的所有债务承担连带保证责任，融资额度为</w:t>
      </w:r>
      <w:r>
        <w:rPr>
          <w:rFonts w:ascii="Times New Roman" w:hAnsi="Times New Roman" w:cs="Times New Roman" w:eastAsia="Times New Roman" w:hint="default"/>
          <w:spacing w:val="-3"/>
        </w:rPr>
        <w:t>8,000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2"/>
        </w:rPr>
        <w:t>万元；同时原编号为（</w:t>
      </w:r>
      <w:r>
        <w:rPr>
          <w:rFonts w:ascii="Times New Roman" w:hAnsi="Times New Roman" w:cs="Times New Roman" w:eastAsia="Times New Roman" w:hint="default"/>
          <w:spacing w:val="-2"/>
        </w:rPr>
        <w:t>2016</w:t>
      </w:r>
      <w:r>
        <w:rPr>
          <w:spacing w:val="-2"/>
        </w:rPr>
        <w:t>）信银营授字第</w:t>
      </w:r>
      <w:r>
        <w:rPr>
          <w:rFonts w:ascii="Times New Roman" w:hAnsi="Times New Roman" w:cs="Times New Roman" w:eastAsia="Times New Roman" w:hint="default"/>
          <w:spacing w:val="-2"/>
        </w:rPr>
        <w:t>000023</w:t>
      </w:r>
      <w:r>
        <w:rPr>
          <w:spacing w:val="-2"/>
        </w:rPr>
        <w:t>号的《综合授信合同》项下正在执行的公司流动资金借款、银行承兑汇票</w:t>
      </w:r>
      <w:r>
        <w:rPr>
          <w:spacing w:val="-63"/>
        </w:rPr>
        <w:t> </w:t>
      </w:r>
      <w:r>
        <w:rPr>
          <w:spacing w:val="-63"/>
        </w:rPr>
      </w:r>
      <w:r>
        <w:rPr>
          <w:spacing w:val="-2"/>
        </w:rPr>
        <w:t>和保函转移至编号为（</w:t>
      </w:r>
      <w:r>
        <w:rPr>
          <w:rFonts w:ascii="Times New Roman" w:hAnsi="Times New Roman" w:cs="Times New Roman" w:eastAsia="Times New Roman" w:hint="default"/>
          <w:spacing w:val="-2"/>
        </w:rPr>
        <w:t>2017</w:t>
      </w:r>
      <w:r>
        <w:rPr>
          <w:spacing w:val="-2"/>
        </w:rPr>
        <w:t>）信银营最保字第</w:t>
      </w:r>
      <w:r>
        <w:rPr>
          <w:rFonts w:ascii="Times New Roman" w:hAnsi="Times New Roman" w:cs="Times New Roman" w:eastAsia="Times New Roman" w:hint="default"/>
          <w:spacing w:val="-2"/>
        </w:rPr>
        <w:t>000407</w:t>
      </w:r>
      <w:r>
        <w:rPr>
          <w:spacing w:val="-2"/>
        </w:rPr>
        <w:t>号《综合授信合同》项下继续执行。截至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日止，该融资额</w:t>
      </w:r>
      <w:r>
        <w:rPr>
          <w:spacing w:val="-57"/>
        </w:rPr>
        <w:t> </w:t>
      </w:r>
      <w:r>
        <w:rPr>
          <w:spacing w:val="-57"/>
        </w:rPr>
      </w:r>
      <w:r>
        <w:rPr/>
        <w:t>度下公司流动资金借款、银行承兑汇票和保函余额为零。</w:t>
      </w:r>
    </w:p>
    <w:p>
      <w:pPr>
        <w:spacing w:line="240" w:lineRule="auto" w:before="10"/>
        <w:rPr>
          <w:rFonts w:ascii="宋体" w:hAnsi="宋体" w:cs="宋体" w:eastAsia="宋体" w:hint="default"/>
          <w:sz w:val="23"/>
          <w:szCs w:val="23"/>
        </w:rPr>
      </w:pPr>
    </w:p>
    <w:p>
      <w:pPr>
        <w:pStyle w:val="Heading3"/>
        <w:spacing w:line="240" w:lineRule="auto"/>
        <w:ind w:left="112" w:right="15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after="0" w:line="240" w:lineRule="auto"/>
        <w:jc w:val="left"/>
        <w:sectPr>
          <w:pgSz w:w="11910" w:h="16840"/>
          <w:pgMar w:header="745" w:footer="980" w:top="1060" w:bottom="1160" w:left="1020" w:right="94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20"/>
          <w:szCs w:val="20"/>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董监事和高管人员薪酬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2,074,513.00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2,289,698.00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p>
      <w:pPr>
        <w:spacing w:line="2055" w:lineRule="exact"/>
        <w:ind w:left="153" w:right="0" w:firstLine="0"/>
        <w:rPr>
          <w:rFonts w:ascii="宋体" w:hAnsi="宋体" w:cs="宋体" w:eastAsia="宋体" w:hint="default"/>
          <w:sz w:val="20"/>
          <w:szCs w:val="20"/>
        </w:rPr>
      </w:pPr>
      <w:r>
        <w:rPr>
          <w:rFonts w:ascii="宋体" w:hAnsi="宋体" w:cs="宋体" w:eastAsia="宋体" w:hint="default"/>
          <w:position w:val="-40"/>
          <w:sz w:val="20"/>
          <w:szCs w:val="20"/>
        </w:rPr>
        <w:drawing>
          <wp:inline distT="0" distB="0" distL="0" distR="0">
            <wp:extent cx="5489071" cy="1304925"/>
            <wp:effectExtent l="0" t="0" r="0" b="0"/>
            <wp:docPr id="19" name="image12.png" descr=""/>
            <wp:cNvGraphicFramePr>
              <a:graphicFrameLocks noChangeAspect="1"/>
            </wp:cNvGraphicFramePr>
            <a:graphic>
              <a:graphicData uri="http://schemas.openxmlformats.org/drawingml/2006/picture">
                <pic:pic>
                  <pic:nvPicPr>
                    <pic:cNvPr id="20" name="image12.png"/>
                    <pic:cNvPicPr/>
                  </pic:nvPicPr>
                  <pic:blipFill>
                    <a:blip r:embed="rId32" cstate="print"/>
                    <a:stretch>
                      <a:fillRect/>
                    </a:stretch>
                  </pic:blipFill>
                  <pic:spPr>
                    <a:xfrm>
                      <a:off x="0" y="0"/>
                      <a:ext cx="5489071" cy="1304925"/>
                    </a:xfrm>
                    <a:prstGeom prst="rect">
                      <a:avLst/>
                    </a:prstGeom>
                  </pic:spPr>
                </pic:pic>
              </a:graphicData>
            </a:graphic>
          </wp:inline>
        </w:drawing>
      </w:r>
      <w:r>
        <w:rPr>
          <w:rFonts w:ascii="宋体" w:hAnsi="宋体" w:cs="宋体" w:eastAsia="宋体" w:hint="default"/>
          <w:position w:val="-40"/>
          <w:sz w:val="20"/>
          <w:szCs w:val="20"/>
        </w:rPr>
      </w:r>
    </w:p>
    <w:p>
      <w:pPr>
        <w:spacing w:line="240" w:lineRule="auto" w:before="2"/>
        <w:rPr>
          <w:rFonts w:ascii="宋体" w:hAnsi="宋体" w:cs="宋体" w:eastAsia="宋体" w:hint="default"/>
          <w:b/>
          <w:bCs/>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77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1,041,500.00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1,041,500.00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536"/>
        <w:gridCol w:w="5034"/>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本公司采用布莱克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斯科尔期权定价模型（</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模型）确定</w:t>
            </w:r>
          </w:p>
        </w:tc>
      </w:tr>
      <w:tr>
        <w:trPr>
          <w:trHeight w:val="714"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4" w:right="138"/>
              <w:jc w:val="left"/>
              <w:rPr>
                <w:rFonts w:ascii="宋体" w:hAnsi="宋体" w:cs="宋体" w:eastAsia="宋体" w:hint="default"/>
                <w:sz w:val="18"/>
                <w:szCs w:val="18"/>
              </w:rPr>
            </w:pPr>
            <w:r>
              <w:rPr>
                <w:rFonts w:ascii="宋体" w:hAnsi="宋体" w:cs="宋体" w:eastAsia="宋体" w:hint="default"/>
                <w:sz w:val="18"/>
                <w:szCs w:val="18"/>
              </w:rPr>
              <w:t>本公司采用获授限制性股票额度基数与解锁安排中相应每期解 锁比例确定</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2,235,689.61</w:t>
            </w:r>
          </w:p>
        </w:tc>
      </w:tr>
      <w:tr>
        <w:trPr>
          <w:trHeight w:val="403"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2,235,689.61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2"/>
        <w:rPr>
          <w:rFonts w:ascii="宋体" w:hAnsi="宋体" w:cs="宋体" w:eastAsia="宋体" w:hint="default"/>
          <w:b/>
          <w:bCs/>
          <w:sz w:val="26"/>
          <w:szCs w:val="26"/>
        </w:rPr>
      </w:pPr>
    </w:p>
    <w:p>
      <w:pPr>
        <w:spacing w:line="547" w:lineRule="auto" w:before="0"/>
        <w:ind w:left="152" w:right="69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本期无股份支付的修改、终止情况</w:t>
      </w:r>
    </w:p>
    <w:p>
      <w:pPr>
        <w:spacing w:line="484" w:lineRule="auto" w:before="125"/>
        <w:ind w:left="152" w:right="73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7"/>
        <w:ind w:right="6534"/>
        <w:jc w:val="left"/>
      </w:pPr>
      <w:r>
        <w:rPr/>
        <w:t>资产负债表日存在的重要承诺 本公司不存在需要披露的重要承诺事项。</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48" w:firstLine="360"/>
        <w:jc w:val="both"/>
      </w:pPr>
      <w:r>
        <w:rPr>
          <w:spacing w:val="-1"/>
        </w:rPr>
        <w:t>截止到</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spacing w:val="8"/>
        </w:rPr>
        <w:t> </w:t>
      </w:r>
      <w:r>
        <w:rPr>
          <w:rFonts w:ascii="Times New Roman" w:hAnsi="Times New Roman" w:cs="Times New Roman" w:eastAsia="Times New Roman" w:hint="default"/>
          <w:spacing w:val="-2"/>
        </w:rPr>
        <w:t>31</w:t>
      </w:r>
      <w:r>
        <w:rPr>
          <w:spacing w:val="-2"/>
        </w:rPr>
        <w:t>日，本公司在</w:t>
      </w:r>
      <w:r>
        <w:rPr>
          <w:rFonts w:ascii="Times New Roman" w:hAnsi="Times New Roman" w:cs="Times New Roman" w:eastAsia="Times New Roman" w:hint="default"/>
          <w:spacing w:val="-2"/>
        </w:rPr>
        <w:t>2017</w:t>
      </w:r>
      <w:r>
        <w:rPr>
          <w:spacing w:val="-2"/>
        </w:rPr>
        <w:t>年招世授字第</w:t>
      </w:r>
      <w:r>
        <w:rPr>
          <w:rFonts w:ascii="Times New Roman" w:hAnsi="Times New Roman" w:cs="Times New Roman" w:eastAsia="Times New Roman" w:hint="default"/>
          <w:spacing w:val="-2"/>
        </w:rPr>
        <w:t>015</w:t>
      </w:r>
      <w:r>
        <w:rPr>
          <w:spacing w:val="-2"/>
        </w:rPr>
        <w:t>号《授信协议》《最高额不可撤销担保书》《银行承兑合作协</w:t>
      </w:r>
      <w:r>
        <w:rPr/>
        <w:t> 议》、浦发银行</w:t>
      </w:r>
      <w:r>
        <w:rPr>
          <w:rFonts w:ascii="Times New Roman" w:hAnsi="Times New Roman" w:cs="Times New Roman" w:eastAsia="Times New Roman" w:hint="default"/>
        </w:rPr>
        <w:t>BC2017070600001126</w:t>
      </w:r>
      <w:r>
        <w:rPr/>
        <w:t>号《融资额度协议》《最高额保证合同》《保证金质押合同》、中信银行（</w:t>
      </w:r>
      <w:r>
        <w:rPr>
          <w:rFonts w:ascii="Times New Roman" w:hAnsi="Times New Roman" w:cs="Times New Roman" w:eastAsia="Times New Roman" w:hint="default"/>
        </w:rPr>
        <w:t>2017</w:t>
      </w:r>
      <w:r>
        <w:rPr/>
        <w:t>）信</w:t>
      </w:r>
      <w:r>
        <w:rPr>
          <w:spacing w:val="-3"/>
        </w:rPr>
        <w:t> </w:t>
      </w:r>
      <w:r>
        <w:rPr>
          <w:spacing w:val="-2"/>
        </w:rPr>
        <w:t>银营最保字第</w:t>
      </w:r>
      <w:r>
        <w:rPr>
          <w:rFonts w:ascii="Times New Roman" w:hAnsi="Times New Roman" w:cs="Times New Roman" w:eastAsia="Times New Roman" w:hint="default"/>
          <w:spacing w:val="-2"/>
        </w:rPr>
        <w:t>000407</w:t>
      </w:r>
      <w:r>
        <w:rPr>
          <w:spacing w:val="-2"/>
        </w:rPr>
        <w:t>号《最高额保证合同》项下保函余额共计</w:t>
      </w:r>
      <w:r>
        <w:rPr>
          <w:rFonts w:ascii="Times New Roman" w:hAnsi="Times New Roman" w:cs="Times New Roman" w:eastAsia="Times New Roman" w:hint="default"/>
          <w:spacing w:val="-2"/>
        </w:rPr>
        <w:t>20,204,750.00</w:t>
      </w:r>
      <w:r>
        <w:rPr>
          <w:spacing w:val="-2"/>
        </w:rPr>
        <w:t>元，保函保证金余额共计</w:t>
      </w:r>
      <w:r>
        <w:rPr>
          <w:rFonts w:ascii="Times New Roman" w:hAnsi="Times New Roman" w:cs="Times New Roman" w:eastAsia="Times New Roman" w:hint="default"/>
          <w:spacing w:val="-2"/>
        </w:rPr>
        <w:t>5,938,895.00</w:t>
      </w:r>
      <w:r>
        <w:rPr>
          <w:spacing w:val="-2"/>
        </w:rPr>
        <w:t>元；银行承</w:t>
      </w:r>
      <w:r>
        <w:rPr>
          <w:spacing w:val="-40"/>
        </w:rPr>
        <w:t> </w:t>
      </w:r>
      <w:r>
        <w:rPr>
          <w:spacing w:val="-40"/>
        </w:rPr>
      </w:r>
      <w:r>
        <w:rPr/>
        <w:t>兑汇票票面余额</w:t>
      </w:r>
      <w:r>
        <w:rPr>
          <w:rFonts w:ascii="Times New Roman" w:hAnsi="Times New Roman" w:cs="Times New Roman" w:eastAsia="Times New Roman" w:hint="default"/>
        </w:rPr>
        <w:t>6,948,320.00</w:t>
      </w:r>
      <w:r>
        <w:rPr/>
        <w:t>元，银承保证金余额</w:t>
      </w:r>
      <w:r>
        <w:rPr>
          <w:rFonts w:ascii="Times New Roman" w:hAnsi="Times New Roman" w:cs="Times New Roman" w:eastAsia="Times New Roman" w:hint="default"/>
        </w:rPr>
        <w:t>2,410,760.00</w:t>
      </w:r>
      <w:r>
        <w:rPr/>
        <w:t>元。</w:t>
      </w:r>
    </w:p>
    <w:p>
      <w:pPr>
        <w:spacing w:line="240" w:lineRule="auto" w:before="4"/>
        <w:rPr>
          <w:rFonts w:ascii="宋体" w:hAnsi="宋体" w:cs="宋体" w:eastAsia="宋体" w:hint="default"/>
          <w:sz w:val="22"/>
          <w:szCs w:val="22"/>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公司不存在需要披露的重要或有事项。</w:t>
      </w:r>
    </w:p>
    <w:p>
      <w:pPr>
        <w:spacing w:line="240" w:lineRule="auto" w:before="0"/>
        <w:rPr>
          <w:rFonts w:ascii="宋体" w:hAnsi="宋体" w:cs="宋体" w:eastAsia="宋体" w:hint="default"/>
          <w:sz w:val="18"/>
          <w:szCs w:val="18"/>
        </w:rPr>
      </w:pPr>
    </w:p>
    <w:p>
      <w:pPr>
        <w:spacing w:line="484" w:lineRule="auto" w:before="123"/>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after="0" w:line="484"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9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7,295,320.00</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7,295,320.00</w:t>
            </w:r>
          </w:p>
        </w:tc>
      </w:tr>
    </w:tbl>
    <w:p>
      <w:pPr>
        <w:spacing w:line="240" w:lineRule="auto" w:before="3"/>
        <w:rPr>
          <w:rFonts w:ascii="宋体" w:hAnsi="宋体" w:cs="宋体" w:eastAsia="宋体" w:hint="default"/>
          <w:sz w:val="19"/>
          <w:szCs w:val="19"/>
        </w:rPr>
      </w:pPr>
    </w:p>
    <w:p>
      <w:pPr>
        <w:pStyle w:val="Heading3"/>
        <w:spacing w:line="240" w:lineRule="auto" w:before="36"/>
        <w:ind w:right="93"/>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93" w:firstLine="360"/>
        <w:jc w:val="left"/>
      </w:pPr>
      <w:r>
        <w:rPr/>
        <w:t>经本公司第九届第六次董事会审议通过，本公司拟以截止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91,191,500</w:t>
      </w:r>
      <w:r>
        <w:rPr/>
        <w:t>股为基数，向全体股东每 </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0.80</w:t>
      </w:r>
      <w:r>
        <w:rPr>
          <w:spacing w:val="-1"/>
        </w:rPr>
        <w:t>元（含税），同时以资本公积金向全体股东每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7</w:t>
      </w:r>
      <w:r>
        <w:rPr>
          <w:spacing w:val="-1"/>
        </w:rPr>
        <w:t>股，剩余未分配利润结转至下一年度。</w:t>
      </w:r>
      <w:r>
        <w:rPr>
          <w:spacing w:val="-72"/>
        </w:rPr>
        <w:t> </w:t>
      </w:r>
      <w:r>
        <w:rPr>
          <w:spacing w:val="-72"/>
        </w:rPr>
      </w:r>
      <w:r>
        <w:rPr/>
        <w:t>上述分配方案还需提交公司</w:t>
      </w:r>
      <w:r>
        <w:rPr>
          <w:rFonts w:ascii="Times New Roman" w:hAnsi="Times New Roman" w:cs="Times New Roman" w:eastAsia="Times New Roman" w:hint="default"/>
        </w:rPr>
        <w:t>2017</w:t>
      </w:r>
      <w:r>
        <w:rPr/>
        <w:t>年年度股东大会审议。</w:t>
      </w:r>
    </w:p>
    <w:p>
      <w:pPr>
        <w:pStyle w:val="BodyText"/>
        <w:spacing w:line="240" w:lineRule="auto" w:before="53"/>
        <w:ind w:left="513" w:right="93"/>
        <w:jc w:val="left"/>
      </w:pPr>
      <w:r>
        <w:rPr/>
        <w:t>除存在上述资产负债表日后事项外，截至财务报告日止，本公司无其他应披露未披露的重大资产负债表日后事项。</w:t>
      </w:r>
    </w:p>
    <w:p>
      <w:pPr>
        <w:spacing w:line="240" w:lineRule="auto" w:before="3"/>
        <w:rPr>
          <w:rFonts w:ascii="宋体" w:hAnsi="宋体" w:cs="宋体" w:eastAsia="宋体" w:hint="default"/>
          <w:sz w:val="25"/>
          <w:szCs w:val="25"/>
        </w:rPr>
      </w:pPr>
    </w:p>
    <w:p>
      <w:pPr>
        <w:pStyle w:val="Heading2"/>
        <w:spacing w:line="240" w:lineRule="auto"/>
        <w:ind w:right="93"/>
        <w:jc w:val="left"/>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本公司不存在不同经济特征的多个经营分部，也没有依据内部组织结构、管理要求、内部报告制度等确定经营分部，因此，</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本公司不存在需要披露的以经营分部为基础的报告分部信息。</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5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4"/>
        <w:ind w:right="15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355,399,</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848.44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50,262,1</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10.46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14.14%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305,137,7</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37.98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253,547</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,078.53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37,874,88</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4.61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14.94%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215,672,19</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3.92</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355,399,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848.44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50,262,1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10.46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14.14%</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305,137,7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37.98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253,547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,078.53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37,874,88</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4.61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14.94%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215,672,19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3.92</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4"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4"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255,081,715.32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12,754,085.77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40,417,915.89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4,041,791.59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18,706,719.31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5,612,015.79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21,207,965.58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10,603,982.79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13,676,489.09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10,941,191.27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6,309,043.25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6,309,043.25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355,399,848.44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50,262,110.46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组合中，采用余额百分比法计提坏账准备的应收账款：</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本期计提坏账准备金额</w:t>
      </w:r>
      <w:r>
        <w:rPr>
          <w:spacing w:val="-46"/>
        </w:rPr>
        <w:t> </w:t>
      </w:r>
      <w:r>
        <w:rPr>
          <w:rFonts w:ascii="Times New Roman" w:hAnsi="Times New Roman" w:cs="Times New Roman" w:eastAsia="Times New Roman" w:hint="default"/>
        </w:rPr>
        <w:t>12,387,225.85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spacing w:line="2565" w:lineRule="exact"/>
        <w:ind w:left="153"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5436655" cy="1628775"/>
            <wp:effectExtent l="0" t="0" r="0" b="0"/>
            <wp:docPr id="21" name="image13.png" descr=""/>
            <wp:cNvGraphicFramePr>
              <a:graphicFrameLocks noChangeAspect="1"/>
            </wp:cNvGraphicFramePr>
            <a:graphic>
              <a:graphicData uri="http://schemas.openxmlformats.org/drawingml/2006/picture">
                <pic:pic>
                  <pic:nvPicPr>
                    <pic:cNvPr id="22" name="image13.png"/>
                    <pic:cNvPicPr/>
                  </pic:nvPicPr>
                  <pic:blipFill>
                    <a:blip r:embed="rId33" cstate="print"/>
                    <a:stretch>
                      <a:fillRect/>
                    </a:stretch>
                  </pic:blipFill>
                  <pic:spPr>
                    <a:xfrm>
                      <a:off x="0" y="0"/>
                      <a:ext cx="5436655" cy="1628775"/>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9"/>
        <w:rPr>
          <w:rFonts w:ascii="宋体" w:hAnsi="宋体" w:cs="宋体" w:eastAsia="宋体" w:hint="default"/>
          <w:b/>
          <w:bCs/>
          <w:sz w:val="28"/>
          <w:szCs w:val="28"/>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1194"/>
        <w:jc w:val="left"/>
      </w:pPr>
      <w:r>
        <w:rPr/>
        <w:t>其他说明： 本报告期内应收账款中无应收持有本公司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）以上表决权股份的股东单位及应收其他关联单位款项。</w:t>
      </w:r>
    </w:p>
    <w:p>
      <w:pPr>
        <w:spacing w:line="240" w:lineRule="auto" w:before="7"/>
        <w:rPr>
          <w:rFonts w:ascii="宋体" w:hAnsi="宋体" w:cs="宋体" w:eastAsia="宋体" w:hint="default"/>
          <w:sz w:val="18"/>
          <w:szCs w:val="18"/>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7,254,89</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4.17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591,326.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8.15%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6,663,567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8,223,7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01.40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428,487.6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7,795,213.7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7,254,89</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4.17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591,326.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8.15%</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6,663,567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8,223,7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01.40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428,487.6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5.22%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7,795,213.7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期末单项金额重大并单项计提坏账准备的其他应收款：</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98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5,870,518.17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293,525.91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1,018,636.00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101,863.60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72,687.00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7,254,894.17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591,326.51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8.15%</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38"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t>本期计提坏账准备金额</w:t>
      </w:r>
      <w:r>
        <w:rPr>
          <w:spacing w:val="-46"/>
        </w:rPr>
        <w:t> </w:t>
      </w:r>
      <w:r>
        <w:rPr>
          <w:rFonts w:ascii="Times New Roman" w:hAnsi="Times New Roman" w:cs="Times New Roman" w:eastAsia="Times New Roman" w:hint="default"/>
        </w:rPr>
        <w:t>162,838.89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5,650,557.15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3,415,104.00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807,020.40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630,281.00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合并范围内往来款</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3,470,254.05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188,616.00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198,616.00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社保个人承担部分</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608,700.62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509,446.35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7,254,894.17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8,223,701.40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463,434.56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14,680.25</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293,605.00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1,594,039.56</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81,630.25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2634"/>
        <w:jc w:val="left"/>
      </w:pPr>
      <w:r>
        <w:rPr/>
        <w:t>其他说明： 本报告期内其他应收款中无应收持有本公司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）以上表决权股份的股东单位款项。</w:t>
      </w:r>
    </w:p>
    <w:p>
      <w:pPr>
        <w:spacing w:line="240" w:lineRule="auto" w:before="7"/>
        <w:rPr>
          <w:rFonts w:ascii="宋体" w:hAnsi="宋体" w:cs="宋体" w:eastAsia="宋体" w:hint="default"/>
          <w:sz w:val="18"/>
          <w:szCs w:val="18"/>
        </w:rPr>
      </w:pPr>
    </w:p>
    <w:p>
      <w:pPr>
        <w:pStyle w:val="Heading3"/>
        <w:spacing w:line="240" w:lineRule="auto"/>
        <w:ind w:right="15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63,818,349.80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63,818,349.80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55,067,362.56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55,067,362.56</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63,818,349.80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63,818,349.80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55,067,362.56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55,067,362.56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1418"/>
        <w:gridCol w:w="1277"/>
        <w:gridCol w:w="991"/>
        <w:gridCol w:w="1136"/>
        <w:gridCol w:w="850"/>
        <w:gridCol w:w="919"/>
      </w:tblGrid>
      <w:tr>
        <w:trPr>
          <w:trHeight w:val="71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 w:right="5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6" w:right="9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武汉新晨信息产业有限公司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3,012,073.75</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center"/>
              <w:rPr>
                <w:rFonts w:ascii="Times New Roman" w:hAnsi="Times New Roman" w:cs="Times New Roman" w:eastAsia="Times New Roman" w:hint="default"/>
                <w:sz w:val="18"/>
                <w:szCs w:val="18"/>
              </w:rPr>
            </w:pPr>
            <w:r>
              <w:rPr>
                <w:rFonts w:ascii="Times New Roman"/>
                <w:sz w:val="18"/>
              </w:rPr>
              <w:t>5,012,073.75</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广州新晨信息系统工程有限公司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24,147.50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center"/>
              <w:rPr>
                <w:rFonts w:ascii="Times New Roman" w:hAnsi="Times New Roman" w:cs="Times New Roman" w:eastAsia="Times New Roman" w:hint="default"/>
                <w:sz w:val="18"/>
                <w:szCs w:val="18"/>
              </w:rPr>
            </w:pPr>
            <w:r>
              <w:rPr>
                <w:rFonts w:ascii="Times New Roman"/>
                <w:sz w:val="18"/>
              </w:rPr>
              <w:t>2,024,147.50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江苏新晨信息科技发展有限公司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6,413,714.00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229,401.25</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center"/>
              <w:rPr>
                <w:rFonts w:ascii="Times New Roman" w:hAnsi="Times New Roman" w:cs="Times New Roman" w:eastAsia="Times New Roman" w:hint="default"/>
                <w:sz w:val="18"/>
                <w:szCs w:val="18"/>
              </w:rPr>
            </w:pPr>
            <w:r>
              <w:rPr>
                <w:rFonts w:ascii="Times New Roman"/>
                <w:sz w:val="18"/>
              </w:rPr>
              <w:t>6,643,115.25</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上海新晨信息集成系统有限公司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14,296,454.47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5,259,585.62</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19,556,040.09</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上海点逸网络科技有限公司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8,744,537.62</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center"/>
              <w:rPr>
                <w:rFonts w:ascii="Times New Roman" w:hAnsi="Times New Roman" w:cs="Times New Roman" w:eastAsia="Times New Roman" w:hint="default"/>
                <w:sz w:val="18"/>
                <w:szCs w:val="18"/>
              </w:rPr>
            </w:pPr>
            <w:r>
              <w:rPr>
                <w:rFonts w:ascii="Times New Roman"/>
                <w:sz w:val="18"/>
              </w:rPr>
              <w:t>8,744,537.62</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77"/>
        <w:gridCol w:w="1418"/>
        <w:gridCol w:w="1277"/>
        <w:gridCol w:w="991"/>
        <w:gridCol w:w="1136"/>
        <w:gridCol w:w="850"/>
        <w:gridCol w:w="919"/>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北京新晨科技发展有限公司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21,612,656.47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225,779.12</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21,838,435.59</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3" w:right="0"/>
              <w:jc w:val="lef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55,067,362.56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8,750,987.24</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2" w:right="0"/>
              <w:jc w:val="center"/>
              <w:rPr>
                <w:rFonts w:ascii="Times New Roman" w:hAnsi="Times New Roman" w:cs="Times New Roman" w:eastAsia="Times New Roman" w:hint="default"/>
                <w:sz w:val="18"/>
                <w:szCs w:val="18"/>
              </w:rPr>
            </w:pPr>
            <w:r>
              <w:rPr>
                <w:rFonts w:ascii="Times New Roman"/>
                <w:sz w:val="18"/>
              </w:rPr>
              <w:t>63,818,349.80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5"/>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491,289,259.92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382,584,258.87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324,165,119.10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232,008,983.07</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944,194.66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182,464.22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899,397.94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182,463.96</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492,233,454.58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382,766,723.09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325,064,517.04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232,191,447.03</w:t>
            </w:r>
          </w:p>
        </w:tc>
      </w:tr>
    </w:tbl>
    <w:p>
      <w:pPr>
        <w:pStyle w:val="BodyText"/>
        <w:spacing w:line="338" w:lineRule="auto" w:before="49"/>
        <w:ind w:right="94"/>
        <w:jc w:val="left"/>
      </w:pPr>
      <w:r>
        <w:rPr/>
        <w:t>其他说明： 本公司对在资产负债表日因未签订销售合同导致交易结果不能可靠估计的项目，如果已经发生的成本预计能够得到补偿的， </w:t>
      </w:r>
      <w:r>
        <w:rPr>
          <w:spacing w:val="-2"/>
        </w:rPr>
        <w:t>按照已经发生的成本金额确认收入，并按相同金额结转成本。目前尚未签订销售合同的业务均为</w:t>
      </w:r>
      <w:r>
        <w:rPr>
          <w:rFonts w:ascii="Times New Roman" w:hAnsi="Times New Roman" w:cs="Times New Roman" w:eastAsia="Times New Roman" w:hint="default"/>
          <w:spacing w:val="-2"/>
        </w:rPr>
        <w:t>2014</w:t>
      </w:r>
      <w:r>
        <w:rPr>
          <w:spacing w:val="-2"/>
        </w:rPr>
        <w:t>年及之后形成，根据公</w:t>
      </w:r>
    </w:p>
    <w:p>
      <w:pPr>
        <w:pStyle w:val="BodyText"/>
        <w:spacing w:line="230" w:lineRule="exact"/>
        <w:ind w:right="93"/>
        <w:jc w:val="left"/>
        <w:rPr>
          <w:rFonts w:ascii="Times New Roman" w:hAnsi="Times New Roman" w:cs="Times New Roman" w:eastAsia="Times New Roman" w:hint="default"/>
        </w:rPr>
      </w:pPr>
      <w:r>
        <w:rPr>
          <w:spacing w:val="-4"/>
        </w:rPr>
        <w:t>司会计政策及其成本的可收回性，截止</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日，该部分已累计按相同金额确认收入、成本</w:t>
      </w:r>
      <w:r>
        <w:rPr>
          <w:rFonts w:ascii="Times New Roman" w:hAnsi="Times New Roman" w:cs="Times New Roman" w:eastAsia="Times New Roman" w:hint="default"/>
          <w:spacing w:val="-4"/>
        </w:rPr>
        <w:t>43,809,164.21</w:t>
      </w:r>
      <w:r>
        <w:rPr>
          <w:spacing w:val="-4"/>
        </w:rPr>
        <w:t>元，其中</w:t>
      </w:r>
      <w:r>
        <w:rPr>
          <w:rFonts w:ascii="Times New Roman" w:hAnsi="Times New Roman" w:cs="Times New Roman" w:eastAsia="Times New Roman" w:hint="default"/>
          <w:spacing w:val="-4"/>
        </w:rPr>
        <w:t>2017</w:t>
      </w:r>
    </w:p>
    <w:p>
      <w:pPr>
        <w:pStyle w:val="BodyText"/>
        <w:spacing w:line="240" w:lineRule="auto" w:before="63"/>
        <w:ind w:right="93"/>
        <w:jc w:val="left"/>
      </w:pPr>
      <w:r>
        <w:rPr/>
        <w:t>年度</w:t>
      </w:r>
      <w:r>
        <w:rPr>
          <w:rFonts w:ascii="Times New Roman" w:hAnsi="Times New Roman" w:cs="Times New Roman" w:eastAsia="Times New Roman" w:hint="default"/>
        </w:rPr>
        <w:t>15,330,209.24</w:t>
      </w:r>
      <w:r>
        <w:rPr/>
        <w:t>元。</w:t>
      </w:r>
    </w:p>
    <w:p>
      <w:pPr>
        <w:spacing w:line="240" w:lineRule="auto" w:before="2"/>
        <w:rPr>
          <w:rFonts w:ascii="宋体" w:hAnsi="宋体" w:cs="宋体" w:eastAsia="宋体" w:hint="default"/>
          <w:sz w:val="26"/>
          <w:szCs w:val="26"/>
        </w:rPr>
      </w:pPr>
    </w:p>
    <w:p>
      <w:pPr>
        <w:pStyle w:val="Heading3"/>
        <w:spacing w:line="240" w:lineRule="auto"/>
        <w:ind w:right="9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93"/>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9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96"/>
        <w:jc w:val="right"/>
      </w:pPr>
      <w:r>
        <w:rPr/>
        <w:pict>
          <v:shape style="position:absolute;margin-left:57pt;margin-top:-43.128258pt;width:478.7pt;height:163.5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13"/>
                    <w:gridCol w:w="1779"/>
                    <w:gridCol w:w="4467"/>
                  </w:tblGrid>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-30,165.61</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非流动资产处置损益为固定资产处置损益</w:t>
                        </w:r>
                      </w:p>
                    </w:tc>
                  </w:tr>
                  <w:tr>
                    <w:trPr>
                      <w:trHeight w:val="317" w:hRule="exact"/>
                    </w:trPr>
                    <w:tc>
                      <w:tcPr>
                        <w:tcW w:w="33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95" w:right="0"/>
                          <w:jc w:val="left"/>
                          <w:rPr>
                            <w:rFonts w:ascii="Times New Roman" w:hAnsi="Times New Roman" w:cs="Times New Roman" w:eastAsia="Times New Roman" w:hint="default"/>
                            <w:sz w:val="18"/>
                            <w:szCs w:val="18"/>
                          </w:rPr>
                        </w:pPr>
                        <w:r>
                          <w:rPr>
                            <w:rFonts w:ascii="Times New Roman"/>
                            <w:sz w:val="18"/>
                          </w:rPr>
                          <w:t>2,037,827.88</w:t>
                        </w:r>
                      </w:p>
                    </w:tc>
                    <w:tc>
                      <w:tcPr>
                        <w:tcW w:w="4467" w:type="dxa"/>
                        <w:vMerge w:val="restart"/>
                        <w:tcBorders>
                          <w:top w:val="single" w:sz="4" w:space="0" w:color="000000"/>
                          <w:left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5"/>
                            <w:sz w:val="18"/>
                            <w:szCs w:val="18"/>
                          </w:rPr>
                          <w:t>国家高技术研究发展计划（</w:t>
                        </w:r>
                        <w:r>
                          <w:rPr>
                            <w:rFonts w:ascii="Times New Roman" w:hAnsi="Times New Roman" w:cs="Times New Roman" w:eastAsia="Times New Roman" w:hint="default"/>
                            <w:spacing w:val="-5"/>
                            <w:sz w:val="18"/>
                            <w:szCs w:val="18"/>
                          </w:rPr>
                          <w:t>863 </w:t>
                        </w:r>
                        <w:r>
                          <w:rPr>
                            <w:rFonts w:ascii="宋体" w:hAnsi="宋体" w:cs="宋体" w:eastAsia="宋体" w:hint="default"/>
                            <w:spacing w:val="-14"/>
                            <w:sz w:val="18"/>
                            <w:szCs w:val="18"/>
                          </w:rPr>
                          <w:t>计划）基金 </w:t>
                        </w:r>
                        <w:r>
                          <w:rPr>
                            <w:rFonts w:ascii="Times New Roman" w:hAnsi="Times New Roman" w:cs="Times New Roman" w:eastAsia="Times New Roman" w:hint="default"/>
                            <w:sz w:val="18"/>
                            <w:szCs w:val="18"/>
                          </w:rPr>
                          <w:t>316,901.88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元 中关村企业信用促进会中介服务支持资金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中关村科管委中小企业信用贷款贴息</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85"/>
                            <w:sz w:val="18"/>
                            <w:szCs w:val="18"/>
                          </w:rPr>
                          <w:t>；</w:t>
                        </w:r>
                        <w:r>
                          <w:rPr>
                            <w:rFonts w:ascii="宋体" w:hAnsi="宋体" w:cs="宋体" w:eastAsia="宋体" w:hint="default"/>
                            <w:sz w:val="18"/>
                            <w:szCs w:val="18"/>
                          </w:rPr>
                          <w:t>上海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市长宁区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年度信息消费专项资金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1,500,000.00 </w:t>
                        </w:r>
                        <w:r>
                          <w:rPr>
                            <w:rFonts w:ascii="宋体" w:hAnsi="宋体" w:cs="宋体" w:eastAsia="宋体" w:hint="default"/>
                            <w:sz w:val="18"/>
                            <w:szCs w:val="18"/>
                          </w:rPr>
                          <w:t>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上海市长宁区支持经济发展专项资金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16" w:hRule="exact"/>
                    </w:trPr>
                    <w:tc>
                      <w:tcPr>
                        <w:tcW w:w="3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779" w:type="dxa"/>
                        <w:vMerge/>
                        <w:tcBorders>
                          <w:left w:val="single" w:sz="9" w:space="0" w:color="D2D2D2"/>
                          <w:right w:val="single" w:sz="4" w:space="0" w:color="000000"/>
                        </w:tcBorders>
                      </w:tcPr>
                      <w:p>
                        <w:pPr/>
                      </w:p>
                    </w:tc>
                    <w:tc>
                      <w:tcPr>
                        <w:tcW w:w="4467" w:type="dxa"/>
                        <w:vMerge/>
                        <w:tcBorders>
                          <w:left w:val="single" w:sz="4" w:space="0" w:color="000000"/>
                          <w:right w:val="single" w:sz="4" w:space="0" w:color="000000"/>
                        </w:tcBorders>
                      </w:tcPr>
                      <w:p>
                        <w:pPr/>
                      </w:p>
                    </w:tc>
                  </w:tr>
                  <w:tr>
                    <w:trPr>
                      <w:trHeight w:val="317" w:hRule="exact"/>
                    </w:trPr>
                    <w:tc>
                      <w:tcPr>
                        <w:tcW w:w="33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9" w:type="dxa"/>
                        <w:vMerge/>
                        <w:tcBorders>
                          <w:left w:val="single" w:sz="9" w:space="0" w:color="D2D2D2"/>
                          <w:bottom w:val="single" w:sz="4" w:space="0" w:color="000000"/>
                          <w:right w:val="single" w:sz="4" w:space="0" w:color="000000"/>
                        </w:tcBorders>
                      </w:tcPr>
                      <w:p>
                        <w:pPr/>
                      </w:p>
                    </w:tc>
                    <w:tc>
                      <w:tcPr>
                        <w:tcW w:w="4467" w:type="dxa"/>
                        <w:vMerge/>
                        <w:tcBorders>
                          <w:left w:val="single" w:sz="4" w:space="0" w:color="000000"/>
                          <w:bottom w:val="single" w:sz="4" w:space="0" w:color="000000"/>
                          <w:right w:val="single" w:sz="4" w:space="0" w:color="000000"/>
                        </w:tcBorders>
                      </w:tcPr>
                      <w:p>
                        <w:pP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153,821.39</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个人所得税手续费返还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153,821.39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7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308,136.12</w:t>
                        </w:r>
                      </w:p>
                    </w:tc>
                    <w:tc>
                      <w:tcPr>
                        <w:tcW w:w="446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27"/>
        <w:gridCol w:w="1780"/>
        <w:gridCol w:w="445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1" w:right="0"/>
              <w:jc w:val="left"/>
              <w:rPr>
                <w:rFonts w:ascii="Times New Roman" w:hAnsi="Times New Roman" w:cs="Times New Roman" w:eastAsia="Times New Roman" w:hint="default"/>
                <w:sz w:val="18"/>
                <w:szCs w:val="18"/>
              </w:rPr>
            </w:pPr>
            <w:r>
              <w:rPr>
                <w:rFonts w:ascii="Times New Roman"/>
                <w:sz w:val="18"/>
              </w:rPr>
              <w:t>1,853,347.54</w:t>
            </w:r>
          </w:p>
        </w:tc>
        <w:tc>
          <w:tcPr>
            <w:tcW w:w="4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4"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0.40</w:t>
            </w:r>
          </w:p>
        </w:tc>
      </w:tr>
      <w:tr>
        <w:trPr>
          <w:trHeight w:val="716"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0.38</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59" w:lineRule="auto"/>
        <w:ind w:right="15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53"/>
        <w:jc w:val="left"/>
        <w:rPr>
          <w:b w:val="0"/>
          <w:bCs w:val="0"/>
        </w:rPr>
      </w:pPr>
      <w:bookmarkStart w:name="_TOC_250000" w:id="12"/>
      <w:r>
        <w:rPr/>
        <w:t>第十二节</w:t>
      </w:r>
      <w:r>
        <w:rPr>
          <w:spacing w:val="-6"/>
        </w:rPr>
        <w:t> </w:t>
      </w:r>
      <w:r>
        <w:rPr/>
        <w:t>备查文件目录</w:t>
      </w:r>
      <w:bookmarkEnd w:id="12"/>
      <w:r>
        <w:rPr>
          <w:b w:val="0"/>
          <w:bCs w:val="0"/>
        </w:rPr>
      </w:r>
    </w:p>
    <w:p>
      <w:pPr>
        <w:spacing w:line="240" w:lineRule="auto" w:before="6"/>
        <w:rPr>
          <w:rFonts w:ascii="宋体" w:hAnsi="宋体" w:cs="宋体" w:eastAsia="宋体" w:hint="default"/>
          <w:b/>
          <w:bCs/>
          <w:sz w:val="42"/>
          <w:szCs w:val="42"/>
        </w:rPr>
      </w:pPr>
    </w:p>
    <w:p>
      <w:pPr>
        <w:pStyle w:val="BodyText"/>
        <w:spacing w:line="439" w:lineRule="auto"/>
        <w:ind w:left="513" w:right="2141"/>
        <w:jc w:val="left"/>
      </w:pPr>
      <w:r>
        <w:rPr/>
        <w:t>一、</w:t>
      </w:r>
      <w:r>
        <w:rPr>
          <w:spacing w:val="-18"/>
        </w:rPr>
        <w:t> </w:t>
      </w:r>
      <w:r>
        <w:rPr/>
        <w:t>载有公司法定代表人、主管会计工作负责人、会计机构负责人签名并盖章的财务报表。</w:t>
      </w:r>
      <w:r>
        <w:rPr/>
        <w:t> 二、</w:t>
      </w:r>
      <w:r>
        <w:rPr>
          <w:spacing w:val="-18"/>
        </w:rPr>
        <w:t> </w:t>
      </w:r>
      <w:r>
        <w:rPr/>
        <w:t>载有会计师事务所盖章、注册会计师签名并盖章的审计报告原件。</w:t>
      </w:r>
    </w:p>
    <w:p>
      <w:pPr>
        <w:pStyle w:val="BodyText"/>
        <w:spacing w:line="427" w:lineRule="auto" w:before="47"/>
        <w:ind w:left="513" w:right="2321"/>
        <w:jc w:val="left"/>
      </w:pPr>
      <w:r>
        <w:rPr/>
        <w:t>三、</w:t>
      </w:r>
      <w:r>
        <w:rPr>
          <w:spacing w:val="-18"/>
        </w:rPr>
        <w:t> </w:t>
      </w:r>
      <w:r>
        <w:rPr/>
        <w:t>报告期内在中国证监会指定网站上公开披露过的所有公司文件的正本及公告的原稿。</w:t>
      </w:r>
      <w:r>
        <w:rPr/>
        <w:t> 四、</w:t>
      </w:r>
      <w:r>
        <w:rPr>
          <w:spacing w:val="-18"/>
        </w:rPr>
        <w:t> </w:t>
      </w:r>
      <w:r>
        <w:rPr/>
        <w:t>载有董事长签名的</w:t>
      </w:r>
      <w:r>
        <w:rPr>
          <w:rFonts w:ascii="Times New Roman" w:hAnsi="Times New Roman" w:cs="Times New Roman" w:eastAsia="Times New Roman" w:hint="default"/>
        </w:rPr>
        <w:t>2017</w:t>
      </w:r>
      <w:r>
        <w:rPr/>
        <w:t>年度报告原文件。 以上备查文件的备置地点：公司证券事务部。</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8338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833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336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099976pt;margin-top:781.933899pt;width:8.5pt;height:11pt;mso-position-horizontal-relative:page;mso-position-vertical-relative:page;z-index:-833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55.881592pt;width:155pt;height:11pt;mso-position-horizontal-relative:page;mso-position-vertical-relative:page;z-index:-833824" type="#_x0000_t202" filled="false" stroked="false">
          <v:textbox inset="0,0,0,0">
            <w:txbxContent>
              <w:p>
                <w:pPr>
                  <w:pStyle w:val="BodyText"/>
                  <w:spacing w:line="200" w:lineRule="exact"/>
                  <w:ind w:left="20" w:right="0"/>
                  <w:jc w:val="left"/>
                </w:pPr>
                <w:r>
                  <w:rPr/>
                  <w:t>项目界定为经常性损益的项目的情形。</w:t>
                </w:r>
              </w:p>
            </w:txbxContent>
          </v:textbox>
          <w10:wrap type="none"/>
        </v:shape>
      </w:pict>
    </w:r>
    <w:r>
      <w:rPr/>
      <w:pict>
        <v:shape style="position:absolute;margin-left:532.099976pt;margin-top:781.933899pt;width:8.5pt;height:11pt;mso-position-horizontal-relative:page;mso-position-vertical-relative:page;z-index:-8338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33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33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88</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337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92</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8337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33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336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109</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070007pt;margin-top:36.265610pt;width:177.6pt;height:11.5pt;mso-position-horizontal-relative:page;mso-position-vertical-relative:page;z-index:-833896" type="#_x0000_t202" filled="false" stroked="false">
          <v:textbox inset="0,0,0,0">
            <w:txbxContent>
              <w:p>
                <w:pPr>
                  <w:pStyle w:val="BodyText"/>
                  <w:spacing w:line="214" w:lineRule="exact"/>
                  <w:ind w:left="20" w:right="0"/>
                  <w:jc w:val="left"/>
                </w:pPr>
                <w:r>
                  <w:rPr/>
                  <w:t>新晨科技股份有限公司</w:t>
                </w:r>
                <w:r>
                  <w:rPr>
                    <w:spacing w:val="-46"/>
                  </w:rPr>
                  <w:t> </w:t>
                </w:r>
                <w:r>
                  <w:rPr>
                    <w:rFonts w:ascii="Times New Roman" w:hAnsi="Times New Roman" w:cs="Times New Roman" w:eastAsia="Times New Roman" w:hint="default"/>
                  </w:rPr>
                  <w:t>2017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4"/>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495"/>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brilliance.com.cn/" TargetMode="External"/><Relationship Id="rId10" Type="http://schemas.openxmlformats.org/officeDocument/2006/relationships/hyperlink" Target="mailto:brilliance@brilliance.com.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irm.cninfo.com.cn/" TargetMode="External"/><Relationship Id="rId15" Type="http://schemas.openxmlformats.org/officeDocument/2006/relationships/image" Target="media/image2.jpeg"/><Relationship Id="rId16" Type="http://schemas.openxmlformats.org/officeDocument/2006/relationships/footer" Target="footer5.xml"/><Relationship Id="rId17" Type="http://schemas.openxmlformats.org/officeDocument/2006/relationships/image" Target="media/image3.png"/><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image" Target="media/image4.png"/><Relationship Id="rId21" Type="http://schemas.openxmlformats.org/officeDocument/2006/relationships/footer" Target="footer8.xml"/><Relationship Id="rId22" Type="http://schemas.openxmlformats.org/officeDocument/2006/relationships/image" Target="media/image5.png"/><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footer" Target="footer11.xml"/><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新晨科技股份有限公司</dc:creator>
  <dc:title>新晨科技股份有限公司2017年年度报告全文</dc:title>
  <dcterms:created xsi:type="dcterms:W3CDTF">2020-05-03T01:00:22Z</dcterms:created>
  <dcterms:modified xsi:type="dcterms:W3CDTF">2020-05-03T01:00:22Z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Microsoft® Office Word 2007</vt:lpwstr>
  </property>
  <property fmtid="{D5CDD505-2E9C-101B-9397-08002B2CF9AE}" pid="4" name="LastSaved">
    <vt:filetime>2020-05-02T00:00:00Z</vt:filetime>
  </property>
</Properties>
</file>