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7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411147" cy="6191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1147" cy="619125"/>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494" w:right="1473" w:firstLine="0"/>
        <w:jc w:val="center"/>
        <w:rPr>
          <w:rFonts w:ascii="宋体" w:hAnsi="宋体" w:cs="宋体" w:eastAsia="宋体" w:hint="default"/>
          <w:sz w:val="36"/>
          <w:szCs w:val="36"/>
        </w:rPr>
      </w:pPr>
      <w:r>
        <w:rPr>
          <w:rFonts w:ascii="宋体" w:hAnsi="宋体" w:cs="宋体" w:eastAsia="宋体" w:hint="default"/>
          <w:b/>
          <w:bCs/>
          <w:sz w:val="36"/>
          <w:szCs w:val="36"/>
        </w:rPr>
        <w:t>新晨科技股份有限公司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4" w:right="14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pStyle w:val="Heading2"/>
        <w:spacing w:line="240" w:lineRule="auto"/>
        <w:ind w:left="494" w:right="1474"/>
        <w:jc w:val="center"/>
        <w:rPr>
          <w:rFonts w:ascii="Times New Roman" w:hAnsi="Times New Roman" w:cs="Times New Roman" w:eastAsia="Times New Roman" w:hint="default"/>
          <w:b w:val="0"/>
          <w:bCs w:val="0"/>
        </w:rPr>
      </w:pPr>
      <w:r>
        <w:rPr>
          <w:rFonts w:ascii="Times New Roman"/>
        </w:rPr>
        <w:t>2019-018</w:t>
      </w:r>
      <w:r>
        <w:rPr>
          <w:rFonts w:ascii="Times New Roman"/>
          <w:b w:val="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before="151"/>
        <w:ind w:left="494" w:right="147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公司负责人康路、主管会计工作负责人余克俭及会计机构负责人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朱惠文声明：保证年度报告中财务报告的真实、准确、完整。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本报告中所涉及的未来经营计划和未来目标等前瞻性陈述，不代表公司的</w:t>
      </w:r>
      <w:r>
        <w:rPr>
          <w:rFonts w:ascii="宋体" w:hAnsi="宋体" w:cs="宋体" w:eastAsia="宋体" w:hint="default"/>
          <w:spacing w:val="2"/>
          <w:sz w:val="28"/>
          <w:szCs w:val="28"/>
        </w:rPr>
      </w:r>
    </w:p>
    <w:p>
      <w:pPr>
        <w:spacing w:line="408" w:lineRule="auto" w:before="0"/>
        <w:ind w:left="152" w:right="1139" w:firstLine="0"/>
        <w:jc w:val="both"/>
        <w:rPr>
          <w:rFonts w:ascii="宋体" w:hAnsi="宋体" w:cs="宋体" w:eastAsia="宋体" w:hint="default"/>
          <w:sz w:val="28"/>
          <w:szCs w:val="28"/>
        </w:rPr>
      </w:pPr>
      <w:r>
        <w:rPr>
          <w:rFonts w:ascii="宋体" w:hAnsi="宋体" w:cs="宋体" w:eastAsia="宋体" w:hint="default"/>
          <w:b/>
          <w:bCs/>
          <w:spacing w:val="2"/>
          <w:sz w:val="28"/>
          <w:szCs w:val="28"/>
        </w:rPr>
        <w:t>盈利预测或对投资者的实质性承诺，敬请投资者注意投资风险。公司在发展过</w:t>
      </w:r>
      <w:r>
        <w:rPr>
          <w:rFonts w:ascii="宋体" w:hAnsi="宋体" w:cs="宋体" w:eastAsia="宋体" w:hint="default"/>
          <w:b/>
          <w:bCs/>
          <w:w w:val="99"/>
          <w:sz w:val="28"/>
          <w:szCs w:val="28"/>
        </w:rPr>
        <w:t> </w:t>
      </w:r>
      <w:r>
        <w:rPr>
          <w:rFonts w:ascii="宋体" w:hAnsi="宋体" w:cs="宋体" w:eastAsia="宋体" w:hint="default"/>
          <w:b/>
          <w:bCs/>
          <w:spacing w:val="2"/>
          <w:sz w:val="28"/>
          <w:szCs w:val="28"/>
        </w:rPr>
        <w:t>程中，存在对大客户的依赖风险、人力成本上升的风险等风险因素。具体内容</w:t>
      </w:r>
      <w:r>
        <w:rPr>
          <w:rFonts w:ascii="宋体" w:hAnsi="宋体" w:cs="宋体" w:eastAsia="宋体" w:hint="default"/>
          <w:b/>
          <w:bCs/>
          <w:w w:val="99"/>
          <w:sz w:val="28"/>
          <w:szCs w:val="28"/>
        </w:rPr>
        <w:t> </w:t>
      </w:r>
      <w:r>
        <w:rPr>
          <w:rFonts w:ascii="宋体" w:hAnsi="宋体" w:cs="宋体" w:eastAsia="宋体" w:hint="default"/>
          <w:b/>
          <w:bCs/>
          <w:sz w:val="28"/>
          <w:szCs w:val="28"/>
        </w:rPr>
        <w:t>详见</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6"/>
          <w:sz w:val="28"/>
          <w:szCs w:val="28"/>
        </w:rPr>
        <w:t> </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w:t>
      </w:r>
      <w:r>
        <w:rPr>
          <w:rFonts w:ascii="宋体" w:hAnsi="宋体" w:cs="宋体" w:eastAsia="宋体" w:hint="default"/>
          <w:sz w:val="28"/>
          <w:szCs w:val="28"/>
        </w:rPr>
      </w:r>
    </w:p>
    <w:p>
      <w:pPr>
        <w:spacing w:before="120"/>
        <w:ind w:left="71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2018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日的总</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55</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25</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2"/>
          <w:w w:val="100"/>
          <w:sz w:val="28"/>
          <w:szCs w:val="28"/>
        </w:rPr>
        <w:t>5</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，向全体股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股派发现金</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50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本公积金向全体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494" w:right="147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169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494" w:right="147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6"/>
          <w:szCs w:val="16"/>
        </w:rPr>
      </w:pPr>
    </w:p>
    <w:p>
      <w:pPr>
        <w:pStyle w:val="BodyText"/>
        <w:spacing w:line="240" w:lineRule="auto"/>
        <w:ind w:left="0" w:right="1141"/>
        <w:jc w:val="right"/>
      </w:pPr>
      <w:r>
        <w:rPr/>
        <w:pict>
          <v:shape style="position:absolute;margin-left:56.400002pt;margin-top:-203.958298pt;width:479.3pt;height:54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4"/>
                    <w:gridCol w:w="545"/>
                    <w:gridCol w:w="6462"/>
                  </w:tblGrid>
                  <w:tr>
                    <w:trPr>
                      <w:trHeight w:val="403" w:hRule="exact"/>
                    </w:trPr>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新晨科技、本公司、公司</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新晨科技股份有限公司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邮储银行</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中信银行</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光大银行</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IT</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交易银行</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交易银行是银行服务于企业日常交易活动的银行产品和服务</w:t>
                        </w:r>
                      </w:p>
                    </w:tc>
                  </w:tr>
                  <w:tr>
                    <w:trPr>
                      <w:trHeight w:val="317"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z w:val="18"/>
                            <w:szCs w:val="18"/>
                          </w:rPr>
                          <w:t>分布式计算技术的一种，通过网络将庞大的计算任务分拆成无数个较小的子程序 </w:t>
                        </w:r>
                        <w:r>
                          <w:rPr>
                            <w:rFonts w:ascii="宋体" w:hAnsi="宋体" w:cs="宋体" w:eastAsia="宋体" w:hint="default"/>
                            <w:spacing w:val="-3"/>
                            <w:sz w:val="18"/>
                            <w:szCs w:val="18"/>
                          </w:rPr>
                          <w:t>再交由多部服务器组成的庞大系统处理之后，将结果回传给用户，通过计算力的虚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拟整合实现强大效能的计算技术</w:t>
                        </w:r>
                      </w:p>
                    </w:tc>
                  </w:tr>
                  <w:tr>
                    <w:trPr>
                      <w:trHeight w:val="394" w:hRule="exact"/>
                    </w:trPr>
                    <w:tc>
                      <w:tcPr>
                        <w:tcW w:w="2564" w:type="dxa"/>
                        <w:vMerge/>
                        <w:tcBorders>
                          <w:left w:val="single" w:sz="4" w:space="0" w:color="000000"/>
                          <w:right w:val="single" w:sz="9" w:space="0" w:color="D2D2D2"/>
                        </w:tcBorders>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317" w:hRule="exact"/>
                    </w:trPr>
                    <w:tc>
                      <w:tcPr>
                        <w:tcW w:w="2564" w:type="dxa"/>
                        <w:vMerge/>
                        <w:tcBorders>
                          <w:left w:val="single" w:sz="4" w:space="0" w:color="000000"/>
                          <w:bottom w:val="single" w:sz="4" w:space="0" w:color="000000"/>
                          <w:right w:val="single" w:sz="9" w:space="0" w:color="D2D2D2"/>
                        </w:tcBorders>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分布式数据存储、点对点传输、共识机制、加密算法等计算机技术的新型应用模式</w:t>
                        </w: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9" w:lineRule="auto" w:before="49"/>
                          <w:ind w:left="28" w:right="20"/>
                          <w:jc w:val="left"/>
                          <w:rPr>
                            <w:rFonts w:ascii="宋体" w:hAnsi="宋体" w:cs="宋体" w:eastAsia="宋体" w:hint="default"/>
                            <w:sz w:val="18"/>
                            <w:szCs w:val="18"/>
                          </w:rPr>
                        </w:pPr>
                        <w:r>
                          <w:rPr>
                            <w:rFonts w:ascii="宋体" w:hAnsi="宋体" w:cs="宋体" w:eastAsia="宋体" w:hint="default"/>
                            <w:spacing w:val="-3"/>
                            <w:sz w:val="18"/>
                            <w:szCs w:val="18"/>
                          </w:rPr>
                          <w:t>网络与网络之间所串连成的庞大网络，这些网络以一组通用的协议相连，形成逻辑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上的单一巨大国际网络</w:t>
                        </w:r>
                      </w:p>
                    </w:tc>
                  </w:tr>
                  <w:tr>
                    <w:trPr>
                      <w:trHeight w:val="394" w:hRule="exact"/>
                    </w:trPr>
                    <w:tc>
                      <w:tcPr>
                        <w:tcW w:w="2564" w:type="dxa"/>
                        <w:vMerge/>
                        <w:tcBorders>
                          <w:left w:val="single" w:sz="4" w:space="0" w:color="000000"/>
                          <w:right w:val="single" w:sz="9" w:space="0" w:color="D2D2D2"/>
                        </w:tcBorders>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3"/>
                            <w:sz w:val="18"/>
                            <w:szCs w:val="18"/>
                          </w:rPr>
                          <w:t>当下几乎所有技术与计算机、互联网技术的结合，实现物体与物体之间：环境以及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状态信息实时的实时共享以及智能化的收集、传递、处理、执行</w:t>
                        </w:r>
                      </w:p>
                    </w:tc>
                  </w:tr>
                  <w:tr>
                    <w:trPr>
                      <w:trHeight w:val="391" w:hRule="exact"/>
                    </w:trPr>
                    <w:tc>
                      <w:tcPr>
                        <w:tcW w:w="2564" w:type="dxa"/>
                        <w:vMerge/>
                        <w:tcBorders>
                          <w:left w:val="single" w:sz="4" w:space="0" w:color="000000"/>
                          <w:right w:val="single" w:sz="9" w:space="0" w:color="D2D2D2"/>
                        </w:tcBorders>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3"/>
                            <w:sz w:val="18"/>
                            <w:szCs w:val="18"/>
                          </w:rPr>
                          <w:t>规模巨大、类型复杂的数据集，这些数据集的规模已超出普通数据库管理工具在可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容忍的运行时间内进行数据捕获、存储和处理的能力</w:t>
                        </w:r>
                      </w:p>
                    </w:tc>
                  </w:tr>
                  <w:tr>
                    <w:trPr>
                      <w:trHeight w:val="394" w:hRule="exact"/>
                    </w:trPr>
                    <w:tc>
                      <w:tcPr>
                        <w:tcW w:w="2564" w:type="dxa"/>
                        <w:vMerge/>
                        <w:tcBorders>
                          <w:left w:val="single" w:sz="4" w:space="0" w:color="000000"/>
                          <w:right w:val="single" w:sz="9" w:space="0" w:color="D2D2D2"/>
                        </w:tcBorders>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IBM</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International Business Machines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，国际商业机器公司的英文缩写</w:t>
                        </w:r>
                      </w:p>
                    </w:tc>
                  </w:tr>
                  <w:tr>
                    <w:trPr>
                      <w:trHeight w:val="403"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Oracle</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美国甲骨文股份有限公司</w:t>
                        </w:r>
                      </w:p>
                    </w:tc>
                  </w:tr>
                  <w:tr>
                    <w:trPr>
                      <w:trHeight w:val="401"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协议</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Soap </w:t>
                        </w:r>
                        <w:r>
                          <w:rPr>
                            <w:rFonts w:ascii="宋体" w:hAnsi="宋体" w:cs="宋体" w:eastAsia="宋体" w:hint="default"/>
                            <w:sz w:val="18"/>
                            <w:szCs w:val="18"/>
                          </w:rPr>
                          <w:t>是基于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XML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的简易协议，可使应用程序在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之上进行信息交换。</w:t>
                        </w: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Dubbox</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00" w:lineRule="auto" w:before="49"/>
                          <w:ind w:left="28"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Dubbox</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是一个分布式服务框架，致力于提供高性能和透明化的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RPC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远程服务调用 方案，以及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服务治理方案。</w:t>
                        </w:r>
                      </w:p>
                    </w:tc>
                  </w:tr>
                  <w:tr>
                    <w:trPr>
                      <w:trHeight w:val="394" w:hRule="exact"/>
                    </w:trPr>
                    <w:tc>
                      <w:tcPr>
                        <w:tcW w:w="2564" w:type="dxa"/>
                        <w:vMerge/>
                        <w:tcBorders>
                          <w:left w:val="single" w:sz="4" w:space="0" w:color="000000"/>
                          <w:right w:val="single" w:sz="9" w:space="0" w:color="D2D2D2"/>
                        </w:tcBorders>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r>
                    <w:trPr>
                      <w:trHeight w:val="473"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BaaS</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10" w:space="0" w:color="D2D2D2"/>
                          <w:right w:val="single" w:sz="4" w:space="0" w:color="000000"/>
                        </w:tcBorders>
                      </w:tcPr>
                      <w:p>
                        <w:pPr>
                          <w:pStyle w:val="TableParagraph"/>
                          <w:spacing w:line="312" w:lineRule="auto" w:before="49"/>
                          <w:ind w:left="28"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BaaS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Blockchain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as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Service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的缩写，中文译为</w:t>
                        </w:r>
                        <w:r>
                          <w:rPr>
                            <w:rFonts w:ascii="Times New Roman" w:hAnsi="Times New Roman" w:cs="Times New Roman" w:eastAsia="Times New Roman" w:hint="default"/>
                            <w:sz w:val="18"/>
                            <w:szCs w:val="18"/>
                          </w:rPr>
                          <w:t>“</w:t>
                        </w:r>
                        <w:r>
                          <w:rPr>
                            <w:rFonts w:ascii="宋体" w:hAnsi="宋体" w:cs="宋体" w:eastAsia="宋体" w:hint="default"/>
                            <w:sz w:val="18"/>
                            <w:szCs w:val="18"/>
                          </w:rPr>
                          <w:t>区块链即服务</w:t>
                        </w:r>
                        <w:r>
                          <w:rPr>
                            <w:rFonts w:ascii="Times New Roman" w:hAnsi="Times New Roman" w:cs="Times New Roman" w:eastAsia="Times New Roman" w:hint="default"/>
                            <w:sz w:val="18"/>
                            <w:szCs w:val="18"/>
                          </w:rPr>
                          <w:t>”</w:t>
                        </w:r>
                        <w:r>
                          <w:rPr>
                            <w:rFonts w:ascii="宋体" w:hAnsi="宋体" w:cs="宋体" w:eastAsia="宋体" w:hint="default"/>
                            <w:sz w:val="18"/>
                            <w:szCs w:val="18"/>
                          </w:rPr>
                          <w:t>。是指将区块链 </w:t>
                        </w:r>
                        <w:r>
                          <w:rPr>
                            <w:rFonts w:ascii="宋体" w:hAnsi="宋体" w:cs="宋体" w:eastAsia="宋体" w:hint="default"/>
                            <w:spacing w:val="-5"/>
                            <w:sz w:val="18"/>
                            <w:szCs w:val="18"/>
                          </w:rPr>
                          <w:t>框架嵌入云计算平台，利用云服务基础设施的部署和管理优势，为开发者提供便捷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高性能的区块链生态环境和生态配套服务，支持开发者的业务拓展及运营支持的区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块链开放平台。</w:t>
                        </w:r>
                      </w:p>
                    </w:tc>
                  </w:tr>
                  <w:tr>
                    <w:trPr>
                      <w:trHeight w:val="391" w:hRule="exact"/>
                    </w:trPr>
                    <w:tc>
                      <w:tcPr>
                        <w:tcW w:w="2564" w:type="dxa"/>
                        <w:vMerge/>
                        <w:tcBorders>
                          <w:left w:val="single" w:sz="4" w:space="0" w:color="000000"/>
                          <w:right w:val="single" w:sz="9" w:space="0" w:color="D2D2D2"/>
                        </w:tcBorders>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0" w:space="0" w:color="D2D2D2"/>
                          <w:right w:val="single" w:sz="4" w:space="0" w:color="000000"/>
                        </w:tcBorders>
                      </w:tcPr>
                      <w:p>
                        <w:pPr/>
                      </w:p>
                    </w:tc>
                  </w:tr>
                  <w:tr>
                    <w:trPr>
                      <w:trHeight w:val="473" w:hRule="exact"/>
                    </w:trPr>
                    <w:tc>
                      <w:tcPr>
                        <w:tcW w:w="2564" w:type="dxa"/>
                        <w:vMerge/>
                        <w:tcBorders>
                          <w:left w:val="single" w:sz="4" w:space="0" w:color="000000"/>
                          <w:bottom w:val="single" w:sz="4" w:space="0" w:color="000000"/>
                          <w:right w:val="single" w:sz="9" w:space="0" w:color="D2D2D2"/>
                        </w:tcBorders>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10"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44"/>
        <w:ind w:left="0" w:right="1139"/>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新晨科技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300542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新晨科技股份有限公司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新晨科技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Brilliance Technology Co.,</w:t>
            </w:r>
            <w:r>
              <w:rPr>
                <w:rFonts w:ascii="Times New Roman"/>
                <w:spacing w:val="-25"/>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康路</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号院金源时代商务中心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号院金源时代商务中心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http://www.brilliance.com.cn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brilliance@brilliance.com.cn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丁菲</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93"/>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号院金源时 代商务中心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号院金源时 代商务中心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010-88877301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010-88877301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010-88877301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010-88877301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brilliance@brilliance.com.cn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brilliance@brilliance.com.cn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雷波涛</w:t>
            </w:r>
            <w:r>
              <w:rPr>
                <w:rFonts w:ascii="宋体" w:hAnsi="宋体" w:cs="宋体" w:eastAsia="宋体" w:hint="default"/>
                <w:spacing w:val="1"/>
                <w:sz w:val="18"/>
                <w:szCs w:val="18"/>
              </w:rPr>
              <w:t> </w:t>
            </w:r>
            <w:r>
              <w:rPr>
                <w:rFonts w:ascii="宋体" w:hAnsi="宋体" w:cs="宋体" w:eastAsia="宋体" w:hint="default"/>
                <w:sz w:val="18"/>
                <w:szCs w:val="18"/>
              </w:rPr>
              <w:t>杨鸿博</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号国投金融大厦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乔岩</w:t>
            </w:r>
            <w:r>
              <w:rPr>
                <w:rFonts w:ascii="宋体" w:hAnsi="宋体" w:cs="宋体" w:eastAsia="宋体" w:hint="default"/>
                <w:spacing w:val="1"/>
                <w:sz w:val="18"/>
                <w:szCs w:val="18"/>
              </w:rPr>
              <w:t> </w:t>
            </w:r>
            <w:r>
              <w:rPr>
                <w:rFonts w:ascii="宋体" w:hAnsi="宋体" w:cs="宋体" w:eastAsia="宋体" w:hint="default"/>
                <w:sz w:val="18"/>
                <w:szCs w:val="18"/>
              </w:rPr>
              <w:t>程桃红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245"/>
        <w:gridCol w:w="1325"/>
        <w:gridCol w:w="1560"/>
        <w:gridCol w:w="1985"/>
        <w:gridCol w:w="1558"/>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06" w:right="0"/>
              <w:jc w:val="left"/>
              <w:rPr>
                <w:rFonts w:ascii="Times New Roman" w:hAnsi="Times New Roman" w:cs="Times New Roman" w:eastAsia="Times New Roman" w:hint="default"/>
                <w:sz w:val="18"/>
                <w:szCs w:val="18"/>
              </w:rPr>
            </w:pPr>
            <w:r>
              <w:rPr>
                <w:rFonts w:ascii="Times New Roman"/>
                <w:sz w:val="18"/>
              </w:rPr>
              <w:t>819,189,756.97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606,451,812.65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431,422,441.35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4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38,368,529.31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36,187,810.88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34,396,365.86</w:t>
            </w: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7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8" w:right="0"/>
              <w:jc w:val="left"/>
              <w:rPr>
                <w:rFonts w:ascii="Times New Roman" w:hAnsi="Times New Roman" w:cs="Times New Roman" w:eastAsia="Times New Roman" w:hint="default"/>
                <w:sz w:val="18"/>
                <w:szCs w:val="18"/>
              </w:rPr>
            </w:pPr>
            <w:r>
              <w:rPr>
                <w:rFonts w:ascii="Times New Roman"/>
                <w:sz w:val="18"/>
              </w:rPr>
              <w:t>28,253,923.42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34,334,463.34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32,866,272.94</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4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23,850,490.81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-491,616.54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4,951.44%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-10,002,159.38</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7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1,219,552,093.83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789,485,927.16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726,524,324.50</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4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637,469,308.95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595,145,700.50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7.11%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563,032,700.01</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91,613,991.68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122,174,791.73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140,561,215.94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464,839,757.62</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-7,382,013.72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15,115,999.28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2,891,363.54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27,743,180.21</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-7,479,907.84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15,058,698.96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2,286,849.00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18,388,283.30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-132,596,893.61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-6,977,941.79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-9,671,867.54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173,097,193.75</w:t>
            </w:r>
          </w:p>
        </w:tc>
      </w:tr>
    </w:tbl>
    <w:p>
      <w:pPr>
        <w:pStyle w:val="BodyText"/>
        <w:spacing w:line="240" w:lineRule="auto" w:before="49"/>
        <w:ind w:right="1133"/>
        <w:jc w:val="left"/>
      </w:pPr>
      <w:r>
        <w:rPr/>
        <w:t>上述财务指标或其加总数是否与公司已披露季度报告、半年度报告相关财务指标存在重大差异</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5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416"/>
        <w:gridCol w:w="1419"/>
        <w:gridCol w:w="1416"/>
        <w:gridCol w:w="2624"/>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5"/>
                <w:sz w:val="18"/>
                <w:szCs w:val="18"/>
              </w:rPr>
              <w:t>非流动资产处置损益（包括已计提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资产减值准备的冲销部分）</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10,236,004.20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-30,165.61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-4,721.70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非流动资产处置损益为固定资产 处置损益。</w:t>
            </w:r>
          </w:p>
        </w:tc>
      </w:tr>
      <w:tr>
        <w:trPr>
          <w:trHeight w:val="1721"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1,668,104.34</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2,037,827.88</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1,044,278.04</w:t>
            </w:r>
          </w:p>
        </w:tc>
        <w:tc>
          <w:tcPr>
            <w:tcW w:w="2624"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国家高技术研究发展计划（面向 灾备资源共享的容灾云关键技术 与系统）基金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988,104.34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元，中 关村科技园区海淀园区管理委员 会产规处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年重点培育企业专</w:t>
            </w:r>
          </w:p>
          <w:p>
            <w:pPr>
              <w:pStyle w:val="TableParagraph"/>
              <w:spacing w:line="309" w:lineRule="auto" w:before="1"/>
              <w:ind w:left="24" w:right="21"/>
              <w:jc w:val="left"/>
              <w:rPr>
                <w:rFonts w:ascii="宋体" w:hAnsi="宋体" w:cs="宋体" w:eastAsia="宋体" w:hint="default"/>
                <w:sz w:val="18"/>
                <w:szCs w:val="18"/>
              </w:rPr>
            </w:pPr>
            <w:r>
              <w:rPr>
                <w:rFonts w:ascii="宋体" w:hAnsi="宋体" w:cs="宋体" w:eastAsia="宋体" w:hint="default"/>
                <w:sz w:val="18"/>
                <w:szCs w:val="18"/>
              </w:rPr>
              <w:t>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元，上海市长 宁区财政局财政扶持资金 </w:t>
            </w:r>
            <w:r>
              <w:rPr>
                <w:rFonts w:ascii="Times New Roman" w:hAnsi="Times New Roman" w:cs="Times New Roman" w:eastAsia="Times New Roman" w:hint="default"/>
                <w:spacing w:val="-1"/>
                <w:sz w:val="18"/>
                <w:szCs w:val="18"/>
              </w:rPr>
              <w:t>290,000.00</w:t>
            </w:r>
            <w:r>
              <w:rPr>
                <w:rFonts w:ascii="Times New Roman" w:hAnsi="Times New Roman" w:cs="Times New Roman" w:eastAsia="Times New Roman" w:hint="default"/>
                <w:spacing w:val="17"/>
                <w:sz w:val="18"/>
                <w:szCs w:val="18"/>
              </w:rPr>
              <w:t> </w:t>
            </w:r>
            <w:r>
              <w:rPr>
                <w:rFonts w:ascii="宋体" w:hAnsi="宋体" w:cs="宋体" w:eastAsia="宋体" w:hint="default"/>
                <w:spacing w:val="-10"/>
                <w:sz w:val="18"/>
                <w:szCs w:val="18"/>
              </w:rPr>
              <w:t>元，中关村企业信用促</w:t>
            </w:r>
          </w:p>
          <w:p>
            <w:pPr>
              <w:pStyle w:val="TableParagraph"/>
              <w:spacing w:line="307" w:lineRule="auto" w:before="5"/>
              <w:ind w:left="24" w:right="21"/>
              <w:jc w:val="left"/>
              <w:rPr>
                <w:rFonts w:ascii="宋体" w:hAnsi="宋体" w:cs="宋体" w:eastAsia="宋体" w:hint="default"/>
                <w:sz w:val="18"/>
                <w:szCs w:val="18"/>
              </w:rPr>
            </w:pPr>
            <w:r>
              <w:rPr>
                <w:rFonts w:ascii="宋体" w:hAnsi="宋体" w:cs="宋体" w:eastAsia="宋体" w:hint="default"/>
                <w:sz w:val="18"/>
                <w:szCs w:val="18"/>
              </w:rPr>
              <w:t>进会中介服务支持资金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元，武汉东湖新技术开发区管理 委员会财政局服务业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小进规</w:t>
            </w:r>
            <w:r>
              <w:rPr>
                <w:rFonts w:ascii="Times New Roman" w:hAnsi="Times New Roman" w:cs="Times New Roman" w:eastAsia="Times New Roman" w:hint="default"/>
                <w:sz w:val="18"/>
                <w:szCs w:val="18"/>
              </w:rPr>
              <w:t>"</w:t>
            </w:r>
            <w:r>
              <w:rPr>
                <w:rFonts w:ascii="宋体" w:hAnsi="宋体" w:cs="宋体" w:eastAsia="宋体" w:hint="default"/>
                <w:sz w:val="18"/>
                <w:szCs w:val="18"/>
              </w:rPr>
              <w:t>政 策款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元，武汉东湖新技</w:t>
            </w:r>
            <w:r>
              <w:rPr>
                <w:rFonts w:ascii="宋体" w:hAnsi="宋体" w:cs="宋体" w:eastAsia="宋体" w:hint="default"/>
                <w:sz w:val="18"/>
                <w:szCs w:val="18"/>
              </w:rPr>
              <w:t> 术开发区管理委员会财政局高新 企业认定补助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15"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业务密切相关，按照国家统一标准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定额或定量享受的政府补助除外）</w:t>
            </w:r>
          </w:p>
        </w:tc>
        <w:tc>
          <w:tcPr>
            <w:tcW w:w="1416" w:type="dxa"/>
            <w:vMerge/>
            <w:tcBorders>
              <w:left w:val="single" w:sz="10"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2624" w:type="dxa"/>
            <w:vMerge/>
            <w:tcBorders>
              <w:left w:val="single" w:sz="4" w:space="0" w:color="000000"/>
              <w:right w:val="single" w:sz="4" w:space="0" w:color="000000"/>
            </w:tcBorders>
          </w:tcPr>
          <w:p>
            <w:pPr/>
          </w:p>
        </w:tc>
      </w:tr>
      <w:tr>
        <w:trPr>
          <w:trHeight w:val="1721"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10"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r>
      <w:tr>
        <w:trPr>
          <w:trHeight w:val="71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 入和支出</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9,006.92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153,821.39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779,037.90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其他营业外收入和支出主要为个 税的手续费返还和滞纳金支出。</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1,791,471.13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308,136.12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288,501.32</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3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7,038.44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10,114,605.89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1,853,347.54</w:t>
            </w:r>
          </w:p>
        </w:tc>
        <w:tc>
          <w:tcPr>
            <w:tcW w:w="14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1,530,092.92</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3"/>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说明原因</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软件与信息技术服务业</w:t>
      </w:r>
    </w:p>
    <w:p>
      <w:pPr>
        <w:pStyle w:val="BodyText"/>
        <w:spacing w:line="240" w:lineRule="auto" w:before="117"/>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513" w:right="1133"/>
        <w:jc w:val="left"/>
      </w:pPr>
      <w:r>
        <w:rPr/>
        <w:t>（一）主要业务、主要产品及其用途、经营模式、主要的业绩驱动因素</w:t>
      </w:r>
    </w:p>
    <w:p>
      <w:pPr>
        <w:pStyle w:val="BodyText"/>
        <w:spacing w:line="300" w:lineRule="auto" w:before="76"/>
        <w:ind w:left="513" w:right="0"/>
        <w:jc w:val="left"/>
      </w:pPr>
      <w:r>
        <w:rPr>
          <w:rFonts w:ascii="Times New Roman" w:hAnsi="Times New Roman" w:cs="Times New Roman" w:eastAsia="Times New Roman" w:hint="default"/>
        </w:rPr>
        <w:t>1</w:t>
      </w:r>
      <w:r>
        <w:rPr/>
        <w:t>、主要业务、主要产品及其用途 </w:t>
      </w:r>
      <w:r>
        <w:rPr>
          <w:spacing w:val="-2"/>
        </w:rPr>
        <w:t>新晨科技是以金融行业为核心，覆盖空管、政府机构及大中型国有企事业单位等行业的专业信息化解决方案与服务的供</w:t>
      </w:r>
    </w:p>
    <w:p>
      <w:pPr>
        <w:pStyle w:val="BodyText"/>
        <w:spacing w:line="309" w:lineRule="auto" w:before="31"/>
        <w:ind w:right="1129"/>
        <w:jc w:val="both"/>
      </w:pPr>
      <w:r>
        <w:rPr>
          <w:spacing w:val="-2"/>
        </w:rPr>
        <w:t>应商。在金融领域，公司主要为客户提供数据交换、渠道整合、支付结算、新一代中间业务、交易银行、销售管理、信息管</w:t>
      </w:r>
      <w:r>
        <w:rPr>
          <w:spacing w:val="-65"/>
        </w:rPr>
        <w:t> </w:t>
      </w:r>
      <w:r>
        <w:rPr>
          <w:spacing w:val="-65"/>
        </w:rPr>
      </w:r>
      <w:r>
        <w:rPr>
          <w:spacing w:val="-2"/>
        </w:rPr>
        <w:t>理、客户服务和体验、报表分析等软件开发服务，以及为客户提供数据中心规划设计咨询、软硬件选型与部署实施等覆盖</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5"/>
        </w:rPr>
        <w:t> </w:t>
      </w:r>
      <w:r>
        <w:rPr/>
        <w:t>基础设施建设全生命周期的系统集成解决方案和服务。</w:t>
      </w:r>
    </w:p>
    <w:p>
      <w:pPr>
        <w:pStyle w:val="BodyText"/>
        <w:spacing w:line="316" w:lineRule="auto" w:before="24"/>
        <w:ind w:right="1134" w:firstLine="360"/>
        <w:jc w:val="both"/>
      </w:pPr>
      <w:r>
        <w:rPr>
          <w:spacing w:val="-2"/>
        </w:rPr>
        <w:t>公司以信息化技术为核心，提供软件开发、系统集成、专业技术服务等多层次的行业信息化服务。自设立以来，公司主</w:t>
      </w:r>
      <w:r>
        <w:rPr/>
        <w:t> 营业务未发生变更。</w:t>
      </w:r>
    </w:p>
    <w:p>
      <w:pPr>
        <w:pStyle w:val="BodyText"/>
        <w:spacing w:line="300" w:lineRule="auto" w:before="19"/>
        <w:ind w:left="513" w:right="0"/>
        <w:jc w:val="left"/>
      </w:pPr>
      <w:r>
        <w:rPr/>
        <w:t>（</w:t>
      </w:r>
      <w:r>
        <w:rPr>
          <w:rFonts w:ascii="Times New Roman" w:hAnsi="Times New Roman" w:cs="Times New Roman" w:eastAsia="Times New Roman" w:hint="default"/>
        </w:rPr>
        <w:t>1</w:t>
      </w:r>
      <w:r>
        <w:rPr/>
        <w:t>）软件开发业务 </w:t>
      </w:r>
      <w:r>
        <w:rPr>
          <w:spacing w:val="-2"/>
        </w:rPr>
        <w:t>新晨科技具备雄厚的软件研发和项目实施实力，拥有强大的覆盖全国的技术支持服务体系以及长期从事技术咨询、服务</w:t>
      </w:r>
    </w:p>
    <w:p>
      <w:pPr>
        <w:pStyle w:val="BodyText"/>
        <w:spacing w:line="316" w:lineRule="auto" w:before="31"/>
        <w:ind w:right="1034"/>
        <w:jc w:val="left"/>
      </w:pPr>
      <w:r>
        <w:rPr/>
        <w:t>和项目实施的经验。其核心产品交换平台、渠道整合云平台及电子渠道产品、贸易融资结算系统、协作云平台、交易银行、 区块链</w:t>
      </w:r>
      <w:r>
        <w:rPr>
          <w:rFonts w:ascii="Times New Roman" w:hAnsi="Times New Roman" w:cs="Times New Roman" w:eastAsia="Times New Roman" w:hint="default"/>
        </w:rPr>
        <w:t>BaaS</w:t>
      </w:r>
      <w:r>
        <w:rPr/>
        <w:t>平台、贵金属交易等系列产品和解决方案在金融、空管等行业得到广泛应用。</w:t>
      </w:r>
    </w:p>
    <w:p>
      <w:pPr>
        <w:pStyle w:val="BodyText"/>
        <w:spacing w:line="309" w:lineRule="auto"/>
        <w:ind w:right="1130" w:firstLine="360"/>
        <w:jc w:val="both"/>
      </w:pPr>
      <w:r>
        <w:rPr>
          <w:spacing w:val="-2"/>
        </w:rPr>
        <w:t>交换平台是公司核心技术平台，可为各个应用系统提供统一的格式转换、统一的业务路由、统一的事务管理、统一监控</w:t>
      </w:r>
      <w:r>
        <w:rPr/>
        <w:t> </w:t>
      </w:r>
      <w:r>
        <w:rPr>
          <w:spacing w:val="-2"/>
        </w:rPr>
        <w:t>管理，实现统一的信息数据交换。由于交换平台核心服务</w:t>
      </w:r>
      <w:r>
        <w:rPr>
          <w:rFonts w:ascii="Times New Roman" w:hAnsi="Times New Roman" w:cs="Times New Roman" w:eastAsia="Times New Roman" w:hint="default"/>
          <w:spacing w:val="-2"/>
        </w:rPr>
        <w:t>——</w:t>
      </w:r>
      <w:r>
        <w:rPr>
          <w:spacing w:val="-2"/>
        </w:rPr>
        <w:t>信息数据交换服务具有同质性，因此，交换平台被广泛应用到</w:t>
      </w:r>
      <w:r>
        <w:rPr>
          <w:spacing w:val="-63"/>
        </w:rPr>
        <w:t> </w:t>
      </w:r>
      <w:r>
        <w:rPr>
          <w:spacing w:val="-63"/>
        </w:rPr>
      </w:r>
      <w:r>
        <w:rPr/>
        <w:t>具有信息数据交换需求的多个应用领域。</w:t>
      </w:r>
    </w:p>
    <w:p>
      <w:pPr>
        <w:pStyle w:val="BodyText"/>
        <w:spacing w:line="316" w:lineRule="auto" w:before="24"/>
        <w:ind w:right="1034" w:firstLine="360"/>
        <w:jc w:val="left"/>
      </w:pPr>
      <w:r>
        <w:rPr>
          <w:spacing w:val="-2"/>
        </w:rPr>
        <w:t>渠道整合云平台及电子渠道产品是公司在金融行业渠道层上的主要产品和解决方案。渠道整合云平台基于分布式架构构</w:t>
      </w:r>
      <w:r>
        <w:rPr/>
        <w:t> </w:t>
      </w:r>
      <w:r>
        <w:rPr>
          <w:spacing w:val="-2"/>
        </w:rPr>
        <w:t>建，为各渠道建立统一的数据标准和服务规范，实现渠道交易信息的统一传递和交易数据的统一分发，以及统一的安全认证</w:t>
      </w:r>
      <w:r>
        <w:rPr>
          <w:spacing w:val="-63"/>
        </w:rPr>
        <w:t> </w:t>
      </w:r>
      <w:r>
        <w:rPr>
          <w:spacing w:val="-63"/>
        </w:rPr>
      </w:r>
      <w:r>
        <w:rPr/>
        <w:t>和授权、统一的系统接入、统一的信息模型及转换、统一的流程管理、便捷的监控管理等功能，以满足新业务的快速部署、</w:t>
      </w:r>
      <w:r>
        <w:rPr/>
        <w:t> </w:t>
      </w:r>
      <w:r>
        <w:rPr>
          <w:spacing w:val="-2"/>
        </w:rPr>
        <w:t>多渠道发布、主动营销、统一客户视图等市场需求。渠道整合云平台在国有大型银行、股份制银行以及地区性商业银行都有</w:t>
      </w:r>
      <w:r>
        <w:rPr>
          <w:spacing w:val="-64"/>
        </w:rPr>
        <w:t> </w:t>
      </w:r>
      <w:r>
        <w:rPr>
          <w:spacing w:val="-64"/>
        </w:rPr>
      </w:r>
      <w:r>
        <w:rPr/>
        <w:t>成功应用。</w:t>
      </w:r>
    </w:p>
    <w:p>
      <w:pPr>
        <w:pStyle w:val="BodyText"/>
        <w:spacing w:line="316" w:lineRule="auto" w:before="19"/>
        <w:ind w:right="0" w:firstLine="360"/>
        <w:jc w:val="left"/>
      </w:pPr>
      <w:r>
        <w:rPr>
          <w:spacing w:val="-2"/>
        </w:rPr>
        <w:t>贸易融资结算系统是公司在金融行业核心业务层上的主要产品和解决方案。贸易融资结算系统全面覆盖了国际结算的各</w:t>
      </w:r>
      <w:r>
        <w:rPr/>
        <w:t> </w:t>
      </w:r>
      <w:r>
        <w:rPr>
          <w:spacing w:val="-4"/>
        </w:rPr>
        <w:t>项业务品种，提供外汇资金和清算的支持，系统还包含国际支付前置、外汇监管报送、授信管理、供应链金融等多个子系统，</w:t>
      </w:r>
      <w:r>
        <w:rPr>
          <w:spacing w:val="-43"/>
        </w:rPr>
        <w:t> </w:t>
      </w:r>
      <w:r>
        <w:rPr>
          <w:spacing w:val="-43"/>
        </w:rPr>
      </w:r>
      <w:r>
        <w:rPr/>
        <w:t>能为客户提供一站式的贸易融资结算解决方案。目前在</w:t>
      </w:r>
      <w:r>
        <w:rPr>
          <w:rFonts w:ascii="Times New Roman" w:hAnsi="Times New Roman" w:cs="Times New Roman" w:eastAsia="Times New Roman" w:hint="default"/>
        </w:rPr>
        <w:t>30</w:t>
      </w:r>
      <w:r>
        <w:rPr/>
        <w:t>家以上的股份制银行以及地区性商业银行都有成功应用。</w:t>
      </w:r>
    </w:p>
    <w:p>
      <w:pPr>
        <w:pStyle w:val="BodyText"/>
        <w:spacing w:line="319" w:lineRule="auto"/>
        <w:ind w:right="1131" w:firstLine="360"/>
        <w:jc w:val="both"/>
      </w:pPr>
      <w:r>
        <w:rPr>
          <w:spacing w:val="-2"/>
        </w:rPr>
        <w:t>协作云平台是公司在金融行业业务支撑层上的主要产品，是具备快捷协作能力的特色业务处理云平台，实现了总分行协</w:t>
      </w:r>
      <w:r>
        <w:rPr/>
        <w:t> </w:t>
      </w:r>
      <w:r>
        <w:rPr>
          <w:spacing w:val="-2"/>
        </w:rPr>
        <w:t>作以及银企协作。分行特色业务采用总分行协作的方式，统一接入总行平台，快速开发部署。总行进行抽象组件开发、标准</w:t>
      </w:r>
      <w:r>
        <w:rPr>
          <w:spacing w:val="-67"/>
        </w:rPr>
        <w:t> </w:t>
      </w:r>
      <w:r>
        <w:rPr>
          <w:spacing w:val="-67"/>
        </w:rPr>
      </w:r>
      <w:r>
        <w:rPr>
          <w:spacing w:val="-2"/>
        </w:rPr>
        <w:t>业务模型的构建；分行使用平台向导裁剪业务模型、适配标准接口、与第三方联调测试。对于特定行业的应用场景，将标准</w:t>
      </w:r>
      <w:r>
        <w:rPr>
          <w:spacing w:val="-67"/>
        </w:rPr>
        <w:t> </w:t>
      </w:r>
      <w:r>
        <w:rPr>
          <w:spacing w:val="-67"/>
        </w:rPr>
      </w:r>
      <w:r>
        <w:rPr/>
        <w:t>业务模型固化，同时为两方的终端客户提供完整的管理平台与渠道，形成可复用的软件产品。</w:t>
      </w:r>
    </w:p>
    <w:p>
      <w:pPr>
        <w:pStyle w:val="BodyText"/>
        <w:spacing w:line="316" w:lineRule="auto" w:before="17"/>
        <w:ind w:right="1129" w:firstLine="360"/>
        <w:jc w:val="both"/>
      </w:pPr>
      <w:r>
        <w:rPr>
          <w:spacing w:val="-2"/>
        </w:rPr>
        <w:t>交易银行系统以“整合”、“共享”、“互联互通”、“开放”、“体验”为手段，以标准化电子渠道各类可售产品为</w:t>
      </w:r>
      <w:r>
        <w:rPr/>
        <w:t> </w:t>
      </w:r>
      <w:r>
        <w:rPr>
          <w:spacing w:val="-2"/>
        </w:rPr>
        <w:t>基础，以平台化策略为支撑，以支持交易银行为目标，通过构建新一代银行对公电子金融服务平台，支持银行对公业务电子</w:t>
      </w:r>
      <w:r>
        <w:rPr>
          <w:spacing w:val="-63"/>
        </w:rPr>
        <w:t> </w:t>
      </w:r>
      <w:r>
        <w:rPr>
          <w:spacing w:val="-63"/>
        </w:rPr>
      </w:r>
      <w:r>
        <w:rPr>
          <w:spacing w:val="-2"/>
        </w:rPr>
        <w:t>渠道转型和未来发展。交易银行系统，是集交易平台、营销平台、服务平台、互动平台四位一体的电子银行综合性平台，为</w:t>
      </w:r>
      <w:r>
        <w:rPr>
          <w:spacing w:val="-68"/>
        </w:rPr>
        <w:t> </w:t>
      </w:r>
      <w:r>
        <w:rPr>
          <w:spacing w:val="-68"/>
        </w:rPr>
      </w:r>
      <w:r>
        <w:rPr/>
        <w:t>银行客户提供全新的体验和全方位的服务；进一步降低银行的服务成本、提高电子银行的整体收益。</w:t>
      </w:r>
    </w:p>
    <w:p>
      <w:pPr>
        <w:pStyle w:val="BodyText"/>
        <w:spacing w:line="300" w:lineRule="auto" w:before="19"/>
        <w:ind w:right="1213" w:firstLine="360"/>
        <w:jc w:val="both"/>
      </w:pPr>
      <w:r>
        <w:rPr/>
        <w:t>区块链</w:t>
      </w:r>
      <w:r>
        <w:rPr>
          <w:rFonts w:ascii="Times New Roman" w:hAnsi="Times New Roman" w:cs="Times New Roman" w:eastAsia="Times New Roman" w:hint="default"/>
        </w:rPr>
        <w:t>BaaS</w:t>
      </w:r>
      <w:r>
        <w:rPr/>
        <w:t>平台是公司自主研发的区块链即服务的平台，可以帮助用户快速地部署区块链系统，提供链码部署、区块 链运行状态监控、配置和管理等服务。</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公司具有比较全面的贵金属交易产品线，包括：贵金属投资交易系统、代理金交所业务交易系统、银行实物黄金销售系</w:t>
      </w:r>
      <w:r>
        <w:rPr/>
        <w:t> 统、贵金属综合类二级系统、竞价红马甲系统、竞价黄马甲系统、竞价红黄马甲管理系统、报价黄马甲系统等。</w:t>
      </w:r>
    </w:p>
    <w:p>
      <w:pPr>
        <w:pStyle w:val="BodyText"/>
        <w:spacing w:line="300" w:lineRule="auto" w:before="17"/>
        <w:ind w:right="0" w:firstLine="360"/>
        <w:jc w:val="left"/>
      </w:pPr>
      <w:r>
        <w:rPr>
          <w:rFonts w:ascii="Times New Roman" w:hAnsi="Times New Roman" w:cs="Times New Roman" w:eastAsia="Times New Roman" w:hint="default"/>
          <w:spacing w:val="-2"/>
        </w:rPr>
        <w:t>2018</w:t>
      </w:r>
      <w:r>
        <w:rPr>
          <w:spacing w:val="-2"/>
        </w:rPr>
        <w:t>年度，公司新增</w:t>
      </w:r>
      <w:r>
        <w:rPr>
          <w:rFonts w:ascii="Times New Roman" w:hAnsi="Times New Roman" w:cs="Times New Roman" w:eastAsia="Times New Roman" w:hint="default"/>
          <w:spacing w:val="-2"/>
        </w:rPr>
        <w:t>44</w:t>
      </w:r>
      <w:r>
        <w:rPr>
          <w:spacing w:val="-2"/>
        </w:rPr>
        <w:t>个软件著作权认证证书。对公司开拓市场、提升品牌影响力产生积极的作用，有利于公司保持技</w:t>
      </w:r>
      <w:r>
        <w:rPr/>
        <w:t> 术的领先性，提升了公司的核心竞争力。</w:t>
      </w:r>
    </w:p>
    <w:p>
      <w:pPr>
        <w:pStyle w:val="BodyText"/>
        <w:spacing w:line="300" w:lineRule="auto" w:before="31"/>
        <w:ind w:left="513" w:right="0"/>
        <w:jc w:val="left"/>
      </w:pPr>
      <w:r>
        <w:rPr/>
        <w:t>（</w:t>
      </w:r>
      <w:r>
        <w:rPr>
          <w:rFonts w:ascii="Times New Roman" w:hAnsi="Times New Roman" w:cs="Times New Roman" w:eastAsia="Times New Roman" w:hint="default"/>
        </w:rPr>
        <w:t>2</w:t>
      </w:r>
      <w:r>
        <w:rPr/>
        <w:t>）系统集成业务 </w:t>
      </w:r>
      <w:r>
        <w:rPr>
          <w:spacing w:val="-2"/>
        </w:rPr>
        <w:t>公司自成立以来一直从事系统集成相关业务，形成了从设计规划、实施、管理到技术支持与服务完整而强大的系统集成</w:t>
      </w:r>
    </w:p>
    <w:p>
      <w:pPr>
        <w:pStyle w:val="BodyText"/>
        <w:spacing w:line="300" w:lineRule="auto" w:before="31"/>
        <w:ind w:right="1131"/>
        <w:jc w:val="both"/>
      </w:pPr>
      <w:r>
        <w:rPr>
          <w:spacing w:val="-2"/>
        </w:rPr>
        <w:t>能力，为客户提供数据中心规划设计咨询、软硬件选型与部署实施等覆盖</w:t>
      </w:r>
      <w:r>
        <w:rPr>
          <w:rFonts w:ascii="Times New Roman" w:hAnsi="Times New Roman" w:cs="Times New Roman" w:eastAsia="Times New Roman" w:hint="default"/>
          <w:spacing w:val="-2"/>
        </w:rPr>
        <w:t>IT</w:t>
      </w:r>
      <w:r>
        <w:rPr>
          <w:spacing w:val="-2"/>
        </w:rPr>
        <w:t>基础设施建设全生命周期的系统集成解决方案和</w:t>
      </w:r>
      <w:r>
        <w:rPr>
          <w:spacing w:val="-51"/>
        </w:rPr>
        <w:t> </w:t>
      </w:r>
      <w:r>
        <w:rPr>
          <w:spacing w:val="-51"/>
        </w:rPr>
      </w:r>
      <w:r>
        <w:rPr>
          <w:spacing w:val="-2"/>
        </w:rPr>
        <w:t>服务，同时结合自身的软件开发能力，为客户提供定制化</w:t>
      </w:r>
      <w:r>
        <w:rPr>
          <w:rFonts w:ascii="Times New Roman" w:hAnsi="Times New Roman" w:cs="Times New Roman" w:eastAsia="Times New Roman" w:hint="default"/>
          <w:spacing w:val="-2"/>
        </w:rPr>
        <w:t>IT</w:t>
      </w:r>
      <w:r>
        <w:rPr>
          <w:spacing w:val="-2"/>
        </w:rPr>
        <w:t>基础设施增值服务。在系统安全性、可靠性、可用性及成本控制</w:t>
      </w:r>
      <w:r>
        <w:rPr>
          <w:spacing w:val="-54"/>
        </w:rPr>
        <w:t> </w:t>
      </w:r>
      <w:r>
        <w:rPr>
          <w:spacing w:val="-54"/>
        </w:rPr>
      </w:r>
      <w:r>
        <w:rPr/>
        <w:t>和运营管理等方面具有较强的综合竞争能力。</w:t>
      </w:r>
    </w:p>
    <w:p>
      <w:pPr>
        <w:pStyle w:val="BodyText"/>
        <w:spacing w:line="300" w:lineRule="auto" w:before="31"/>
        <w:ind w:right="1164" w:firstLine="360"/>
        <w:jc w:val="left"/>
      </w:pPr>
      <w:r>
        <w:rPr/>
        <w:t>目前公司系统集成业务主要包括：数据中心基础架构系统建设、数据中心云计算</w:t>
      </w:r>
      <w:r>
        <w:rPr>
          <w:rFonts w:ascii="Times New Roman" w:hAnsi="Times New Roman" w:cs="Times New Roman" w:eastAsia="Times New Roman" w:hint="default"/>
        </w:rPr>
        <w:t>/</w:t>
      </w:r>
      <w:r>
        <w:rPr/>
        <w:t>虚拟化建设、数据中心信息安全系统 建设、数据中心灾备系统建设、大数据平台系统建设、数据中心</w:t>
      </w:r>
      <w:r>
        <w:rPr>
          <w:rFonts w:ascii="Times New Roman" w:hAnsi="Times New Roman" w:cs="Times New Roman" w:eastAsia="Times New Roman" w:hint="default"/>
        </w:rPr>
        <w:t>IT</w:t>
      </w:r>
      <w:r>
        <w:rPr/>
        <w:t>系统搬迁等解决方案和技术服务。</w:t>
      </w:r>
    </w:p>
    <w:p>
      <w:pPr>
        <w:pStyle w:val="BodyText"/>
        <w:spacing w:line="300" w:lineRule="auto" w:before="13"/>
        <w:ind w:right="0" w:firstLine="360"/>
        <w:jc w:val="left"/>
      </w:pPr>
      <w:r>
        <w:rPr>
          <w:spacing w:val="-2"/>
        </w:rPr>
        <w:t>公司的网络设计及规划服务结合国际前沿的网络技术和公司长期实践经验，根据客户自身的业务特点及</w:t>
      </w:r>
      <w:r>
        <w:rPr>
          <w:rFonts w:ascii="Times New Roman" w:hAnsi="Times New Roman" w:cs="Times New Roman" w:eastAsia="Times New Roman" w:hint="default"/>
          <w:spacing w:val="-2"/>
        </w:rPr>
        <w:t>IT</w:t>
      </w:r>
      <w:r>
        <w:rPr>
          <w:spacing w:val="-2"/>
        </w:rPr>
        <w:t>需求，提供规</w:t>
      </w:r>
      <w:r>
        <w:rPr/>
        <w:t> 划设计、工程实施、管理维护、优化改造、技术咨询等全方位的网络解决方案及专业服务。</w:t>
      </w:r>
    </w:p>
    <w:p>
      <w:pPr>
        <w:pStyle w:val="BodyText"/>
        <w:spacing w:line="300" w:lineRule="auto" w:before="32"/>
        <w:ind w:right="1036" w:firstLine="360"/>
        <w:jc w:val="left"/>
      </w:pPr>
      <w:r>
        <w:rPr>
          <w:spacing w:val="-2"/>
        </w:rPr>
        <w:t>公司在</w:t>
      </w:r>
      <w:r>
        <w:rPr>
          <w:rFonts w:ascii="Times New Roman" w:hAnsi="Times New Roman" w:cs="Times New Roman" w:eastAsia="Times New Roman" w:hint="default"/>
          <w:spacing w:val="-2"/>
        </w:rPr>
        <w:t>2018</w:t>
      </w:r>
      <w:r>
        <w:rPr>
          <w:spacing w:val="-2"/>
        </w:rPr>
        <w:t>年收购了北京瑞得音信息技术有限公司（以下简称“瑞得音”），进一步加强了公司在系统集成领域的技术</w:t>
      </w:r>
      <w:r>
        <w:rPr/>
        <w:t> </w:t>
      </w:r>
      <w:r>
        <w:rPr>
          <w:spacing w:val="-2"/>
        </w:rPr>
        <w:t>实力，瑞得音是专业的</w:t>
      </w:r>
      <w:r>
        <w:rPr>
          <w:rFonts w:ascii="Times New Roman" w:hAnsi="Times New Roman" w:cs="Times New Roman" w:eastAsia="Times New Roman" w:hint="default"/>
          <w:spacing w:val="-2"/>
        </w:rPr>
        <w:t>ICT</w:t>
      </w:r>
      <w:r>
        <w:rPr>
          <w:spacing w:val="-2"/>
        </w:rPr>
        <w:t>（信息和通信技术）服务整体解决方案提供商，从事项目实施、运行维护、故障处理、增值服务、</w:t>
      </w:r>
      <w:r>
        <w:rPr>
          <w:spacing w:val="-83"/>
        </w:rPr>
        <w:t> </w:t>
      </w:r>
      <w:r>
        <w:rPr>
          <w:spacing w:val="-83"/>
        </w:rPr>
      </w:r>
      <w:r>
        <w:rPr/>
        <w:t>咨询培训等业务的高新技术企业。瑞得音</w:t>
      </w:r>
      <w:r>
        <w:rPr>
          <w:rFonts w:ascii="Times New Roman" w:hAnsi="Times New Roman" w:cs="Times New Roman" w:eastAsia="Times New Roman" w:hint="default"/>
        </w:rPr>
        <w:t>ICT</w:t>
      </w:r>
      <w:r>
        <w:rPr/>
        <w:t>服务业务主要聚焦于三大业务板块：国内</w:t>
      </w:r>
      <w:r>
        <w:rPr>
          <w:rFonts w:ascii="Times New Roman" w:hAnsi="Times New Roman" w:cs="Times New Roman" w:eastAsia="Times New Roman" w:hint="default"/>
        </w:rPr>
        <w:t>ICT</w:t>
      </w:r>
      <w:r>
        <w:rPr/>
        <w:t>服务与集成业务，海外</w:t>
      </w:r>
      <w:r>
        <w:rPr>
          <w:rFonts w:ascii="Times New Roman" w:hAnsi="Times New Roman" w:cs="Times New Roman" w:eastAsia="Times New Roman" w:hint="default"/>
        </w:rPr>
        <w:t>ICT</w:t>
      </w:r>
      <w:r>
        <w:rPr/>
        <w:t>服务与 集成业务，云计算增值业务。</w:t>
      </w:r>
    </w:p>
    <w:p>
      <w:pPr>
        <w:pStyle w:val="BodyText"/>
        <w:spacing w:line="300" w:lineRule="auto" w:before="31"/>
        <w:ind w:left="513" w:right="0"/>
        <w:jc w:val="left"/>
      </w:pPr>
      <w:r>
        <w:rPr/>
        <w:t>（</w:t>
      </w:r>
      <w:r>
        <w:rPr>
          <w:rFonts w:ascii="Times New Roman" w:hAnsi="Times New Roman" w:cs="Times New Roman" w:eastAsia="Times New Roman" w:hint="default"/>
        </w:rPr>
        <w:t>3</w:t>
      </w:r>
      <w:r>
        <w:rPr/>
        <w:t>）专业技术服务 </w:t>
      </w:r>
      <w:r>
        <w:rPr>
          <w:spacing w:val="-2"/>
        </w:rPr>
        <w:t>公司的专业技术服务主要是基于软件开发和系统集成业务为客户提供技术支持及运营维护等服务，是软件开发和系统集</w:t>
      </w:r>
    </w:p>
    <w:p>
      <w:pPr>
        <w:pStyle w:val="BodyText"/>
        <w:spacing w:line="316" w:lineRule="auto" w:before="31"/>
        <w:ind w:right="1129"/>
        <w:jc w:val="both"/>
      </w:pPr>
      <w:r>
        <w:rPr>
          <w:spacing w:val="-2"/>
        </w:rPr>
        <w:t>成业务不可或缺的支持手段。公司已形成了由标准服务、高级服务和咨询服务构成的多级服务体系，从行业客户的战略方案</w:t>
      </w:r>
      <w:r>
        <w:rPr>
          <w:spacing w:val="-62"/>
        </w:rPr>
        <w:t> </w:t>
      </w:r>
      <w:r>
        <w:rPr>
          <w:spacing w:val="-62"/>
        </w:rPr>
      </w:r>
      <w:r>
        <w:rPr/>
        <w:t>制订、系统策划、项目建设等方面，为客户提供产品升级和行业技术咨询服务与培训。</w:t>
      </w:r>
    </w:p>
    <w:p>
      <w:pPr>
        <w:pStyle w:val="BodyText"/>
        <w:spacing w:line="240" w:lineRule="auto" w:before="19"/>
        <w:ind w:left="513" w:right="1133"/>
        <w:jc w:val="left"/>
      </w:pPr>
      <w:r>
        <w:rPr>
          <w:rFonts w:ascii="Times New Roman" w:hAnsi="Times New Roman" w:cs="Times New Roman" w:eastAsia="Times New Roman" w:hint="default"/>
        </w:rPr>
        <w:t>2</w:t>
      </w:r>
      <w:r>
        <w:rPr/>
        <w:t>、公司主要经营模式</w:t>
      </w:r>
    </w:p>
    <w:p>
      <w:pPr>
        <w:pStyle w:val="BodyText"/>
        <w:spacing w:line="300" w:lineRule="auto" w:before="63"/>
        <w:ind w:left="513" w:right="1117"/>
        <w:jc w:val="left"/>
      </w:pPr>
      <w:r>
        <w:rPr/>
        <w:t>（</w:t>
      </w:r>
      <w:r>
        <w:rPr>
          <w:rFonts w:ascii="Times New Roman" w:hAnsi="Times New Roman" w:cs="Times New Roman" w:eastAsia="Times New Roman" w:hint="default"/>
        </w:rPr>
        <w:t>1</w:t>
      </w:r>
      <w:r>
        <w:rPr/>
        <w:t>）盈利模式 </w:t>
      </w:r>
      <w:r>
        <w:rPr>
          <w:spacing w:val="-2"/>
        </w:rPr>
        <w:t>公司为行业客户提供围绕</w:t>
      </w:r>
      <w:r>
        <w:rPr>
          <w:rFonts w:ascii="Times New Roman" w:hAnsi="Times New Roman" w:cs="Times New Roman" w:eastAsia="Times New Roman" w:hint="default"/>
          <w:spacing w:val="-2"/>
        </w:rPr>
        <w:t>IT</w:t>
      </w:r>
      <w:r>
        <w:rPr>
          <w:spacing w:val="-2"/>
        </w:rPr>
        <w:t>基础建设的系统集成服务，以自有软件为核心的业务应用软件开发和项目实施服务，以专业</w:t>
      </w:r>
    </w:p>
    <w:p>
      <w:pPr>
        <w:pStyle w:val="BodyText"/>
        <w:spacing w:line="319" w:lineRule="auto" w:before="13"/>
        <w:ind w:right="1133"/>
        <w:jc w:val="both"/>
      </w:pPr>
      <w:r>
        <w:rPr>
          <w:spacing w:val="-2"/>
        </w:rPr>
        <w:t>化的流程体系和优秀的技术人才为支撑的技术支持服务，以丰富的业务经验和专业技能为基础的顾问咨询服务，并从中获得</w:t>
      </w:r>
      <w:r>
        <w:rPr>
          <w:spacing w:val="-64"/>
        </w:rPr>
        <w:t> </w:t>
      </w:r>
      <w:r>
        <w:rPr>
          <w:spacing w:val="-64"/>
        </w:rPr>
      </w:r>
      <w:r>
        <w:rPr/>
        <w:t>收入和利润。</w:t>
      </w:r>
    </w:p>
    <w:p>
      <w:pPr>
        <w:pStyle w:val="BodyText"/>
        <w:spacing w:line="300" w:lineRule="auto" w:before="17"/>
        <w:ind w:left="513" w:right="1117"/>
        <w:jc w:val="left"/>
      </w:pPr>
      <w:r>
        <w:rPr/>
        <w:t>（</w:t>
      </w:r>
      <w:r>
        <w:rPr>
          <w:rFonts w:ascii="Times New Roman" w:hAnsi="Times New Roman" w:cs="Times New Roman" w:eastAsia="Times New Roman" w:hint="default"/>
        </w:rPr>
        <w:t>2</w:t>
      </w:r>
      <w:r>
        <w:rPr/>
        <w:t>）采购模式 </w:t>
      </w:r>
      <w:r>
        <w:rPr>
          <w:spacing w:val="-2"/>
        </w:rPr>
        <w:t>在系统集成服务中需要采购的主要为软硬件产品，公司建立了严格的供应商管理制度和采购流程，供应商需要经过资质</w:t>
      </w:r>
    </w:p>
    <w:p>
      <w:pPr>
        <w:pStyle w:val="BodyText"/>
        <w:spacing w:line="316" w:lineRule="auto" w:before="31"/>
        <w:ind w:right="1131"/>
        <w:jc w:val="both"/>
      </w:pPr>
      <w:r>
        <w:rPr>
          <w:spacing w:val="-2"/>
        </w:rPr>
        <w:t>审核、内部评审、商务谈判等环节，才能入围公司合格供应商目录。在采购环节，遵循至少有三家合格的供应商进行竞争性</w:t>
      </w:r>
      <w:r>
        <w:rPr>
          <w:spacing w:val="-67"/>
        </w:rPr>
        <w:t> </w:t>
      </w:r>
      <w:r>
        <w:rPr>
          <w:spacing w:val="-67"/>
        </w:rPr>
      </w:r>
      <w:r>
        <w:rPr>
          <w:spacing w:val="-2"/>
        </w:rPr>
        <w:t>谈判原则；数额较大的采购会委托专业的招投标服务机构进行公开招标。同时，公司建立了严格的采购审批制度，并对数额</w:t>
      </w:r>
      <w:r>
        <w:rPr>
          <w:spacing w:val="-64"/>
        </w:rPr>
        <w:t> </w:t>
      </w:r>
      <w:r>
        <w:rPr>
          <w:spacing w:val="-64"/>
        </w:rPr>
      </w:r>
      <w:r>
        <w:rPr/>
        <w:t>较大的采购进行专项审计，规范公司的采购管理。</w:t>
      </w:r>
    </w:p>
    <w:p>
      <w:pPr>
        <w:pStyle w:val="BodyText"/>
        <w:spacing w:line="300" w:lineRule="auto" w:before="19"/>
        <w:ind w:left="513" w:right="1117"/>
        <w:jc w:val="left"/>
      </w:pPr>
      <w:r>
        <w:rPr/>
        <w:t>（</w:t>
      </w:r>
      <w:r>
        <w:rPr>
          <w:rFonts w:ascii="Times New Roman" w:hAnsi="Times New Roman" w:cs="Times New Roman" w:eastAsia="Times New Roman" w:hint="default"/>
        </w:rPr>
        <w:t>3</w:t>
      </w:r>
      <w:r>
        <w:rPr/>
        <w:t>）生产模式 </w:t>
      </w:r>
      <w:r>
        <w:rPr>
          <w:spacing w:val="-2"/>
        </w:rPr>
        <w:t>公司产品研发团队，通过对目标市场的调研、目标客户业务需求的分析，开发具有自有知识产权的软件产品，并以自有</w:t>
      </w:r>
    </w:p>
    <w:p>
      <w:pPr>
        <w:pStyle w:val="BodyText"/>
        <w:spacing w:line="240" w:lineRule="auto" w:before="31"/>
        <w:ind w:right="0"/>
        <w:jc w:val="both"/>
      </w:pPr>
      <w:r>
        <w:rPr/>
        <w:t>产品为核心，根据客户的业务要求进行定制应用开发和部署。</w:t>
      </w:r>
    </w:p>
    <w:p>
      <w:pPr>
        <w:pStyle w:val="BodyText"/>
        <w:spacing w:line="300" w:lineRule="auto" w:before="76"/>
        <w:ind w:left="513" w:right="1117"/>
        <w:jc w:val="left"/>
      </w:pPr>
      <w:r>
        <w:rPr/>
        <w:t>（</w:t>
      </w:r>
      <w:r>
        <w:rPr>
          <w:rFonts w:ascii="Times New Roman" w:hAnsi="Times New Roman" w:cs="Times New Roman" w:eastAsia="Times New Roman" w:hint="default"/>
        </w:rPr>
        <w:t>4</w:t>
      </w:r>
      <w:r>
        <w:rPr/>
        <w:t>）营销模式 </w:t>
      </w:r>
      <w:r>
        <w:rPr>
          <w:spacing w:val="-2"/>
        </w:rPr>
        <w:t>公司通过自有的销售体系以及合作伙伴的销售体系，向各终端用户推介本公司系统集成服务、软件开发服务、技术支持</w:t>
      </w:r>
    </w:p>
    <w:p>
      <w:pPr>
        <w:pStyle w:val="BodyText"/>
        <w:spacing w:line="319" w:lineRule="auto" w:before="31"/>
        <w:ind w:left="513" w:right="5551" w:hanging="361"/>
        <w:jc w:val="both"/>
      </w:pPr>
      <w:r>
        <w:rPr/>
        <w:t>服务及顾问咨询服务，通过投标或单一来源谈判的方式获取订单。 公司的经营模式及相关影响因素在报告期内不存在重大变化。 </w:t>
      </w:r>
      <w:r>
        <w:rPr>
          <w:rFonts w:ascii="Times New Roman" w:hAnsi="Times New Roman" w:cs="Times New Roman" w:eastAsia="Times New Roman" w:hint="default"/>
        </w:rPr>
        <w:t>3</w:t>
      </w:r>
      <w:r>
        <w:rPr/>
        <w:t>、主要的业绩驱动因素</w:t>
      </w:r>
    </w:p>
    <w:p>
      <w:pPr>
        <w:pStyle w:val="BodyText"/>
        <w:spacing w:line="316" w:lineRule="auto"/>
        <w:ind w:right="1128" w:firstLine="360"/>
        <w:jc w:val="both"/>
      </w:pPr>
      <w:r>
        <w:rPr>
          <w:spacing w:val="-2"/>
        </w:rPr>
        <w:t>公司依然坚持“核心价值、核心产品、核心客户、核心业务”的发展战略。核心价值是指公司提供的产品与服务的同质</w:t>
      </w:r>
      <w:r>
        <w:rPr/>
        <w:t> </w:t>
      </w:r>
      <w:r>
        <w:rPr>
          <w:spacing w:val="-2"/>
        </w:rPr>
        <w:t>性，不仅能够实现跨行业、跨客户以及跨业务的横向推广，还能够最大限度地降低实施成本，提高公司的市场竞争力。核心</w:t>
      </w:r>
      <w:r>
        <w:rPr>
          <w:spacing w:val="-67"/>
        </w:rPr>
        <w:t> </w:t>
      </w:r>
      <w:r>
        <w:rPr>
          <w:spacing w:val="-67"/>
        </w:rPr>
      </w:r>
      <w:r>
        <w:rPr>
          <w:spacing w:val="-2"/>
        </w:rPr>
        <w:t>客户为公司提供了稳定的销售收入来源，保证了公司业务经营的稳步发展。同时，核心客户还为公司新产品的研发以及业务</w:t>
      </w:r>
      <w:r>
        <w:rPr>
          <w:spacing w:val="-64"/>
        </w:rPr>
        <w:t> </w:t>
      </w:r>
      <w:r>
        <w:rPr>
          <w:spacing w:val="-64"/>
        </w:rPr>
      </w:r>
      <w:r>
        <w:rPr>
          <w:spacing w:val="-2"/>
        </w:rPr>
        <w:t>的创新提供了方便落地实施的机会。核心产品和核心业务则是公司的核心竞争力，它是公司深挖老客户、开拓新客户的动力</w:t>
      </w:r>
      <w:r>
        <w:rPr>
          <w:spacing w:val="-61"/>
        </w:rPr>
        <w:t> </w:t>
      </w:r>
      <w:r>
        <w:rPr>
          <w:spacing w:val="-61"/>
        </w:rPr>
      </w:r>
      <w:r>
        <w:rPr/>
        <w:t>和源泉。</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公司主要的业绩驱动因素来源于传统客户的持续性服务、新客户拓展及新业务机会获取三个方面：</w:t>
      </w:r>
    </w:p>
    <w:p>
      <w:pPr>
        <w:pStyle w:val="BodyText"/>
        <w:spacing w:line="300" w:lineRule="auto" w:before="77"/>
        <w:ind w:left="513" w:right="0"/>
        <w:jc w:val="left"/>
      </w:pPr>
      <w:r>
        <w:rPr/>
        <w:t>（</w:t>
      </w:r>
      <w:r>
        <w:rPr>
          <w:rFonts w:ascii="Times New Roman" w:hAnsi="Times New Roman" w:cs="Times New Roman" w:eastAsia="Times New Roman" w:hint="default"/>
        </w:rPr>
        <w:t>1</w:t>
      </w:r>
      <w:r>
        <w:rPr/>
        <w:t>）传统客户的持续性服务 </w:t>
      </w:r>
      <w:r>
        <w:rPr>
          <w:spacing w:val="-2"/>
        </w:rPr>
        <w:t>多年来，公司收入较大比例来自公司传统客户，在公司传统客户进行大规模系统升级或者大规模应用系统建设时，公司</w:t>
      </w:r>
    </w:p>
    <w:p>
      <w:pPr>
        <w:pStyle w:val="BodyText"/>
        <w:spacing w:line="240" w:lineRule="auto" w:before="31"/>
        <w:ind w:right="0"/>
        <w:jc w:val="both"/>
      </w:pPr>
      <w:r>
        <w:rPr/>
        <w:t>有机会获得更多的业务机会。同样，公司传统客户业务趋于稳定的时期，公司扩展业务规模的难度增大。</w:t>
      </w:r>
    </w:p>
    <w:p>
      <w:pPr>
        <w:pStyle w:val="BodyText"/>
        <w:spacing w:line="300" w:lineRule="auto" w:before="76"/>
        <w:ind w:left="513" w:right="0"/>
        <w:jc w:val="left"/>
      </w:pPr>
      <w:r>
        <w:rPr/>
        <w:t>（</w:t>
      </w:r>
      <w:r>
        <w:rPr>
          <w:rFonts w:ascii="Times New Roman" w:hAnsi="Times New Roman" w:cs="Times New Roman" w:eastAsia="Times New Roman" w:hint="default"/>
        </w:rPr>
        <w:t>2</w:t>
      </w:r>
      <w:r>
        <w:rPr/>
        <w:t>）新客户拓展 </w:t>
      </w:r>
      <w:r>
        <w:rPr>
          <w:spacing w:val="-2"/>
        </w:rPr>
        <w:t>公司主要客户为以商业银行、保险公司为主的金融机构，在获取新客户相关领域入围资格时，或者新客户选择公司基础</w:t>
      </w:r>
    </w:p>
    <w:p>
      <w:pPr>
        <w:pStyle w:val="BodyText"/>
        <w:spacing w:line="316" w:lineRule="auto" w:before="31"/>
        <w:ind w:right="0"/>
        <w:jc w:val="left"/>
      </w:pPr>
      <w:r>
        <w:rPr>
          <w:spacing w:val="-2"/>
        </w:rPr>
        <w:t>软件平台构建其应用系统时，公司有较大的机会扩展业务规模。报告期内，公司一直在加大新客户的拓展力度，特别是区域</w:t>
      </w:r>
      <w:r>
        <w:rPr>
          <w:spacing w:val="-64"/>
        </w:rPr>
        <w:t> </w:t>
      </w:r>
      <w:r>
        <w:rPr>
          <w:spacing w:val="-64"/>
        </w:rPr>
      </w:r>
      <w:r>
        <w:rPr/>
        <w:t>银行及非银行金融机构客户市场的开拓，并取得了一定进展。</w:t>
      </w:r>
    </w:p>
    <w:p>
      <w:pPr>
        <w:pStyle w:val="BodyText"/>
        <w:spacing w:line="240" w:lineRule="auto" w:before="19"/>
        <w:ind w:left="513" w:right="1133"/>
        <w:jc w:val="left"/>
      </w:pPr>
      <w:r>
        <w:rPr/>
        <w:t>（</w:t>
      </w:r>
      <w:r>
        <w:rPr>
          <w:rFonts w:ascii="Times New Roman" w:hAnsi="Times New Roman" w:cs="Times New Roman" w:eastAsia="Times New Roman" w:hint="default"/>
        </w:rPr>
        <w:t>3</w:t>
      </w:r>
      <w:r>
        <w:rPr/>
        <w:t>）新的业务机会</w:t>
      </w:r>
    </w:p>
    <w:p>
      <w:pPr>
        <w:pStyle w:val="BodyText"/>
        <w:spacing w:line="314" w:lineRule="auto" w:before="63"/>
        <w:ind w:right="1129" w:firstLine="360"/>
        <w:jc w:val="both"/>
      </w:pPr>
      <w:r>
        <w:rPr>
          <w:rFonts w:ascii="Times New Roman" w:hAnsi="Times New Roman" w:cs="Times New Roman" w:eastAsia="Times New Roman" w:hint="default"/>
          <w:spacing w:val="-2"/>
        </w:rPr>
        <w:t>IT</w:t>
      </w:r>
      <w:r>
        <w:rPr>
          <w:spacing w:val="-2"/>
        </w:rPr>
        <w:t>服务市场整体上高度分散，其中包含多个细分领域，在每个细分领域，通过一段时间的市场竞争，会形成相对稳定的</w:t>
      </w:r>
      <w:r>
        <w:rPr>
          <w:w w:val="99"/>
        </w:rPr>
        <w:t> </w:t>
      </w:r>
      <w:r>
        <w:rPr>
          <w:spacing w:val="-2"/>
        </w:rPr>
        <w:t>格局，其中部分细分市场集中度较高。在没有行业性的业务机会或革命性的技术驱动前提下，相对稳定的市场格局较难被打</w:t>
      </w:r>
      <w:r>
        <w:rPr>
          <w:spacing w:val="-64"/>
        </w:rPr>
        <w:t> </w:t>
      </w:r>
      <w:r>
        <w:rPr>
          <w:spacing w:val="-64"/>
        </w:rPr>
      </w:r>
      <w:r>
        <w:rPr>
          <w:spacing w:val="-2"/>
        </w:rPr>
        <w:t>破，服务商介入其非优势领域的难度较大。这种相对稳定的格局在出现新的行业性业务机会或者革命性的技术驱动下，会发</w:t>
      </w:r>
      <w:r>
        <w:rPr>
          <w:spacing w:val="-63"/>
        </w:rPr>
        <w:t> </w:t>
      </w:r>
      <w:r>
        <w:rPr>
          <w:spacing w:val="-63"/>
        </w:rPr>
      </w:r>
      <w:r>
        <w:rPr>
          <w:spacing w:val="-2"/>
        </w:rPr>
        <w:t>生较大的变化，并可能重构行业格局。公司未来的发展，很大程度上决定于是否能够准确把握行业机会与技术变革，推出满</w:t>
      </w:r>
      <w:r>
        <w:rPr>
          <w:spacing w:val="-65"/>
        </w:rPr>
        <w:t> </w:t>
      </w:r>
      <w:r>
        <w:rPr>
          <w:spacing w:val="-65"/>
        </w:rPr>
      </w:r>
      <w:r>
        <w:rPr/>
        <w:t>足客户需求的产品、服务及解决方案。</w:t>
      </w:r>
    </w:p>
    <w:p>
      <w:pPr>
        <w:pStyle w:val="BodyText"/>
        <w:spacing w:line="240" w:lineRule="auto" w:before="20"/>
        <w:ind w:left="513" w:right="1133"/>
        <w:jc w:val="left"/>
      </w:pPr>
      <w:r>
        <w:rPr/>
        <w:t>（二）公司所属行业的发展阶段、周期性特点以及公司所处的行业地位</w:t>
      </w:r>
    </w:p>
    <w:p>
      <w:pPr>
        <w:pStyle w:val="BodyText"/>
        <w:spacing w:line="300" w:lineRule="auto" w:before="76"/>
        <w:ind w:left="513" w:right="1133"/>
        <w:jc w:val="left"/>
      </w:pPr>
      <w:r>
        <w:rPr>
          <w:rFonts w:ascii="Times New Roman" w:hAnsi="Times New Roman" w:cs="Times New Roman" w:eastAsia="Times New Roman" w:hint="default"/>
        </w:rPr>
        <w:t>1</w:t>
      </w:r>
      <w:r>
        <w:rPr/>
        <w:t>、行业发展阶段 </w:t>
      </w:r>
      <w:r>
        <w:rPr>
          <w:spacing w:val="-2"/>
        </w:rPr>
        <w:t>根据中国证监会颁布的《上市公司行业分类指引》（</w:t>
      </w:r>
      <w:r>
        <w:rPr>
          <w:rFonts w:ascii="Times New Roman" w:hAnsi="Times New Roman" w:cs="Times New Roman" w:eastAsia="Times New Roman" w:hint="default"/>
          <w:spacing w:val="-2"/>
        </w:rPr>
        <w:t>2012</w:t>
      </w:r>
      <w:r>
        <w:rPr>
          <w:spacing w:val="-2"/>
        </w:rPr>
        <w:t>年修订），公司所处行业为“信息传输、软件和信息技术服务</w:t>
      </w:r>
    </w:p>
    <w:p>
      <w:pPr>
        <w:pStyle w:val="BodyText"/>
        <w:spacing w:line="240" w:lineRule="auto" w:before="13"/>
        <w:ind w:right="0"/>
        <w:jc w:val="both"/>
      </w:pPr>
      <w:r>
        <w:rPr/>
        <w:t>业”之“软件和信息技术服务业”，所属行业代码为</w:t>
      </w:r>
      <w:r>
        <w:rPr>
          <w:rFonts w:ascii="Times New Roman" w:hAnsi="Times New Roman" w:cs="Times New Roman" w:eastAsia="Times New Roman" w:hint="default"/>
        </w:rPr>
        <w:t>I65</w:t>
      </w:r>
      <w:r>
        <w:rPr/>
        <w:t>。</w:t>
      </w:r>
    </w:p>
    <w:p>
      <w:pPr>
        <w:pStyle w:val="BodyText"/>
        <w:spacing w:line="309" w:lineRule="auto" w:before="63"/>
        <w:ind w:right="1034" w:firstLine="360"/>
        <w:jc w:val="left"/>
      </w:pPr>
      <w:r>
        <w:rPr>
          <w:rFonts w:ascii="Times New Roman" w:hAnsi="Times New Roman" w:cs="Times New Roman" w:eastAsia="Times New Roman" w:hint="default"/>
        </w:rPr>
        <w:t>2018</w:t>
      </w:r>
      <w:r>
        <w:rPr/>
        <w:t>年，在国内经济总体增长放缓，国际环境更趋复杂的背景下，我国软件和信息技术服务业总体保持平稳较快发展， </w:t>
      </w:r>
      <w:r>
        <w:rPr>
          <w:spacing w:val="-2"/>
        </w:rPr>
        <w:t>产业规模进一步扩大，盈利能力稳步提升，行业就业形势保持稳定，产业服务化、平台化、融合发展态势更加明显。我国软</w:t>
      </w:r>
      <w:r>
        <w:rPr>
          <w:spacing w:val="-68"/>
        </w:rPr>
        <w:t> </w:t>
      </w:r>
      <w:r>
        <w:rPr>
          <w:spacing w:val="-68"/>
        </w:rPr>
      </w:r>
      <w:r>
        <w:rPr/>
        <w:t>件和信息技术服务业在为制造强国和网络强国建设提供基础支撑、为经济高质量发展提供新动能等方面作用进一步凸显。</w:t>
      </w:r>
    </w:p>
    <w:p>
      <w:pPr>
        <w:pStyle w:val="BodyText"/>
        <w:spacing w:line="300" w:lineRule="auto" w:before="24"/>
        <w:ind w:right="0" w:firstLine="360"/>
        <w:jc w:val="left"/>
      </w:pPr>
      <w:r>
        <w:rPr>
          <w:rFonts w:ascii="Times New Roman" w:hAnsi="Times New Roman" w:cs="Times New Roman" w:eastAsia="Times New Roman" w:hint="default"/>
          <w:spacing w:val="-2"/>
        </w:rPr>
        <w:t>2018</w:t>
      </w:r>
      <w:r>
        <w:rPr>
          <w:spacing w:val="-2"/>
        </w:rPr>
        <w:t>年度，公司坚持“金融科技”理念，把握数字化、网络化、智能化发展契机，继续强化创新和核心技术突破，深化</w:t>
      </w:r>
      <w:r>
        <w:rPr/>
        <w:t> 融合应用，助推公司进一步快速发展。</w:t>
      </w:r>
    </w:p>
    <w:p>
      <w:pPr>
        <w:pStyle w:val="BodyText"/>
        <w:spacing w:line="316" w:lineRule="auto" w:before="31"/>
        <w:ind w:right="0" w:firstLine="360"/>
        <w:jc w:val="left"/>
      </w:pPr>
      <w:r>
        <w:rPr>
          <w:spacing w:val="-2"/>
        </w:rPr>
        <w:t>同时，公司依托空管行业的技术和经验的积累，积极布局其他军工行业信息化，随着军民融合发展的国家战略持续推进</w:t>
      </w:r>
      <w:r>
        <w:rPr/>
        <w:t> 以及军队体制改革的深化，军工行业有望成为公司新的业务增长点。</w:t>
      </w:r>
    </w:p>
    <w:p>
      <w:pPr>
        <w:pStyle w:val="BodyText"/>
        <w:spacing w:line="240" w:lineRule="auto" w:before="19"/>
        <w:ind w:left="513" w:right="1133"/>
        <w:jc w:val="left"/>
      </w:pPr>
      <w:r>
        <w:rPr>
          <w:rFonts w:ascii="Times New Roman" w:hAnsi="Times New Roman" w:cs="Times New Roman" w:eastAsia="Times New Roman" w:hint="default"/>
        </w:rPr>
        <w:t>2</w:t>
      </w:r>
      <w:r>
        <w:rPr/>
        <w:t>、季节性特点</w:t>
      </w:r>
    </w:p>
    <w:p>
      <w:pPr>
        <w:pStyle w:val="BodyText"/>
        <w:spacing w:line="300" w:lineRule="auto" w:before="63"/>
        <w:ind w:right="1111" w:firstLine="360"/>
        <w:jc w:val="left"/>
      </w:pPr>
      <w:r>
        <w:rPr/>
        <w:t>公司目前的主要客户集中在金融行业，金融客户通常遵照预算决策体制，在年初完成 </w:t>
      </w:r>
      <w:r>
        <w:rPr>
          <w:rFonts w:ascii="Times New Roman" w:hAnsi="Times New Roman" w:cs="Times New Roman" w:eastAsia="Times New Roman" w:hint="default"/>
        </w:rPr>
        <w:t>IT</w:t>
      </w:r>
      <w:r>
        <w:rPr>
          <w:rFonts w:ascii="Times New Roman" w:hAnsi="Times New Roman" w:cs="Times New Roman" w:eastAsia="Times New Roman" w:hint="default"/>
          <w:spacing w:val="-22"/>
        </w:rPr>
        <w:t> </w:t>
      </w:r>
      <w:r>
        <w:rPr/>
        <w:t>投入预算的制定工作，年中完 成立项工作，年底进行 </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项目验收、付款，其预算、立项和采购具有明显的季节性特征。报告期内，公司营业收入存在一 </w:t>
      </w:r>
      <w:r>
        <w:rPr>
          <w:spacing w:val="-2"/>
        </w:rPr>
        <w:t>定的季节性，即上半年营业收入、归属于上市公司股东的净利润少于下半年营业收入、归属于上市公司股东的净利润。</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年度、</w:t>
      </w:r>
      <w:r>
        <w:rPr>
          <w:rFonts w:ascii="Times New Roman" w:hAnsi="Times New Roman" w:cs="Times New Roman" w:eastAsia="Times New Roman" w:hint="default"/>
        </w:rPr>
        <w:t>2018</w:t>
      </w:r>
      <w:r>
        <w:rPr/>
        <w:t>年度，公司下半年营业收入占全年营业收入的比例分别为</w:t>
      </w:r>
      <w:r>
        <w:rPr>
          <w:rFonts w:ascii="Times New Roman" w:hAnsi="Times New Roman" w:cs="Times New Roman" w:eastAsia="Times New Roman" w:hint="default"/>
        </w:rPr>
        <w:t>59.08%</w:t>
      </w:r>
      <w:r>
        <w:rPr/>
        <w:t>、</w:t>
      </w:r>
      <w:r>
        <w:rPr>
          <w:rFonts w:ascii="Times New Roman" w:hAnsi="Times New Roman" w:cs="Times New Roman" w:eastAsia="Times New Roman" w:hint="default"/>
        </w:rPr>
        <w:t>73.90%</w:t>
      </w:r>
      <w:r>
        <w:rPr/>
        <w:t>，下半年归属于上市公司股东的净利 润占全年归属于上市公司股东的净利润的比例分别为</w:t>
      </w:r>
      <w:r>
        <w:rPr>
          <w:rFonts w:ascii="Times New Roman" w:hAnsi="Times New Roman" w:cs="Times New Roman" w:eastAsia="Times New Roman" w:hint="default"/>
        </w:rPr>
        <w:t>79.09%</w:t>
      </w:r>
      <w:r>
        <w:rPr/>
        <w:t>、</w:t>
      </w:r>
      <w:r>
        <w:rPr>
          <w:rFonts w:ascii="Times New Roman" w:hAnsi="Times New Roman" w:cs="Times New Roman" w:eastAsia="Times New Roman" w:hint="default"/>
        </w:rPr>
        <w:t>79.84%</w:t>
      </w:r>
      <w:r>
        <w:rPr/>
        <w:t>。因此公司业务存在季节性波动风险，投资者不宜以 季度或半年度的数据推算公司全年的经营情况。</w:t>
      </w:r>
    </w:p>
    <w:p>
      <w:pPr>
        <w:pStyle w:val="BodyText"/>
        <w:spacing w:line="300" w:lineRule="auto" w:before="31"/>
        <w:ind w:left="513" w:right="1117"/>
        <w:jc w:val="left"/>
      </w:pPr>
      <w:r>
        <w:rPr>
          <w:rFonts w:ascii="Times New Roman" w:hAnsi="Times New Roman" w:cs="Times New Roman" w:eastAsia="Times New Roman" w:hint="default"/>
        </w:rPr>
        <w:t>3</w:t>
      </w:r>
      <w:r>
        <w:rPr/>
        <w:t>、行业地位 </w:t>
      </w:r>
      <w:r>
        <w:rPr>
          <w:spacing w:val="-2"/>
        </w:rPr>
        <w:t>公司在金融信息化领域已经有</w:t>
      </w:r>
      <w:r>
        <w:rPr>
          <w:rFonts w:ascii="Times New Roman" w:hAnsi="Times New Roman" w:cs="Times New Roman" w:eastAsia="Times New Roman" w:hint="default"/>
          <w:spacing w:val="-2"/>
        </w:rPr>
        <w:t>20</w:t>
      </w:r>
      <w:r>
        <w:rPr>
          <w:spacing w:val="-2"/>
        </w:rPr>
        <w:t>年的行业经验，使得公司在数据交换、渠道整合、支付结算、新一代中间业务、交易银</w:t>
      </w:r>
    </w:p>
    <w:p>
      <w:pPr>
        <w:pStyle w:val="BodyText"/>
        <w:spacing w:line="312" w:lineRule="auto" w:before="13"/>
        <w:ind w:right="1131"/>
        <w:jc w:val="both"/>
      </w:pPr>
      <w:r>
        <w:rPr>
          <w:spacing w:val="-2"/>
        </w:rPr>
        <w:t>行、云平台应用等领域具有较强的竞争力。依靠以上核心技术的优势，公司在行业的竞争力日益增强。公司是国内少数同时</w:t>
      </w:r>
      <w:r>
        <w:rPr>
          <w:spacing w:val="-65"/>
        </w:rPr>
        <w:t> </w:t>
      </w:r>
      <w:r>
        <w:rPr>
          <w:spacing w:val="-65"/>
        </w:rPr>
      </w:r>
      <w:r>
        <w:rPr>
          <w:spacing w:val="-2"/>
        </w:rPr>
        <w:t>为金融行业和空管行业提供专业化信息服务的供应商之一。公司拥有“信息系统集成及服务资质（壹级）”、“涉及国家秘</w:t>
      </w:r>
      <w:r>
        <w:rPr>
          <w:spacing w:val="-69"/>
        </w:rPr>
        <w:t> </w:t>
      </w:r>
      <w:r>
        <w:rPr>
          <w:spacing w:val="-69"/>
        </w:rPr>
      </w:r>
      <w:r>
        <w:rPr>
          <w:spacing w:val="-1"/>
        </w:rPr>
        <w:t>密的计算机信息系统集成甲级资质”、“二级军工保密资格”、“武器装备质量管理体系认证证书”、“</w:t>
      </w:r>
      <w:r>
        <w:rPr>
          <w:rFonts w:ascii="Times New Roman" w:hAnsi="Times New Roman" w:cs="Times New Roman" w:eastAsia="Times New Roman" w:hint="default"/>
          <w:spacing w:val="-1"/>
        </w:rPr>
        <w:t>CMMI</w:t>
      </w:r>
      <w:r>
        <w:rPr>
          <w:spacing w:val="-1"/>
        </w:rPr>
        <w:t>开发模式认</w:t>
      </w:r>
      <w:r>
        <w:rPr>
          <w:spacing w:val="-80"/>
        </w:rPr>
        <w:t> </w:t>
      </w:r>
      <w:r>
        <w:rPr/>
        <w:t>证（三级）”、“高新技术企业证书”以及“</w:t>
      </w:r>
      <w:r>
        <w:rPr>
          <w:rFonts w:ascii="Times New Roman" w:hAnsi="Times New Roman" w:cs="Times New Roman" w:eastAsia="Times New Roman" w:hint="default"/>
        </w:rPr>
        <w:t>GB/T19001-2008/ISO9001:2008</w:t>
      </w:r>
      <w:r>
        <w:rPr/>
        <w:t>认证”等资质。</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1"/>
        <w:gridCol w:w="7857"/>
      </w:tblGrid>
      <w:tr>
        <w:trPr>
          <w:trHeight w:val="36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7869"/>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9"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2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207.03%</w:t>
            </w:r>
            <w:r>
              <w:rPr>
                <w:rFonts w:ascii="宋体" w:hAnsi="宋体" w:cs="宋体" w:eastAsia="宋体" w:hint="default"/>
                <w:spacing w:val="-3"/>
                <w:sz w:val="18"/>
                <w:szCs w:val="18"/>
              </w:rPr>
              <w:t>，主要系公司在报告期内在建工程验收达到可使用状态，结转至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固定资产所致。</w:t>
            </w: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869" w:type="dxa"/>
            <w:vMerge/>
            <w:tcBorders>
              <w:left w:val="single" w:sz="9" w:space="0" w:color="D2D2D2"/>
              <w:right w:val="single" w:sz="4" w:space="0" w:color="000000"/>
            </w:tcBorders>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9" w:type="dxa"/>
            <w:vMerge/>
            <w:tcBorders>
              <w:left w:val="single" w:sz="9" w:space="0" w:color="D2D2D2"/>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194.14%</w:t>
            </w:r>
            <w:r>
              <w:rPr>
                <w:rFonts w:ascii="宋体" w:hAnsi="宋体" w:cs="宋体" w:eastAsia="宋体" w:hint="default"/>
                <w:sz w:val="18"/>
                <w:szCs w:val="18"/>
              </w:rPr>
              <w:t>，主要系公司在报告期内购买项目使用的软件所致。</w:t>
            </w: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9"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20"/>
              <w:jc w:val="left"/>
              <w:rPr>
                <w:rFonts w:ascii="宋体" w:hAnsi="宋体" w:cs="宋体" w:eastAsia="宋体" w:hint="default"/>
                <w:sz w:val="18"/>
                <w:szCs w:val="18"/>
              </w:rPr>
            </w:pPr>
            <w:r>
              <w:rPr>
                <w:rFonts w:ascii="宋体" w:hAnsi="宋体" w:cs="宋体" w:eastAsia="宋体" w:hint="default"/>
                <w:sz w:val="18"/>
                <w:szCs w:val="18"/>
              </w:rPr>
              <w:t>报告期期末余额较年初减少</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，主要系公司在报告期内在建工程验收达到可使用状态，结转至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投资性房地产和固定资产所致。</w:t>
            </w: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869" w:type="dxa"/>
            <w:vMerge/>
            <w:tcBorders>
              <w:left w:val="single" w:sz="9" w:space="0" w:color="D2D2D2"/>
              <w:right w:val="single" w:sz="4" w:space="0" w:color="000000"/>
            </w:tcBorders>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9" w:type="dxa"/>
            <w:vMerge/>
            <w:tcBorders>
              <w:left w:val="single" w:sz="9" w:space="0" w:color="D2D2D2"/>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40.08%</w:t>
            </w:r>
            <w:r>
              <w:rPr>
                <w:rFonts w:ascii="宋体" w:hAnsi="宋体" w:cs="宋体" w:eastAsia="宋体" w:hint="default"/>
                <w:sz w:val="18"/>
                <w:szCs w:val="18"/>
              </w:rPr>
              <w:t>，主要系公司在报告期内收到客户款项增加所致。</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327.80%</w:t>
            </w:r>
            <w:r>
              <w:rPr>
                <w:rFonts w:ascii="宋体" w:hAnsi="宋体" w:cs="宋体" w:eastAsia="宋体" w:hint="default"/>
                <w:sz w:val="18"/>
                <w:szCs w:val="18"/>
              </w:rPr>
              <w:t>，主要系公司在报告期内预付供应商款项增加所致。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248.11%</w:t>
            </w:r>
            <w:r>
              <w:rPr>
                <w:rFonts w:ascii="宋体" w:hAnsi="宋体" w:cs="宋体" w:eastAsia="宋体" w:hint="default"/>
                <w:sz w:val="18"/>
                <w:szCs w:val="18"/>
              </w:rPr>
              <w:t>，主要系公司在报告期内支付给客户履约保证金增加所致。</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251.04%</w:t>
            </w:r>
            <w:r>
              <w:rPr>
                <w:rFonts w:ascii="宋体" w:hAnsi="宋体" w:cs="宋体" w:eastAsia="宋体" w:hint="default"/>
                <w:sz w:val="18"/>
                <w:szCs w:val="18"/>
              </w:rPr>
              <w:t>，主要系公司在报告期末未完工的系统集成项目较多所致。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139.30%</w:t>
            </w:r>
            <w:r>
              <w:rPr>
                <w:rFonts w:ascii="宋体" w:hAnsi="宋体" w:cs="宋体" w:eastAsia="宋体" w:hint="default"/>
                <w:sz w:val="18"/>
                <w:szCs w:val="18"/>
              </w:rPr>
              <w:t>，主要系公司在报告期内投资北京如智科技有限公司所致。</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5,163.26%</w:t>
            </w:r>
            <w:r>
              <w:rPr>
                <w:rFonts w:ascii="宋体" w:hAnsi="宋体" w:cs="宋体" w:eastAsia="宋体" w:hint="default"/>
                <w:sz w:val="18"/>
                <w:szCs w:val="18"/>
              </w:rPr>
              <w:t>，主要系公司在报告期内在建工程验收达到可使用状态，结转 至投资性房地产所致。</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，主要系公司在报告期内收购北京瑞得音信息技术有限公司，进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行合并报表产生的商誉。</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31.28%</w:t>
            </w:r>
            <w:r>
              <w:rPr>
                <w:rFonts w:ascii="宋体" w:hAnsi="宋体" w:cs="宋体" w:eastAsia="宋体" w:hint="default"/>
                <w:sz w:val="18"/>
                <w:szCs w:val="18"/>
              </w:rPr>
              <w:t>，主要系公司在报告期内办公室装修支出增加所致。</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45.29%</w:t>
            </w:r>
            <w:r>
              <w:rPr>
                <w:rFonts w:ascii="宋体" w:hAnsi="宋体" w:cs="宋体" w:eastAsia="宋体" w:hint="default"/>
                <w:sz w:val="18"/>
                <w:szCs w:val="18"/>
              </w:rPr>
              <w:t>，主要系公司在报告期内确认较大金额的暂时性可抵扣差异引起 的递延所得税资产所致。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，主要系公司在报告期内预付购建固定资产款项所致。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1133"/>
        <w:jc w:val="left"/>
      </w:pPr>
      <w:r>
        <w:rPr/>
        <w:t>软件与信息技术服务业</w:t>
      </w:r>
    </w:p>
    <w:p>
      <w:pPr>
        <w:pStyle w:val="BodyText"/>
        <w:spacing w:line="316" w:lineRule="auto" w:before="117"/>
        <w:ind w:left="513" w:right="0"/>
        <w:jc w:val="left"/>
      </w:pPr>
      <w:r>
        <w:rPr/>
        <w:t>（一）持续研发及技术创新能力 </w:t>
      </w:r>
      <w:r>
        <w:rPr>
          <w:spacing w:val="-2"/>
        </w:rPr>
        <w:t>自成立以来，公司始终紧跟金融行业</w:t>
      </w:r>
      <w:r>
        <w:rPr>
          <w:rFonts w:ascii="Times New Roman" w:hAnsi="Times New Roman" w:cs="Times New Roman" w:eastAsia="Times New Roman" w:hint="default"/>
          <w:spacing w:val="-2"/>
        </w:rPr>
        <w:t>IT</w:t>
      </w:r>
      <w:r>
        <w:rPr>
          <w:spacing w:val="-2"/>
        </w:rPr>
        <w:t>解决方案的发展趋势，以数据交换、渠道整合、支付结算、新一代中间业务、交</w:t>
      </w:r>
    </w:p>
    <w:p>
      <w:pPr>
        <w:pStyle w:val="BodyText"/>
        <w:spacing w:line="316" w:lineRule="auto"/>
        <w:ind w:right="1034"/>
        <w:jc w:val="left"/>
      </w:pPr>
      <w:r>
        <w:rPr>
          <w:spacing w:val="-4"/>
        </w:rPr>
        <w:t>易银行为业务主线，在新型渠道类解决方案领域已拥有较高的知名度及市场占有率。公司以提升金融行业信息化水平为己任，</w:t>
      </w:r>
      <w:r>
        <w:rPr>
          <w:spacing w:val="-44"/>
        </w:rPr>
        <w:t> </w:t>
      </w:r>
      <w:r>
        <w:rPr>
          <w:spacing w:val="-44"/>
        </w:rPr>
      </w:r>
      <w:r>
        <w:rPr>
          <w:spacing w:val="-2"/>
        </w:rPr>
        <w:t>通过不断创新、丰富、完善产品和服务，以技术创新支持客户业务快速创新，不断提升专业领域市场份额，持续打造公司核</w:t>
      </w:r>
      <w:r>
        <w:rPr>
          <w:spacing w:val="-67"/>
        </w:rPr>
        <w:t> </w:t>
      </w:r>
      <w:r>
        <w:rPr>
          <w:spacing w:val="-67"/>
        </w:rPr>
      </w:r>
      <w:r>
        <w:rPr/>
        <w:t>心竞争力。</w:t>
      </w:r>
    </w:p>
    <w:p>
      <w:pPr>
        <w:pStyle w:val="BodyText"/>
        <w:spacing w:line="316" w:lineRule="auto" w:before="19"/>
        <w:ind w:right="1133" w:firstLine="360"/>
        <w:jc w:val="left"/>
      </w:pPr>
      <w:r>
        <w:rPr>
          <w:spacing w:val="-2"/>
        </w:rPr>
        <w:t>依靠自主研发、持续更新的交换平台，利用其组件化、模型化、图形化设计，并提供集成开发、监控管理、服务管理等</w:t>
      </w:r>
      <w:r>
        <w:rPr/>
        <w:t> 工具，支持云环境部署，提升应用系统的安全性、健壮性、高性能及可维护性。</w:t>
      </w:r>
    </w:p>
    <w:p>
      <w:pPr>
        <w:pStyle w:val="BodyText"/>
        <w:spacing w:line="316" w:lineRule="auto" w:before="19"/>
        <w:ind w:right="0" w:firstLine="360"/>
        <w:jc w:val="left"/>
      </w:pPr>
      <w:r>
        <w:rPr>
          <w:spacing w:val="-2"/>
        </w:rPr>
        <w:t>公司在区块链领域加大研发投入，持续跟进相关主流的区块链平台以其开源社区版本，借助公司在贸易融资领域的业务</w:t>
      </w:r>
      <w:r>
        <w:rPr/>
        <w:t> 优势创新落地应用同时，积极对共识算法、加密算法和跨链技术等方面展开研究工作，通过区块链团队建设和自主研发的 </w:t>
      </w:r>
      <w:r>
        <w:rPr>
          <w:rFonts w:ascii="Times New Roman" w:hAnsi="Times New Roman" w:cs="Times New Roman" w:eastAsia="Times New Roman" w:hint="default"/>
        </w:rPr>
        <w:t>BaaS</w:t>
      </w:r>
      <w:r>
        <w:rPr/>
        <w:t>平台的推出，进一步夯实在区块链领域发展的基础。</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51" w:firstLine="360"/>
        <w:jc w:val="both"/>
      </w:pPr>
      <w:r>
        <w:rPr/>
        <w:t>公司的分布式云计算平台产品基于纯分布式、微服务、大数据架构设计，采用先进成熟的消息中间件、数据库中间件， 符合未来金融互联网化技术发展方向。提供涵盖开发、测试、投产、运行、运营全过程支撑，工程提供产品、应用、技术、 部署、实施全架构设计。基于高效的分布式弹性架构以及便捷的自动服务管理平台，支持整个系统无限扩充处理能力。</w:t>
      </w:r>
    </w:p>
    <w:p>
      <w:pPr>
        <w:pStyle w:val="BodyText"/>
        <w:spacing w:line="316" w:lineRule="auto" w:before="17"/>
        <w:ind w:left="513" w:right="0"/>
        <w:jc w:val="left"/>
      </w:pPr>
      <w:r>
        <w:rPr/>
        <w:t>（二）客户资源优势 </w:t>
      </w:r>
      <w:r>
        <w:rPr>
          <w:spacing w:val="-2"/>
        </w:rPr>
        <w:t>公司自成立以来，一直致力于为金融行业提供满足各类不同需求的</w:t>
      </w:r>
      <w:r>
        <w:rPr>
          <w:rFonts w:ascii="Times New Roman" w:hAnsi="Times New Roman" w:cs="Times New Roman" w:eastAsia="Times New Roman" w:hint="default"/>
          <w:spacing w:val="-2"/>
        </w:rPr>
        <w:t>IT</w:t>
      </w:r>
      <w:r>
        <w:rPr>
          <w:spacing w:val="-2"/>
        </w:rPr>
        <w:t>解决方案。在多年的发展过程中，公司积累了一批</w:t>
      </w:r>
    </w:p>
    <w:p>
      <w:pPr>
        <w:pStyle w:val="BodyText"/>
        <w:spacing w:line="309" w:lineRule="auto"/>
        <w:ind w:right="1131"/>
        <w:jc w:val="both"/>
      </w:pPr>
      <w:r>
        <w:rPr>
          <w:spacing w:val="-2"/>
        </w:rPr>
        <w:t>以银行业为主，涉及保险、债券等行业大中型企业的优质客户，形成了涵盖政策性银行、国有商业银行、股份制银行、城商</w:t>
      </w:r>
      <w:r>
        <w:rPr>
          <w:spacing w:val="-66"/>
        </w:rPr>
        <w:t> </w:t>
      </w:r>
      <w:r>
        <w:rPr>
          <w:spacing w:val="-66"/>
        </w:rPr>
      </w:r>
      <w:r>
        <w:rPr/>
        <w:t>行、农商行</w:t>
      </w:r>
      <w:r>
        <w:rPr>
          <w:rFonts w:ascii="Times New Roman" w:hAnsi="Times New Roman" w:cs="Times New Roman" w:eastAsia="Times New Roman" w:hint="default"/>
        </w:rPr>
        <w:t>/</w:t>
      </w:r>
      <w:r>
        <w:rPr/>
        <w:t>农村合作银行、农信社、外资银行、大中型保险机构、国债公司、金融资产交易所等在内的完整的、有层次的</w:t>
      </w:r>
      <w:r>
        <w:rPr>
          <w:spacing w:val="-51"/>
        </w:rPr>
        <w:t> </w:t>
      </w:r>
      <w:r>
        <w:rPr>
          <w:spacing w:val="-51"/>
        </w:rPr>
      </w:r>
      <w:r>
        <w:rPr/>
        <w:t>金融行业客户群，通过全面的软件产品及优质的服务满足不同客户的各阶段、差异化的信息化需求。</w:t>
      </w:r>
    </w:p>
    <w:p>
      <w:pPr>
        <w:pStyle w:val="BodyText"/>
        <w:spacing w:line="316" w:lineRule="auto" w:before="24"/>
        <w:ind w:right="0" w:firstLine="360"/>
        <w:jc w:val="left"/>
      </w:pPr>
      <w:r>
        <w:rPr>
          <w:spacing w:val="-2"/>
        </w:rPr>
        <w:t>公司与许多优质客户建立了长期稳定的合作关系，在长期为金融行业信息化提供服务的过程中，公司树立了良好的品牌</w:t>
      </w:r>
      <w:r>
        <w:rPr/>
        <w:t> 形象。目前新晨科技已成为业内拥有较高知名度和美誉度的品牌，服务质量和技术水平得到业界认可。</w:t>
      </w:r>
    </w:p>
    <w:p>
      <w:pPr>
        <w:pStyle w:val="BodyText"/>
        <w:spacing w:line="316" w:lineRule="auto" w:before="19"/>
        <w:ind w:left="513" w:right="1133"/>
        <w:jc w:val="left"/>
      </w:pPr>
      <w:r>
        <w:rPr/>
        <w:t>（三）深厚的金融行业实施经验 </w:t>
      </w:r>
      <w:r>
        <w:rPr>
          <w:spacing w:val="-2"/>
        </w:rPr>
        <w:t>金融行业信息化领域对</w:t>
      </w:r>
      <w:r>
        <w:rPr>
          <w:rFonts w:ascii="Times New Roman" w:hAnsi="Times New Roman" w:cs="Times New Roman" w:eastAsia="Times New Roman" w:hint="default"/>
          <w:spacing w:val="-2"/>
        </w:rPr>
        <w:t>IT</w:t>
      </w:r>
      <w:r>
        <w:rPr>
          <w:spacing w:val="-2"/>
        </w:rPr>
        <w:t>供应商的要求较高，不仅需要其在</w:t>
      </w:r>
      <w:r>
        <w:rPr>
          <w:rFonts w:ascii="Times New Roman" w:hAnsi="Times New Roman" w:cs="Times New Roman" w:eastAsia="Times New Roman" w:hint="default"/>
          <w:spacing w:val="-2"/>
        </w:rPr>
        <w:t>IT</w:t>
      </w:r>
      <w:r>
        <w:rPr>
          <w:spacing w:val="-2"/>
        </w:rPr>
        <w:t>系统开发、服务等方面有较高的技术水平，更强调对银行</w:t>
      </w:r>
    </w:p>
    <w:p>
      <w:pPr>
        <w:pStyle w:val="BodyText"/>
        <w:spacing w:line="307" w:lineRule="auto"/>
        <w:ind w:right="1051"/>
        <w:jc w:val="both"/>
      </w:pPr>
      <w:r>
        <w:rPr>
          <w:spacing w:val="-2"/>
        </w:rPr>
        <w:t>客户的业务情况、业务流程、业务需求、管理体制等有深入的了解，获取这些知识与经验均源于对金融客户长期的服务与积</w:t>
      </w:r>
      <w:r>
        <w:rPr>
          <w:spacing w:val="-64"/>
        </w:rPr>
        <w:t> </w:t>
      </w:r>
      <w:r>
        <w:rPr>
          <w:spacing w:val="-64"/>
        </w:rPr>
      </w:r>
      <w:r>
        <w:rPr>
          <w:spacing w:val="-2"/>
        </w:rPr>
        <w:t>累。公司创始团队拥有丰富的金融</w:t>
      </w:r>
      <w:r>
        <w:rPr>
          <w:rFonts w:ascii="Times New Roman" w:hAnsi="Times New Roman" w:cs="Times New Roman" w:eastAsia="Times New Roman" w:hint="default"/>
          <w:spacing w:val="-2"/>
        </w:rPr>
        <w:t>IT</w:t>
      </w:r>
      <w:r>
        <w:rPr>
          <w:spacing w:val="-2"/>
        </w:rPr>
        <w:t>部门工作经验，对金融业务情况及其</w:t>
      </w:r>
      <w:r>
        <w:rPr>
          <w:rFonts w:ascii="Times New Roman" w:hAnsi="Times New Roman" w:cs="Times New Roman" w:eastAsia="Times New Roman" w:hint="default"/>
          <w:spacing w:val="-2"/>
        </w:rPr>
        <w:t>IT</w:t>
      </w:r>
      <w:r>
        <w:rPr>
          <w:spacing w:val="-2"/>
        </w:rPr>
        <w:t>需求有着深刻的理解，其作为技术带头人带领公</w:t>
      </w:r>
      <w:r>
        <w:rPr>
          <w:spacing w:val="-43"/>
        </w:rPr>
        <w:t> </w:t>
      </w:r>
      <w:r>
        <w:rPr>
          <w:spacing w:val="-43"/>
        </w:rPr>
      </w:r>
      <w:r>
        <w:rPr>
          <w:spacing w:val="-2"/>
        </w:rPr>
        <w:t>司自</w:t>
      </w:r>
      <w:r>
        <w:rPr>
          <w:rFonts w:ascii="Times New Roman" w:hAnsi="Times New Roman" w:cs="Times New Roman" w:eastAsia="Times New Roman" w:hint="default"/>
          <w:spacing w:val="-2"/>
        </w:rPr>
        <w:t>1998</w:t>
      </w:r>
      <w:r>
        <w:rPr>
          <w:spacing w:val="-2"/>
        </w:rPr>
        <w:t>年成立以来一直致力于为金融机构提供专业信息化服务，目前已在金融行业信息化领域稳健经营二十年，积累了丰</w:t>
      </w:r>
      <w:r>
        <w:rPr>
          <w:spacing w:val="-62"/>
        </w:rPr>
        <w:t> </w:t>
      </w:r>
      <w:r>
        <w:rPr>
          <w:spacing w:val="-62"/>
        </w:rPr>
      </w:r>
      <w:r>
        <w:rPr/>
        <w:t>富的金融行业应用软件开发实施经验，公司开发的软件产品能够深度契合银行的相关需求，在同行业中具有较强竞争优势。</w:t>
      </w:r>
    </w:p>
    <w:p>
      <w:pPr>
        <w:pStyle w:val="BodyText"/>
        <w:spacing w:line="316" w:lineRule="auto" w:before="26"/>
        <w:ind w:left="513" w:right="0"/>
        <w:jc w:val="left"/>
      </w:pPr>
      <w:r>
        <w:rPr/>
        <w:t>（四）稳定的核心团队、结构合理、持续成长的人才梯队与专业能力优势 </w:t>
      </w:r>
      <w:r>
        <w:rPr>
          <w:spacing w:val="-2"/>
        </w:rPr>
        <w:t>金融信息系统自身的复杂性和专业性，要求开发人员具备丰富的行业经验、复合的知识结构以及技术积累。公司长期以</w:t>
      </w:r>
    </w:p>
    <w:p>
      <w:pPr>
        <w:pStyle w:val="BodyText"/>
        <w:spacing w:line="309" w:lineRule="auto" w:before="19"/>
        <w:ind w:right="1131"/>
        <w:jc w:val="both"/>
      </w:pPr>
      <w:r>
        <w:rPr>
          <w:spacing w:val="-2"/>
        </w:rPr>
        <w:t>来培养了一支融合了</w:t>
      </w:r>
      <w:r>
        <w:rPr>
          <w:rFonts w:ascii="Times New Roman" w:hAnsi="Times New Roman" w:cs="Times New Roman" w:eastAsia="Times New Roman" w:hint="default"/>
          <w:spacing w:val="-2"/>
        </w:rPr>
        <w:t>IT</w:t>
      </w:r>
      <w:r>
        <w:rPr>
          <w:spacing w:val="-2"/>
        </w:rPr>
        <w:t>技术、金融业务知识及行业管理经验的复合型人才队伍，对于高度复杂的金融信息系统开发具有独到</w:t>
      </w:r>
      <w:r>
        <w:rPr>
          <w:spacing w:val="-52"/>
        </w:rPr>
        <w:t> </w:t>
      </w:r>
      <w:r>
        <w:rPr>
          <w:spacing w:val="-52"/>
        </w:rPr>
      </w:r>
      <w:r>
        <w:rPr>
          <w:spacing w:val="-2"/>
        </w:rPr>
        <w:t>的理解能力和丰富的实施经验。公司形成了一系列符合市场要求及公司实际的考核机制，使得团队成员利益与公司发展保持</w:t>
      </w:r>
      <w:r>
        <w:rPr>
          <w:spacing w:val="-63"/>
        </w:rPr>
        <w:t> </w:t>
      </w:r>
      <w:r>
        <w:rPr>
          <w:spacing w:val="-63"/>
        </w:rPr>
      </w:r>
      <w:r>
        <w:rPr/>
        <w:t>高度一致。公司管理层深刻认同公司文化和经营管理理念，对金融信息化领域的发展方向具有敏锐的洞察力和前瞻性。</w:t>
      </w:r>
    </w:p>
    <w:p>
      <w:pPr>
        <w:pStyle w:val="BodyText"/>
        <w:spacing w:line="300" w:lineRule="auto" w:before="24"/>
        <w:ind w:right="0" w:firstLine="360"/>
        <w:jc w:val="left"/>
      </w:pPr>
      <w:r>
        <w:rPr>
          <w:spacing w:val="-1"/>
        </w:rPr>
        <w:t>同时，公司经过长期不断发展，目前已拥有</w:t>
      </w:r>
      <w:r>
        <w:rPr>
          <w:rFonts w:ascii="Times New Roman" w:hAnsi="Times New Roman" w:cs="Times New Roman" w:eastAsia="Times New Roman" w:hint="default"/>
          <w:spacing w:val="-1"/>
        </w:rPr>
        <w:t>1,000</w:t>
      </w:r>
      <w:r>
        <w:rPr>
          <w:spacing w:val="-1"/>
        </w:rPr>
        <w:t>余名熟悉</w:t>
      </w:r>
      <w:r>
        <w:rPr>
          <w:rFonts w:ascii="Times New Roman" w:hAnsi="Times New Roman" w:cs="Times New Roman" w:eastAsia="Times New Roman" w:hint="default"/>
          <w:spacing w:val="-1"/>
        </w:rPr>
        <w:t>IT</w:t>
      </w:r>
      <w:r>
        <w:rPr>
          <w:spacing w:val="-1"/>
        </w:rPr>
        <w:t>技术和银行业务的老、中、青结合的、复合型的人才队伍，</w:t>
      </w:r>
      <w:r>
        <w:rPr/>
        <w:t> 研发、技术和项目实施人员占员工总数比例近</w:t>
      </w:r>
      <w:r>
        <w:rPr>
          <w:rFonts w:ascii="Times New Roman" w:hAnsi="Times New Roman" w:cs="Times New Roman" w:eastAsia="Times New Roman" w:hint="default"/>
        </w:rPr>
        <w:t>80%</w:t>
      </w:r>
      <w:r>
        <w:rPr/>
        <w:t>，充分满足了公司未来稳定发展。公司不断扩大的业务规模为团队建设及 人才培养提供了良好的机遇，技术人员队伍越来越专业化，建立了经验丰富的各类专业实施与服务人才梯队。</w:t>
      </w:r>
    </w:p>
    <w:p>
      <w:pPr>
        <w:pStyle w:val="BodyText"/>
        <w:spacing w:line="319" w:lineRule="auto" w:before="31"/>
        <w:ind w:right="0" w:firstLine="360"/>
        <w:jc w:val="left"/>
      </w:pPr>
      <w:r>
        <w:rPr>
          <w:spacing w:val="-2"/>
        </w:rPr>
        <w:t>公司注重对员工业务和技术能力的持续学习、锻炼和培养，对相关业务和技术知识进行归纳总结，形成简明扼要、通俗</w:t>
      </w:r>
      <w:r>
        <w:rPr/>
        <w:t> </w:t>
      </w:r>
      <w:r>
        <w:rPr>
          <w:spacing w:val="-2"/>
        </w:rPr>
        <w:t>易懂的知识体系，并通过有效培训使员工快速领会和掌握，不断保持和扩大公司人才队伍。公司在薪资待遇、发展方向、上</w:t>
      </w:r>
      <w:r>
        <w:rPr>
          <w:spacing w:val="-67"/>
        </w:rPr>
        <w:t> </w:t>
      </w:r>
      <w:r>
        <w:rPr>
          <w:spacing w:val="-67"/>
        </w:rPr>
      </w:r>
      <w:r>
        <w:rPr>
          <w:spacing w:val="-4"/>
        </w:rPr>
        <w:t>升空间、企业文化等方面增强员工对公司的认同感。与此同时，公司强化人才发展战略，注重人才的引进和培养，报告期内，</w:t>
      </w:r>
      <w:r>
        <w:rPr>
          <w:spacing w:val="-43"/>
        </w:rPr>
        <w:t> </w:t>
      </w:r>
      <w:r>
        <w:rPr>
          <w:spacing w:val="-43"/>
        </w:rPr>
      </w:r>
      <w:r>
        <w:rPr>
          <w:spacing w:val="-2"/>
        </w:rPr>
        <w:t>不断引入专业人才团队，进一步提升了公司专业服务能力，未来将积极探索与各大高校和相关研究机构进行产学研合作，更</w:t>
      </w:r>
      <w:r>
        <w:rPr>
          <w:spacing w:val="-63"/>
        </w:rPr>
        <w:t> </w:t>
      </w:r>
      <w:r>
        <w:rPr>
          <w:spacing w:val="-63"/>
        </w:rPr>
      </w:r>
      <w:r>
        <w:rPr/>
        <w:t>好地提升公司的核心竞争力，促进公司可持续发展。</w:t>
      </w:r>
    </w:p>
    <w:p>
      <w:pPr>
        <w:pStyle w:val="BodyText"/>
        <w:spacing w:line="316" w:lineRule="auto" w:before="17"/>
        <w:ind w:left="513" w:right="0"/>
        <w:jc w:val="left"/>
      </w:pPr>
      <w:r>
        <w:rPr/>
        <w:t>（五）全国性的战略布局 </w:t>
      </w:r>
      <w:r>
        <w:rPr>
          <w:spacing w:val="-2"/>
        </w:rPr>
        <w:t>公司建立了全国性的营销和服务网络。公司总部位于北京，现拥有</w:t>
      </w:r>
      <w:r>
        <w:rPr>
          <w:rFonts w:ascii="Times New Roman" w:hAnsi="Times New Roman" w:cs="Times New Roman" w:eastAsia="Times New Roman" w:hint="default"/>
          <w:spacing w:val="-2"/>
        </w:rPr>
        <w:t>8</w:t>
      </w:r>
      <w:r>
        <w:rPr>
          <w:spacing w:val="-2"/>
        </w:rPr>
        <w:t>家子公司及</w:t>
      </w:r>
      <w:r>
        <w:rPr>
          <w:rFonts w:ascii="Times New Roman" w:hAnsi="Times New Roman" w:cs="Times New Roman" w:eastAsia="Times New Roman" w:hint="default"/>
          <w:spacing w:val="-2"/>
        </w:rPr>
        <w:t>1</w:t>
      </w:r>
      <w:r>
        <w:rPr>
          <w:spacing w:val="-2"/>
        </w:rPr>
        <w:t>家分公司，形成了覆盖华北、华东、华</w:t>
      </w:r>
    </w:p>
    <w:p>
      <w:pPr>
        <w:pStyle w:val="BodyText"/>
        <w:spacing w:line="316" w:lineRule="auto"/>
        <w:ind w:left="513" w:right="0" w:hanging="361"/>
        <w:jc w:val="left"/>
      </w:pPr>
      <w:r>
        <w:rPr/>
        <w:t>南和华中地区的全国性营销及服务网络，公司的客户范围遍及全国。 </w:t>
      </w:r>
      <w:r>
        <w:rPr>
          <w:spacing w:val="-4"/>
        </w:rPr>
        <w:t>全国性的战略布局不仅提高了公司对客户响应速度，有效提升了服务质量，同时有利于公司对于区域性金融机构的拓展，</w:t>
      </w:r>
    </w:p>
    <w:p>
      <w:pPr>
        <w:pStyle w:val="BodyText"/>
        <w:spacing w:line="240" w:lineRule="auto" w:before="19"/>
        <w:ind w:right="0"/>
        <w:jc w:val="both"/>
      </w:pPr>
      <w:r>
        <w:rPr/>
        <w:t>有利于把握未来城市商业银行和农村商业银行</w:t>
      </w:r>
      <w:r>
        <w:rPr>
          <w:rFonts w:ascii="Times New Roman" w:hAnsi="Times New Roman" w:cs="Times New Roman" w:eastAsia="Times New Roman" w:hint="default"/>
        </w:rPr>
        <w:t>IT</w:t>
      </w:r>
      <w:r>
        <w:rPr/>
        <w:t>系统建设及更新换代的良好机遇。</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0" w:firstLine="360"/>
        <w:jc w:val="left"/>
      </w:pPr>
      <w:r>
        <w:rPr>
          <w:rFonts w:ascii="Times New Roman" w:hAnsi="Times New Roman" w:cs="Times New Roman" w:eastAsia="Times New Roman" w:hint="default"/>
          <w:spacing w:val="-4"/>
        </w:rPr>
        <w:t>2018</w:t>
      </w:r>
      <w:r>
        <w:rPr>
          <w:spacing w:val="-4"/>
        </w:rPr>
        <w:t>年，是实施“十三五”规划承上启下的关键一年，新晨科技作为专业的信息化服务提供商，以“团结、拼搏、创新、</w:t>
      </w:r>
      <w:r>
        <w:rPr/>
        <w:t> </w:t>
      </w:r>
      <w:r>
        <w:rPr>
          <w:spacing w:val="-2"/>
        </w:rPr>
        <w:t>发展”为指导思想，在董事会的正确领导下，在公司全体员工的共同努力下，做专做强做大存量业务，加大投资并购和资源</w:t>
      </w:r>
      <w:r>
        <w:rPr>
          <w:spacing w:val="-67"/>
        </w:rPr>
        <w:t> </w:t>
      </w:r>
      <w:r>
        <w:rPr>
          <w:spacing w:val="-67"/>
        </w:rPr>
      </w:r>
      <w:r>
        <w:rPr>
          <w:spacing w:val="-4"/>
        </w:rPr>
        <w:t>整合力度，持续贯彻自主经营理念，聚焦创新和高质量技术服务，克服经济形势复杂多变、行业竞争进一步加剧等不利因素，</w:t>
      </w:r>
      <w:r>
        <w:rPr>
          <w:spacing w:val="-46"/>
        </w:rPr>
        <w:t> </w:t>
      </w:r>
      <w:r>
        <w:rPr>
          <w:spacing w:val="-46"/>
        </w:rPr>
      </w:r>
      <w:r>
        <w:rPr/>
        <w:t>较好地完成了各项经营任务。</w:t>
      </w:r>
    </w:p>
    <w:p>
      <w:pPr>
        <w:pStyle w:val="BodyText"/>
        <w:spacing w:line="300" w:lineRule="auto" w:before="22"/>
        <w:ind w:right="1117" w:firstLine="360"/>
        <w:jc w:val="both"/>
      </w:pPr>
      <w:r>
        <w:rPr/>
        <w:t>报告期内，公司实现营业总收入 </w:t>
      </w:r>
      <w:r>
        <w:rPr>
          <w:rFonts w:ascii="Times New Roman" w:hAnsi="Times New Roman" w:cs="Times New Roman" w:eastAsia="Times New Roman" w:hint="default"/>
        </w:rPr>
        <w:t>81,918.98 </w:t>
      </w:r>
      <w:r>
        <w:rPr/>
        <w:t>万元，较去年同期增长</w:t>
      </w:r>
      <w:r>
        <w:rPr>
          <w:rFonts w:ascii="Times New Roman" w:hAnsi="Times New Roman" w:cs="Times New Roman" w:eastAsia="Times New Roman" w:hint="default"/>
        </w:rPr>
        <w:t>35.08%</w:t>
      </w:r>
      <w:r>
        <w:rPr/>
        <w:t>；实现营业利润 </w:t>
      </w:r>
      <w:r>
        <w:rPr>
          <w:rFonts w:ascii="Times New Roman" w:hAnsi="Times New Roman" w:cs="Times New Roman" w:eastAsia="Times New Roman" w:hint="default"/>
        </w:rPr>
        <w:t>5,302.61</w:t>
      </w:r>
      <w:r>
        <w:rPr>
          <w:rFonts w:ascii="Times New Roman" w:hAnsi="Times New Roman" w:cs="Times New Roman" w:eastAsia="Times New Roman" w:hint="default"/>
          <w:spacing w:val="30"/>
        </w:rPr>
        <w:t> </w:t>
      </w:r>
      <w:r>
        <w:rPr/>
        <w:t>万元，较去年同期 </w:t>
      </w:r>
      <w:r>
        <w:rPr>
          <w:spacing w:val="7"/>
        </w:rPr>
        <w:t>增长</w:t>
      </w:r>
      <w:r>
        <w:rPr>
          <w:rFonts w:ascii="Times New Roman" w:hAnsi="Times New Roman" w:cs="Times New Roman" w:eastAsia="Times New Roman" w:hint="default"/>
          <w:spacing w:val="7"/>
        </w:rPr>
        <w:t>38.10%</w:t>
      </w:r>
      <w:r>
        <w:rPr>
          <w:spacing w:val="7"/>
        </w:rPr>
        <w:t>，实现归属于上市公司股东的净利润为</w:t>
      </w:r>
      <w:r>
        <w:rPr>
          <w:rFonts w:ascii="Times New Roman" w:hAnsi="Times New Roman" w:cs="Times New Roman" w:eastAsia="Times New Roman" w:hint="default"/>
          <w:spacing w:val="7"/>
        </w:rPr>
        <w:t>3,836.85</w:t>
      </w:r>
      <w:r>
        <w:rPr>
          <w:rFonts w:ascii="Times New Roman" w:hAnsi="Times New Roman" w:cs="Times New Roman" w:eastAsia="Times New Roman" w:hint="default"/>
          <w:spacing w:val="19"/>
        </w:rPr>
        <w:t> </w:t>
      </w:r>
      <w:r>
        <w:rPr>
          <w:spacing w:val="10"/>
        </w:rPr>
        <w:t>万元，较去年同期增长</w:t>
      </w:r>
      <w:r>
        <w:rPr>
          <w:rFonts w:ascii="Times New Roman" w:hAnsi="Times New Roman" w:cs="Times New Roman" w:eastAsia="Times New Roman" w:hint="default"/>
          <w:spacing w:val="10"/>
        </w:rPr>
        <w:t>6.03%</w:t>
      </w:r>
      <w:r>
        <w:rPr>
          <w:spacing w:val="10"/>
        </w:rPr>
        <w:t>。报告期末，公司总资产为</w:t>
      </w:r>
      <w:r>
        <w:rPr>
          <w:spacing w:val="12"/>
        </w:rPr>
        <w:t> </w:t>
      </w:r>
      <w:r>
        <w:rPr>
          <w:rFonts w:ascii="Times New Roman" w:hAnsi="Times New Roman" w:cs="Times New Roman" w:eastAsia="Times New Roman" w:hint="default"/>
        </w:rPr>
        <w:t>121,955.21</w:t>
      </w:r>
      <w:r>
        <w:rPr/>
        <w:t>万元，较年初增长</w:t>
      </w:r>
      <w:r>
        <w:rPr>
          <w:rFonts w:ascii="Times New Roman" w:hAnsi="Times New Roman" w:cs="Times New Roman" w:eastAsia="Times New Roman" w:hint="default"/>
        </w:rPr>
        <w:t>54.47%</w:t>
      </w:r>
      <w:r>
        <w:rPr/>
        <w:t>；归属于上市公司股东的所有者权益为</w:t>
      </w:r>
      <w:r>
        <w:rPr>
          <w:rFonts w:ascii="Times New Roman" w:hAnsi="Times New Roman" w:cs="Times New Roman" w:eastAsia="Times New Roman" w:hint="default"/>
        </w:rPr>
        <w:t>63,746.93</w:t>
      </w:r>
      <w:r>
        <w:rPr/>
        <w:t>万元，较期初增长</w:t>
      </w:r>
      <w:r>
        <w:rPr>
          <w:rFonts w:ascii="Times New Roman" w:hAnsi="Times New Roman" w:cs="Times New Roman" w:eastAsia="Times New Roman" w:hint="default"/>
        </w:rPr>
        <w:t>7.11%</w:t>
      </w:r>
      <w:r>
        <w:rPr/>
        <w:t>。</w:t>
      </w:r>
    </w:p>
    <w:p>
      <w:pPr>
        <w:pStyle w:val="BodyText"/>
        <w:spacing w:line="240" w:lineRule="auto" w:before="13"/>
        <w:ind w:left="513" w:right="1133"/>
        <w:jc w:val="left"/>
      </w:pPr>
      <w:r>
        <w:rPr/>
        <w:t>（一）在经营方面，公司围绕大客户精耕细作，积极开拓新的市场，金融业务保持持续增长。</w:t>
      </w:r>
    </w:p>
    <w:p>
      <w:pPr>
        <w:pStyle w:val="BodyText"/>
        <w:spacing w:line="312" w:lineRule="auto" w:before="76"/>
        <w:ind w:right="1034" w:firstLine="360"/>
        <w:jc w:val="left"/>
      </w:pPr>
      <w:r>
        <w:rPr>
          <w:rFonts w:ascii="Times New Roman" w:hAnsi="Times New Roman" w:cs="Times New Roman" w:eastAsia="Times New Roman" w:hint="default"/>
          <w:spacing w:val="-2"/>
        </w:rPr>
        <w:t>1</w:t>
      </w:r>
      <w:r>
        <w:rPr>
          <w:spacing w:val="-2"/>
        </w:rPr>
        <w:t>、软件开发业务。公司软件业务以金融</w:t>
      </w:r>
      <w:r>
        <w:rPr>
          <w:rFonts w:ascii="Times New Roman" w:hAnsi="Times New Roman" w:cs="Times New Roman" w:eastAsia="Times New Roman" w:hint="default"/>
          <w:spacing w:val="-2"/>
        </w:rPr>
        <w:t>IT</w:t>
      </w:r>
      <w:r>
        <w:rPr>
          <w:spacing w:val="-2"/>
        </w:rPr>
        <w:t>解决方案为核心，坚持聚焦产品和大客户，继续保持与中信银行、邮储银行、</w:t>
      </w:r>
      <w:r>
        <w:rPr/>
        <w:t> 太平保险、光大银行、中国进出口银行、中央国债等战略客户的良好合作，并积极开拓了南洋商业银行等新的金融大客户。 </w:t>
      </w:r>
      <w:r>
        <w:rPr>
          <w:spacing w:val="-2"/>
        </w:rPr>
        <w:t>报告期内，新晨科技除了在金融客户的渠道整合云平台、协作云平台、国际结算系统、交易银行以及贵金属系统等方面保持</w:t>
      </w:r>
      <w:r>
        <w:rPr>
          <w:spacing w:val="-64"/>
        </w:rPr>
        <w:t> </w:t>
      </w:r>
      <w:r>
        <w:rPr>
          <w:spacing w:val="-64"/>
        </w:rPr>
      </w:r>
      <w:r>
        <w:rPr/>
        <w:t>竞争优势外，在互联网金融领域也取得突破，成功实施了邮储银行互联网金融平台项目。</w:t>
      </w:r>
    </w:p>
    <w:p>
      <w:pPr>
        <w:pStyle w:val="BodyText"/>
        <w:spacing w:line="309" w:lineRule="auto" w:before="22"/>
        <w:ind w:right="1130" w:firstLine="360"/>
        <w:jc w:val="both"/>
      </w:pPr>
      <w:r>
        <w:rPr>
          <w:rFonts w:ascii="Times New Roman" w:hAnsi="Times New Roman" w:cs="Times New Roman" w:eastAsia="Times New Roman" w:hint="default"/>
        </w:rPr>
        <w:t>2</w:t>
      </w:r>
      <w:r>
        <w:rPr/>
        <w:t>、系统集成业务。报告期内，公司集成业务坚持聚焦数据中心服务，加速向新一代数据中心服务智能化、流程化和一 </w:t>
      </w:r>
      <w:r>
        <w:rPr>
          <w:spacing w:val="-2"/>
        </w:rPr>
        <w:t>体化转型，在中信银行等大客户方面保持了高速增长态势下，公司的系统集成业务在光大银行、中国人民银行以及邮储银行</w:t>
      </w:r>
      <w:r>
        <w:rPr>
          <w:spacing w:val="-63"/>
        </w:rPr>
        <w:t> </w:t>
      </w:r>
      <w:r>
        <w:rPr>
          <w:spacing w:val="-63"/>
        </w:rPr>
      </w:r>
      <w:r>
        <w:rPr/>
        <w:t>等客户方面也取得了突破性进展。</w:t>
      </w:r>
    </w:p>
    <w:p>
      <w:pPr>
        <w:pStyle w:val="BodyText"/>
        <w:spacing w:line="309" w:lineRule="auto" w:before="24"/>
        <w:ind w:right="1133" w:firstLine="360"/>
        <w:jc w:val="both"/>
      </w:pPr>
      <w:r>
        <w:rPr>
          <w:rFonts w:ascii="Times New Roman" w:hAnsi="Times New Roman" w:cs="Times New Roman" w:eastAsia="Times New Roman" w:hint="default"/>
        </w:rPr>
        <w:t>3</w:t>
      </w:r>
      <w:r>
        <w:rPr/>
        <w:t>、专业技术服务业务。报告期内，公司的专业技术服务主要是基于软件开发和系统集成业务为客户提供技术支持及运 </w:t>
      </w:r>
      <w:r>
        <w:rPr>
          <w:spacing w:val="-2"/>
        </w:rPr>
        <w:t>营维护等服务，形成了由标准服务、高级服务和咨询服务构成的多级服务体系，从行业客户的战略方案制订、系统策划、项</w:t>
      </w:r>
      <w:r>
        <w:rPr>
          <w:spacing w:val="-67"/>
        </w:rPr>
        <w:t> </w:t>
      </w:r>
      <w:r>
        <w:rPr>
          <w:spacing w:val="-67"/>
        </w:rPr>
      </w:r>
      <w:r>
        <w:rPr/>
        <w:t>目建设等方面，为客户提供产品升级和行业技术咨询服务与培训。</w:t>
      </w:r>
    </w:p>
    <w:p>
      <w:pPr>
        <w:pStyle w:val="BodyText"/>
        <w:spacing w:line="316" w:lineRule="auto" w:before="24"/>
        <w:ind w:left="513" w:right="1133"/>
        <w:jc w:val="left"/>
      </w:pPr>
      <w:r>
        <w:rPr/>
        <w:t>（二）在管理方面，进一步加强信息化建设以及内部流程优化。 </w:t>
      </w:r>
      <w:r>
        <w:rPr>
          <w:spacing w:val="-2"/>
        </w:rPr>
        <w:t>报告期内，公司升级了人力资源系统，进一步增强了公司信息化水平，提升了公司管理能力。同时，公司优化了合同审</w:t>
      </w:r>
    </w:p>
    <w:p>
      <w:pPr>
        <w:pStyle w:val="BodyText"/>
        <w:spacing w:line="240" w:lineRule="auto" w:before="19"/>
        <w:ind w:right="0"/>
        <w:jc w:val="both"/>
      </w:pPr>
      <w:r>
        <w:rPr/>
        <w:t>核、项目立项审批等流程，从而有效提高了管理效率。</w:t>
      </w:r>
    </w:p>
    <w:p>
      <w:pPr>
        <w:pStyle w:val="BodyText"/>
        <w:spacing w:line="316" w:lineRule="auto" w:before="76"/>
        <w:ind w:left="513" w:right="0"/>
        <w:jc w:val="left"/>
      </w:pPr>
      <w:r>
        <w:rPr/>
        <w:t>（三）在研发方面，重点推进募投项目的顺利实施及客户化应用。 </w:t>
      </w:r>
      <w:r>
        <w:rPr>
          <w:spacing w:val="-2"/>
        </w:rPr>
        <w:t>报告期内，为实现募投项目的预定投资计划，公司加大了研发投入，确保了募投项目的顺利实施及客户化应用。完成了</w:t>
      </w:r>
    </w:p>
    <w:p>
      <w:pPr>
        <w:pStyle w:val="BodyText"/>
        <w:spacing w:line="316" w:lineRule="auto" w:before="19"/>
        <w:ind w:right="1049"/>
        <w:jc w:val="both"/>
      </w:pPr>
      <w:r>
        <w:rPr/>
        <w:t>渠道整合平台研发项目、新一代贸易融资结算系统研发项目和新一代交换平台研发项目等三个募投项目的研发结项，另外， 国家空管数据信息服务体系研发项目也有了一定进展。</w:t>
      </w:r>
    </w:p>
    <w:p>
      <w:pPr>
        <w:pStyle w:val="BodyText"/>
        <w:spacing w:line="316" w:lineRule="auto" w:before="19"/>
        <w:ind w:left="513" w:right="0"/>
        <w:jc w:val="left"/>
      </w:pPr>
      <w:r>
        <w:rPr/>
        <w:t>（四）在创新方面，依托创新实验室，坚持科技引领，持续加大创新研发投入。 </w:t>
      </w:r>
      <w:r>
        <w:rPr>
          <w:spacing w:val="-2"/>
        </w:rPr>
        <w:t>报告期内，公司继续关注于区块链、云计算以及大数据等新技术在行业应用的落地研究以及创新研发，为公司经营寻求</w:t>
      </w:r>
    </w:p>
    <w:p>
      <w:pPr>
        <w:pStyle w:val="BodyText"/>
        <w:spacing w:line="307" w:lineRule="auto" w:before="19"/>
        <w:ind w:right="1131"/>
        <w:jc w:val="both"/>
      </w:pPr>
      <w:r>
        <w:rPr>
          <w:spacing w:val="-2"/>
        </w:rPr>
        <w:t>新的业务增长点。特别是在区块链方面，公司利用自身在贸易融资领域强大的专业能力，结合区块链技术专家团队，研发出</w:t>
      </w:r>
      <w:r>
        <w:rPr>
          <w:spacing w:val="-65"/>
        </w:rPr>
        <w:t> </w:t>
      </w:r>
      <w:r>
        <w:rPr>
          <w:spacing w:val="-65"/>
        </w:rPr>
      </w:r>
      <w:r>
        <w:rPr/>
        <w:t>了基于区块链技术的贸易融资产品及解决方案。在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月成功上线了基于区块链技术的国内信用证系统之后，本报告期</w:t>
      </w:r>
      <w:r>
        <w:rPr>
          <w:spacing w:val="-85"/>
        </w:rPr>
        <w:t> </w:t>
      </w:r>
      <w:r>
        <w:rPr>
          <w:spacing w:val="-85"/>
        </w:rPr>
      </w:r>
      <w:r>
        <w:rPr/>
        <w:t>内，公司进行了基于区块链技术的福费廷业务的应用研发，并于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日成功上线，完成了首笔某国有大型银行和某</w:t>
      </w:r>
      <w:r>
        <w:rPr>
          <w:spacing w:val="-85"/>
        </w:rPr>
        <w:t> </w:t>
      </w:r>
      <w:r>
        <w:rPr>
          <w:spacing w:val="-85"/>
        </w:rPr>
      </w:r>
      <w:r>
        <w:rPr/>
        <w:t>股份制银行间的链上业务。同时，基于区块链技术的供应链平台的研发也取得了较大进展。</w:t>
      </w:r>
    </w:p>
    <w:p>
      <w:pPr>
        <w:pStyle w:val="BodyText"/>
        <w:spacing w:line="304" w:lineRule="auto" w:before="26"/>
        <w:ind w:right="1034" w:firstLine="360"/>
        <w:jc w:val="left"/>
      </w:pPr>
      <w:r>
        <w:rPr>
          <w:spacing w:val="-2"/>
        </w:rPr>
        <w:t>在云计算方面，公司自主研发了分布式交易平台。该平台以互联网开源的</w:t>
      </w:r>
      <w:r>
        <w:rPr>
          <w:rFonts w:ascii="Times New Roman" w:hAnsi="Times New Roman" w:cs="Times New Roman" w:eastAsia="Times New Roman" w:hint="default"/>
          <w:spacing w:val="-2"/>
        </w:rPr>
        <w:t>dubbox</w:t>
      </w:r>
      <w:r>
        <w:rPr>
          <w:spacing w:val="-2"/>
        </w:rPr>
        <w:t>为基础，以去中心化的思想，引入众多</w:t>
      </w:r>
      <w:r>
        <w:rPr/>
        <w:t> 优秀的开源技术，结合多年的金融行业项目经验，打造出面向云环境的分布式微服务架构。该架构支持传统的</w:t>
      </w:r>
      <w:r>
        <w:rPr>
          <w:rFonts w:ascii="Times New Roman" w:hAnsi="Times New Roman" w:cs="Times New Roman" w:eastAsia="Times New Roman" w:hint="default"/>
        </w:rPr>
        <w:t>http</w:t>
      </w:r>
      <w:r>
        <w:rPr/>
        <w:t>协议和新 </w:t>
      </w:r>
      <w:r>
        <w:rPr>
          <w:spacing w:val="-2"/>
        </w:rPr>
        <w:t>兴的互联网流行的</w:t>
      </w:r>
      <w:r>
        <w:rPr>
          <w:rFonts w:ascii="Times New Roman" w:hAnsi="Times New Roman" w:cs="Times New Roman" w:eastAsia="Times New Roman" w:hint="default"/>
          <w:spacing w:val="-2"/>
        </w:rPr>
        <w:t>Soap</w:t>
      </w:r>
      <w:r>
        <w:rPr>
          <w:spacing w:val="-2"/>
        </w:rPr>
        <w:t>协议相结合的方式，实现了以内存数据库、可靠的消息中间件、分布式协调服务、统一配置管理为基</w:t>
      </w:r>
      <w:r>
        <w:rPr>
          <w:spacing w:val="-62"/>
        </w:rPr>
        <w:t> </w:t>
      </w:r>
      <w:r>
        <w:rPr>
          <w:spacing w:val="-62"/>
        </w:rPr>
      </w:r>
      <w:r>
        <w:rPr/>
        <w:t>础结构，以通讯协议、报文格式、软件负载、服务周期管理、公共组件为核心结构，通过集成开发环境、服务的管理系统、</w:t>
      </w:r>
      <w:r>
        <w:rPr/>
        <w:t> 监控系统为辅助的一体化开发平台。</w:t>
      </w:r>
    </w:p>
    <w:p>
      <w:pPr>
        <w:pStyle w:val="BodyText"/>
        <w:spacing w:line="316" w:lineRule="auto" w:before="27"/>
        <w:ind w:left="513" w:right="0"/>
        <w:jc w:val="left"/>
      </w:pPr>
      <w:r>
        <w:rPr/>
        <w:t>（五）在战略投资方面，坚持战略引领，投资驱动，积极布局增量业务。 </w:t>
      </w:r>
      <w:r>
        <w:rPr>
          <w:spacing w:val="-2"/>
        </w:rPr>
        <w:t>报告期内，公司通过收购和参股企业等方式在战略投资方面实现突破，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月，以现金方式收购北京瑞得音信息技</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jc w:val="both"/>
      </w:pPr>
      <w:r>
        <w:rPr/>
        <w:t>术有限公司</w:t>
      </w:r>
      <w:r>
        <w:rPr>
          <w:rFonts w:ascii="Times New Roman" w:hAnsi="Times New Roman" w:cs="Times New Roman" w:eastAsia="Times New Roman" w:hint="default"/>
        </w:rPr>
        <w:t>51%</w:t>
      </w:r>
      <w:r>
        <w:rPr/>
        <w:t>股权，该公司是专业的</w:t>
      </w:r>
      <w:r>
        <w:rPr>
          <w:rFonts w:ascii="Times New Roman" w:hAnsi="Times New Roman" w:cs="Times New Roman" w:eastAsia="Times New Roman" w:hint="default"/>
        </w:rPr>
        <w:t>ICT</w:t>
      </w:r>
      <w:r>
        <w:rPr/>
        <w:t>（信息和通信技术）服务整体解决方案提供商，从事项目实施、运行维护、故障</w:t>
      </w:r>
      <w:r>
        <w:rPr>
          <w:spacing w:val="-77"/>
        </w:rPr>
        <w:t> </w:t>
      </w:r>
      <w:r>
        <w:rPr>
          <w:spacing w:val="-77"/>
        </w:rPr>
      </w:r>
      <w:r>
        <w:rPr/>
        <w:t>处理、增值服务、咨询培训等业务的高新技术企业；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月，出资设立北京如智科技有限公司，该公司注册资本</w:t>
      </w:r>
      <w:r>
        <w:rPr>
          <w:rFonts w:ascii="Times New Roman" w:hAnsi="Times New Roman" w:cs="Times New Roman" w:eastAsia="Times New Roman" w:hint="default"/>
        </w:rPr>
        <w:t>700</w:t>
      </w:r>
      <w:r>
        <w:rPr/>
        <w:t>万</w:t>
      </w:r>
      <w:r>
        <w:rPr>
          <w:spacing w:val="-84"/>
        </w:rPr>
        <w:t> </w:t>
      </w:r>
      <w:r>
        <w:rPr>
          <w:spacing w:val="-1"/>
        </w:rPr>
        <w:t>元，新晨科技占其注册资本的</w:t>
      </w:r>
      <w:r>
        <w:rPr>
          <w:rFonts w:ascii="Times New Roman" w:hAnsi="Times New Roman" w:cs="Times New Roman" w:eastAsia="Times New Roman" w:hint="default"/>
          <w:spacing w:val="-1"/>
        </w:rPr>
        <w:t>19.9%</w:t>
      </w:r>
      <w:r>
        <w:rPr>
          <w:spacing w:val="-1"/>
        </w:rPr>
        <w:t>，该公司以汽车后服务市场的转型升级为核心，通过大数据和区块链技术的应用，优化</w:t>
      </w:r>
      <w:r>
        <w:rPr>
          <w:spacing w:val="-43"/>
        </w:rPr>
        <w:t> </w:t>
      </w:r>
      <w:r>
        <w:rPr>
          <w:spacing w:val="-43"/>
        </w:rPr>
      </w:r>
      <w:r>
        <w:rPr/>
        <w:t>汽车服务实体的管理系统，完成汽车供应链的可追溯及客户评价与实体的技术对接。</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9"/>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974"/>
        <w:jc w:val="left"/>
      </w:pPr>
      <w:r>
        <w:rPr/>
        <w:t>公司是否需要遵守光伏产业链相关业的披露要求 否</w:t>
      </w:r>
    </w:p>
    <w:p>
      <w:pPr>
        <w:pStyle w:val="BodyText"/>
        <w:spacing w:line="340" w:lineRule="auto" w:before="25"/>
        <w:ind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05"/>
        <w:gridCol w:w="1100"/>
        <w:gridCol w:w="1184"/>
        <w:gridCol w:w="1181"/>
        <w:gridCol w:w="1181"/>
        <w:gridCol w:w="1090"/>
        <w:gridCol w:w="1181"/>
        <w:gridCol w:w="1181"/>
        <w:gridCol w:w="1183"/>
      </w:tblGrid>
      <w:tr>
        <w:trPr>
          <w:trHeight w:val="206" w:hRule="exact"/>
        </w:trPr>
        <w:tc>
          <w:tcPr>
            <w:tcW w:w="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464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63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405" w:type="dxa"/>
            <w:vMerge w:val="restart"/>
            <w:tcBorders>
              <w:top w:val="nil" w:sz="6" w:space="0" w:color="auto"/>
              <w:left w:val="single" w:sz="4" w:space="0" w:color="000000"/>
              <w:right w:val="single" w:sz="4" w:space="0" w:color="000000"/>
            </w:tcBorders>
            <w:shd w:val="clear" w:color="auto" w:fill="D2D2D2"/>
          </w:tcPr>
          <w:p>
            <w:pPr/>
          </w:p>
        </w:tc>
        <w:tc>
          <w:tcPr>
            <w:tcW w:w="4646" w:type="dxa"/>
            <w:gridSpan w:val="4"/>
            <w:vMerge/>
            <w:tcBorders>
              <w:left w:val="single" w:sz="4" w:space="0" w:color="000000"/>
              <w:bottom w:val="single" w:sz="4" w:space="0" w:color="000000"/>
              <w:right w:val="single" w:sz="4" w:space="0" w:color="000000"/>
            </w:tcBorders>
            <w:shd w:val="clear" w:color="auto" w:fill="D2D2D2"/>
          </w:tcPr>
          <w:p>
            <w:pPr/>
          </w:p>
        </w:tc>
        <w:tc>
          <w:tcPr>
            <w:tcW w:w="4635"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05" w:type="dxa"/>
            <w:vMerge/>
            <w:tcBorders>
              <w:left w:val="single" w:sz="4" w:space="0" w:color="000000"/>
              <w:bottom w:val="nil" w:sz="6" w:space="0" w:color="auto"/>
              <w:right w:val="single" w:sz="4" w:space="0" w:color="000000"/>
            </w:tcBorders>
            <w:shd w:val="clear" w:color="auto" w:fill="D2D2D2"/>
          </w:tcPr>
          <w:p>
            <w:pP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11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91,613,991.68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122,174,791.73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140,561,215.94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464,839,757.62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87,597,453.50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160,549,382.39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131,310,637.79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226,994,338.97</w:t>
            </w:r>
          </w:p>
        </w:tc>
      </w:tr>
      <w:tr>
        <w:trPr>
          <w:trHeight w:val="2276" w:hRule="exact"/>
        </w:trPr>
        <w:tc>
          <w:tcPr>
            <w:tcW w:w="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1"/>
              <w:jc w:val="both"/>
              <w:rPr>
                <w:rFonts w:ascii="宋体" w:hAnsi="宋体" w:cs="宋体" w:eastAsia="宋体" w:hint="default"/>
                <w:sz w:val="18"/>
                <w:szCs w:val="18"/>
              </w:rPr>
            </w:pPr>
            <w:r>
              <w:rPr>
                <w:rFonts w:ascii="宋体" w:hAnsi="宋体" w:cs="宋体" w:eastAsia="宋体" w:hint="default"/>
                <w:sz w:val="18"/>
                <w:szCs w:val="18"/>
              </w:rPr>
              <w:t>归属 于上 市公 司股 东的 净利 润</w:t>
            </w:r>
          </w:p>
        </w:tc>
        <w:tc>
          <w:tcPr>
            <w:tcW w:w="11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-7,382,013.72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15,115,999.28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2,891,363.54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27,743,180.21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-2,940,108.01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10,507,848.81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2,972,435.26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25,647,634.82</w:t>
            </w:r>
          </w:p>
        </w:tc>
      </w:tr>
    </w:tbl>
    <w:p>
      <w:pPr>
        <w:pStyle w:val="BodyText"/>
        <w:spacing w:line="357" w:lineRule="auto" w:before="49"/>
        <w:ind w:right="0"/>
        <w:jc w:val="left"/>
      </w:pPr>
      <w:r>
        <w:rPr/>
        <w:t>说明经营季节性（或周期性）发生的原因及波动风险 </w:t>
      </w:r>
      <w:r>
        <w:rPr>
          <w:spacing w:val="-2"/>
        </w:rPr>
        <w:t>由于公司主要客户为银行业客户、政府机构以及大中型国有企事业单位、空中交通管理行业客户等，这类客户通常采取预算</w:t>
      </w:r>
    </w:p>
    <w:p>
      <w:pPr>
        <w:spacing w:after="0" w:line="35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0"/>
        <w:jc w:val="left"/>
      </w:pPr>
      <w:r>
        <w:rPr>
          <w:spacing w:val="-2"/>
        </w:rPr>
        <w:t>管理制度和集中采购制度，其采购决策和采购实施的季节性特点决定了公司业务呈现较为明显的季节性分布。即上半年营业</w:t>
      </w:r>
      <w:r>
        <w:rPr>
          <w:spacing w:val="-64"/>
        </w:rPr>
        <w:t> </w:t>
      </w:r>
      <w:r>
        <w:rPr>
          <w:spacing w:val="-64"/>
        </w:rPr>
      </w:r>
      <w:r>
        <w:rPr>
          <w:spacing w:val="-2"/>
        </w:rPr>
        <w:t>收入、归属于上市公司股东的净利润少于下半年营业收入、归属于上市公司股东的净利润。</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年度，公司下半</w:t>
      </w:r>
      <w:r>
        <w:rPr>
          <w:spacing w:val="-60"/>
        </w:rPr>
        <w:t> </w:t>
      </w:r>
      <w:r>
        <w:rPr>
          <w:spacing w:val="-60"/>
        </w:rPr>
      </w:r>
      <w:r>
        <w:rPr/>
        <w:t>年营业收入占全年营业收入的比例分别为</w:t>
      </w:r>
      <w:r>
        <w:rPr>
          <w:rFonts w:ascii="Times New Roman" w:hAnsi="Times New Roman" w:cs="Times New Roman" w:eastAsia="Times New Roman" w:hint="default"/>
        </w:rPr>
        <w:t>59.08%</w:t>
      </w:r>
      <w:r>
        <w:rPr/>
        <w:t>、</w:t>
      </w:r>
      <w:r>
        <w:rPr>
          <w:rFonts w:ascii="Times New Roman" w:hAnsi="Times New Roman" w:cs="Times New Roman" w:eastAsia="Times New Roman" w:hint="default"/>
        </w:rPr>
        <w:t>73.90%</w:t>
      </w:r>
      <w:r>
        <w:rPr/>
        <w:t>，下半年归属于上市公司股东的净利润占全年归属于上市公司股 东的净利润的比例分别为</w:t>
      </w:r>
      <w:r>
        <w:rPr>
          <w:rFonts w:ascii="Times New Roman" w:hAnsi="Times New Roman" w:cs="Times New Roman" w:eastAsia="Times New Roman" w:hint="default"/>
        </w:rPr>
        <w:t>79.09%</w:t>
      </w:r>
      <w:r>
        <w:rPr/>
        <w:t>、</w:t>
      </w:r>
      <w:r>
        <w:rPr>
          <w:rFonts w:ascii="Times New Roman" w:hAnsi="Times New Roman" w:cs="Times New Roman" w:eastAsia="Times New Roman" w:hint="default"/>
        </w:rPr>
        <w:t>79.84%</w:t>
      </w:r>
      <w:r>
        <w:rPr/>
        <w:t>。因此公司业务存在季节性波动风险，投资者不宜以季度或半年度的数据推算公 司全年的经营情况。</w:t>
      </w:r>
    </w:p>
    <w:p>
      <w:pPr>
        <w:pStyle w:val="BodyText"/>
        <w:spacing w:line="240" w:lineRule="auto" w:before="68"/>
        <w:ind w:right="1133"/>
        <w:jc w:val="left"/>
      </w:pPr>
      <w:r>
        <w:rPr/>
        <w:t>营业收入整体情况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8"/>
        <w:gridCol w:w="1561"/>
        <w:gridCol w:w="1415"/>
        <w:gridCol w:w="1561"/>
        <w:gridCol w:w="1447"/>
        <w:gridCol w:w="1597"/>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988" w:type="dxa"/>
            <w:vMerge w:val="restart"/>
            <w:tcBorders>
              <w:top w:val="nil" w:sz="6" w:space="0" w:color="auto"/>
              <w:left w:val="single" w:sz="4" w:space="0" w:color="000000"/>
              <w:right w:val="single" w:sz="4" w:space="0" w:color="000000"/>
            </w:tcBorders>
            <w:shd w:val="clear" w:color="auto" w:fill="D2D2D2"/>
          </w:tcPr>
          <w:p>
            <w:pPr/>
          </w:p>
        </w:tc>
        <w:tc>
          <w:tcPr>
            <w:tcW w:w="2976" w:type="dxa"/>
            <w:gridSpan w:val="2"/>
            <w:vMerge/>
            <w:tcBorders>
              <w:left w:val="single" w:sz="4" w:space="0" w:color="000000"/>
              <w:bottom w:val="single" w:sz="4" w:space="0" w:color="000000"/>
              <w:right w:val="single" w:sz="4" w:space="0" w:color="000000"/>
            </w:tcBorders>
            <w:shd w:val="clear" w:color="auto" w:fill="D2D2D2"/>
          </w:tcPr>
          <w:p>
            <w:pPr/>
          </w:p>
        </w:tc>
        <w:tc>
          <w:tcPr>
            <w:tcW w:w="3008"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415"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447"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819,189,756.97</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6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606,451,812.65</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35.08%</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802,051,625.07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605,507,617.99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32.46%</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17,138,131.90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944,194.66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1,715.11%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469,347,752.24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307,366,828.93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52.70%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239,643,369.48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218,142,269.09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93,060,503.35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79,998,519.97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16.33%</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17,138,131.90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944,194.66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1,715.11%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605,731,654.15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392,742,616.21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54.23%</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160,883,384.79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195,842,626.65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-17.85%</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52,574,718.03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17,866,569.79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50" w:lineRule="auto" w:before="44"/>
        <w:ind w:right="5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2"/>
        <w:ind w:right="5833"/>
        <w:jc w:val="left"/>
      </w:pPr>
      <w:r>
        <w:rPr/>
        <w:t>软件与信息技术服务业</w:t>
      </w:r>
    </w:p>
    <w:p>
      <w:pPr>
        <w:pStyle w:val="BodyText"/>
        <w:spacing w:line="240" w:lineRule="auto" w:before="117"/>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277"/>
        <w:gridCol w:w="1416"/>
        <w:gridCol w:w="994"/>
        <w:gridCol w:w="1274"/>
        <w:gridCol w:w="1419"/>
        <w:gridCol w:w="1207"/>
      </w:tblGrid>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74"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5"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521,427,523.31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426,959,181.09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53.77%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政府及国有企事业单位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246,662,373.25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188,473,358.56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51,099,860.41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19,165,225.63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277"/>
        <w:gridCol w:w="1416"/>
        <w:gridCol w:w="994"/>
        <w:gridCol w:w="1274"/>
        <w:gridCol w:w="1419"/>
        <w:gridCol w:w="1207"/>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469,347,752.24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410,726,943.29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12.49%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52.70%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56.09%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-1.90%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239,643,369.48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164,603,986.25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93,060,503.35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57,127,683.21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17,138,131.90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2,139,152.53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1,715.11%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1,072.37%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605,731,654.15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463,307,158.76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51.98%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160,883,384.79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121,857,237.74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24.26%</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7"/>
        <w:gridCol w:w="1395"/>
        <w:gridCol w:w="1392"/>
        <w:gridCol w:w="1596"/>
        <w:gridCol w:w="1594"/>
        <w:gridCol w:w="1594"/>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469,347,752.24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307,366,828.93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52.70%</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28" w:lineRule="auto" w:before="101"/>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公司在报告期内完工的系统集成项目金额较大且项目数量较去年同期增加，由此导致公司的系统集成业务收入较去年同期增</w:t>
      </w:r>
      <w:r>
        <w:rPr>
          <w:spacing w:val="-64"/>
        </w:rPr>
        <w:t> </w:t>
      </w:r>
      <w:r>
        <w:rPr>
          <w:spacing w:val="-64"/>
        </w:rPr>
      </w:r>
      <w:r>
        <w:rPr/>
        <w:t>加较多。</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1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505,067,735.21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324,015,180.75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101,118,908.86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111,886,436.01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28,411,121.21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27,111,655.36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w:t>
            </w:r>
          </w:p>
        </w:tc>
      </w:tr>
    </w:tbl>
    <w:p>
      <w:pPr>
        <w:pStyle w:val="BodyText"/>
        <w:spacing w:line="240" w:lineRule="auto" w:before="49"/>
        <w:ind w:right="1133"/>
        <w:jc w:val="left"/>
      </w:pPr>
      <w:r>
        <w:rPr/>
        <w:t>行业和产品分类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4"/>
        <w:gridCol w:w="994"/>
        <w:gridCol w:w="2693"/>
        <w:gridCol w:w="2693"/>
        <w:gridCol w:w="1207"/>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992"/>
        <w:gridCol w:w="1277"/>
        <w:gridCol w:w="1419"/>
        <w:gridCol w:w="1274"/>
        <w:gridCol w:w="1419"/>
        <w:gridCol w:w="1207"/>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505,067,735.21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79.59%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324,015,180.75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69.98%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55.88%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101,118,908.86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111,886,436.01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26,271,968.68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26,929,191.14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-2.44%</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2,139,152.53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182,464.22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1,072.37%</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42,256,080.49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38,706,549.57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74,418,984.30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87,903,721.55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17,809,533.79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18,102,485.25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48,586,640.47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27,207,746.46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26,128,047.68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20,820,369.98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6,992,872.07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6,956,383.69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411,194,367.89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258,100,884.72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3,602,523.24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3,162,344.48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1,469,562.82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1,870,322.20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2,139,152.53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182,464.22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1,072.37%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01"/>
        <w:ind w:right="1133"/>
        <w:jc w:val="left"/>
      </w:pPr>
      <w:r>
        <w:rPr/>
        <w:t>（</w:t>
      </w:r>
      <w:r>
        <w:rPr>
          <w:rFonts w:ascii="Times New Roman" w:hAnsi="Times New Roman" w:cs="Times New Roman" w:eastAsia="Times New Roman" w:hint="default"/>
        </w:rPr>
        <w:t>1</w:t>
      </w:r>
      <w:r>
        <w:rPr/>
        <w:t>）本年发生的非同一控制下企业合并</w:t>
      </w:r>
    </w:p>
    <w:p>
      <w:pPr>
        <w:spacing w:line="240" w:lineRule="auto" w:before="7"/>
        <w:rPr>
          <w:rFonts w:ascii="宋体" w:hAnsi="宋体" w:cs="宋体" w:eastAsia="宋体" w:hint="default"/>
          <w:sz w:val="5"/>
          <w:szCs w:val="5"/>
        </w:rPr>
      </w:pPr>
    </w:p>
    <w:p>
      <w:pPr>
        <w:spacing w:line="2145" w:lineRule="exact"/>
        <w:ind w:left="153"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5887085" cy="13620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887085" cy="1362075"/>
                    </a:xfrm>
                    <a:prstGeom prst="rect">
                      <a:avLst/>
                    </a:prstGeom>
                  </pic:spPr>
                </pic:pic>
              </a:graphicData>
            </a:graphic>
          </wp:inline>
        </w:drawing>
      </w:r>
      <w:r>
        <w:rPr>
          <w:rFonts w:ascii="宋体" w:hAnsi="宋体" w:cs="宋体" w:eastAsia="宋体" w:hint="default"/>
          <w:position w:val="-42"/>
          <w:sz w:val="20"/>
          <w:szCs w:val="20"/>
        </w:rPr>
      </w:r>
    </w:p>
    <w:p>
      <w:pPr>
        <w:pStyle w:val="BodyText"/>
        <w:spacing w:line="300" w:lineRule="auto" w:before="29"/>
        <w:ind w:right="0"/>
        <w:jc w:val="left"/>
      </w:pPr>
      <w:r>
        <w:rPr>
          <w:spacing w:val="-2"/>
        </w:rPr>
        <w:t>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日，公司第九届董事会第十四次会议审议通过了《关于新晨科技股份有限公司收购北京瑞得音信息技术有</w:t>
      </w:r>
      <w:r>
        <w:rPr>
          <w:spacing w:val="-61"/>
        </w:rPr>
        <w:t> </w:t>
      </w:r>
      <w:r>
        <w:rPr>
          <w:spacing w:val="-61"/>
        </w:rPr>
      </w:r>
      <w:r>
        <w:rPr>
          <w:spacing w:val="-2"/>
        </w:rPr>
        <w:t>限公司部分股权的议案》，决议以现金方式分别向薛震、杨蓓支付</w:t>
      </w:r>
      <w:r>
        <w:rPr>
          <w:rFonts w:ascii="Times New Roman" w:hAnsi="Times New Roman" w:cs="Times New Roman" w:eastAsia="Times New Roman" w:hint="default"/>
          <w:spacing w:val="-2"/>
        </w:rPr>
        <w:t>13,872</w:t>
      </w:r>
      <w:r>
        <w:rPr>
          <w:spacing w:val="-2"/>
        </w:rPr>
        <w:t>万元、</w:t>
      </w:r>
      <w:r>
        <w:rPr>
          <w:rFonts w:ascii="Times New Roman" w:hAnsi="Times New Roman" w:cs="Times New Roman" w:eastAsia="Times New Roman" w:hint="default"/>
          <w:spacing w:val="-2"/>
        </w:rPr>
        <w:t>2,448</w:t>
      </w:r>
      <w:r>
        <w:rPr>
          <w:spacing w:val="-2"/>
        </w:rPr>
        <w:t>万元，收购其持有的北京瑞得音信息技</w:t>
      </w:r>
      <w:r>
        <w:rPr>
          <w:spacing w:val="-58"/>
        </w:rPr>
        <w:t> </w:t>
      </w:r>
      <w:r>
        <w:rPr>
          <w:spacing w:val="-58"/>
        </w:rPr>
      </w:r>
      <w:r>
        <w:rPr/>
        <w:t>术有限公司</w:t>
      </w:r>
      <w:r>
        <w:rPr>
          <w:rFonts w:ascii="Times New Roman" w:hAnsi="Times New Roman" w:cs="Times New Roman" w:eastAsia="Times New Roman" w:hint="default"/>
        </w:rPr>
        <w:t>43.35%</w:t>
      </w:r>
      <w:r>
        <w:rPr/>
        <w:t>、</w:t>
      </w:r>
      <w:r>
        <w:rPr>
          <w:rFonts w:ascii="Times New Roman" w:hAnsi="Times New Roman" w:cs="Times New Roman" w:eastAsia="Times New Roman" w:hint="default"/>
        </w:rPr>
        <w:t>7.65%</w:t>
      </w:r>
      <w:r>
        <w:rPr/>
        <w:t>的股权。 </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月初按照协议约定支付了不低于</w:t>
      </w:r>
      <w:r>
        <w:rPr>
          <w:rFonts w:ascii="Times New Roman" w:hAnsi="Times New Roman" w:cs="Times New Roman" w:eastAsia="Times New Roman" w:hint="default"/>
          <w:spacing w:val="-4"/>
        </w:rPr>
        <w:t>50%</w:t>
      </w:r>
      <w:r>
        <w:rPr>
          <w:spacing w:val="-4"/>
        </w:rPr>
        <w:t>的收购款，并委派过半数董事，能够控制其经营和财务决策。公司将</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日确定为购买日。</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5045"/>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458,823,744.12</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56.01%</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305,311,178.60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37.27%</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57,509,278.70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37,650,553.54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37,599,698.78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20,753,034.50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458,823,744.12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56.01%</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210,065,526.81</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44.81%</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55,228,084.01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49,732,879.69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41,936,383.35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34,130,972.87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29,037,206.90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210,065,526.81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44.81%</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713"/>
        <w:gridCol w:w="1560"/>
        <w:gridCol w:w="1416"/>
        <w:gridCol w:w="3190"/>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26,509,656.10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23,956,657.52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0" w:right="0"/>
              <w:jc w:val="left"/>
              <w:rPr>
                <w:rFonts w:ascii="Times New Roman" w:hAnsi="Times New Roman" w:cs="Times New Roman" w:eastAsia="Times New Roman" w:hint="default"/>
                <w:sz w:val="18"/>
                <w:szCs w:val="18"/>
              </w:rPr>
            </w:pPr>
            <w:r>
              <w:rPr>
                <w:rFonts w:ascii="Times New Roman"/>
                <w:sz w:val="18"/>
              </w:rPr>
              <w:t>10.66%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1702"/>
        <w:gridCol w:w="1560"/>
        <w:gridCol w:w="1416"/>
        <w:gridCol w:w="3190"/>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51,568,373.07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41,911,316.83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028"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5,068,510.77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-2,040,523.80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主要系公司在报告期内发生短期借款， 支付的借款利息增加导致财务费用较去 年同期增加较多。</w:t>
            </w:r>
          </w:p>
        </w:tc>
      </w:tr>
      <w:tr>
        <w:trPr>
          <w:trHeight w:val="715"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37,494,343.64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26,294,210.82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主要系公司在报告期内加大研发投入力 度导致研发费用较去年同期增加较多。</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513" w:right="1117"/>
        <w:jc w:val="left"/>
      </w:pPr>
      <w:r>
        <w:rPr/>
        <w:t>（</w:t>
      </w:r>
      <w:r>
        <w:rPr>
          <w:rFonts w:ascii="Times New Roman" w:hAnsi="Times New Roman" w:cs="Times New Roman" w:eastAsia="Times New Roman" w:hint="default"/>
        </w:rPr>
        <w:t>1</w:t>
      </w:r>
      <w:r>
        <w:rPr/>
        <w:t>）募投项目 </w:t>
      </w:r>
      <w:r>
        <w:rPr>
          <w:spacing w:val="-2"/>
        </w:rPr>
        <w:t>公司本着统筹安排的原则，结合项目轻重缓急、募集资金到位时间以及项目进展情况投资建设。募集资金到位前，公司</w:t>
      </w:r>
    </w:p>
    <w:p>
      <w:pPr>
        <w:pStyle w:val="BodyText"/>
        <w:spacing w:line="300" w:lineRule="auto" w:before="32"/>
        <w:ind w:right="1041"/>
        <w:jc w:val="both"/>
      </w:pPr>
      <w:r>
        <w:rPr>
          <w:spacing w:val="-2"/>
        </w:rPr>
        <w:t>根据项目进展需要以自筹资金先行投入。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日，公司首次公开发行股票并在深交所创业板上市，募集资金到位后，</w:t>
      </w:r>
      <w:r>
        <w:rPr>
          <w:spacing w:val="-59"/>
        </w:rPr>
        <w:t> </w:t>
      </w:r>
      <w:r>
        <w:rPr>
          <w:spacing w:val="-59"/>
        </w:rPr>
      </w:r>
      <w:r>
        <w:rPr>
          <w:spacing w:val="-2"/>
        </w:rPr>
        <w:t>公司持续进行</w:t>
      </w:r>
      <w:r>
        <w:rPr>
          <w:rFonts w:ascii="Times New Roman" w:hAnsi="Times New Roman" w:cs="Times New Roman" w:eastAsia="Times New Roman" w:hint="default"/>
          <w:spacing w:val="-2"/>
        </w:rPr>
        <w:t>4</w:t>
      </w:r>
      <w:r>
        <w:rPr>
          <w:spacing w:val="-2"/>
        </w:rPr>
        <w:t>个募投项目的实施。截至报告期末，除国家空管数据信息服务体系研发项目外，其他三个项目已经实施完毕，</w:t>
      </w:r>
      <w:r>
        <w:rPr>
          <w:spacing w:val="-63"/>
        </w:rPr>
        <w:t> </w:t>
      </w:r>
      <w:r>
        <w:rPr>
          <w:spacing w:val="-63"/>
        </w:rPr>
      </w:r>
      <w:r>
        <w:rPr/>
        <w:t>募投项目的投入情况见本节</w:t>
      </w:r>
      <w:r>
        <w:rPr>
          <w:rFonts w:ascii="Times New Roman" w:hAnsi="Times New Roman" w:cs="Times New Roman" w:eastAsia="Times New Roman" w:hint="default"/>
        </w:rPr>
        <w:t>“</w:t>
      </w:r>
      <w:r>
        <w:rPr/>
        <w:t>五、投资状况分析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“5</w:t>
      </w:r>
      <w:r>
        <w:rPr/>
        <w:t>、募集资金使用情况</w:t>
      </w:r>
      <w:r>
        <w:rPr>
          <w:rFonts w:ascii="Times New Roman" w:hAnsi="Times New Roman" w:cs="Times New Roman" w:eastAsia="Times New Roman" w:hint="default"/>
        </w:rPr>
        <w:t>”</w:t>
      </w:r>
      <w:r>
        <w:rPr/>
        <w:t>。</w:t>
      </w:r>
    </w:p>
    <w:p>
      <w:pPr>
        <w:pStyle w:val="BodyText"/>
        <w:spacing w:line="316" w:lineRule="auto" w:before="13"/>
        <w:ind w:right="1133" w:firstLine="360"/>
        <w:jc w:val="left"/>
      </w:pPr>
      <w:r>
        <w:rPr>
          <w:spacing w:val="-2"/>
        </w:rPr>
        <w:t>募投项目的顺利实施，并达成项目目标，对公司保持并提升市场地位，扩大业务规模，具有战略意义。未来公司将持续</w:t>
      </w:r>
      <w:r>
        <w:rPr/>
        <w:t> 推进募投项目的实施，并力争达成相应的项目目标。</w:t>
      </w:r>
    </w:p>
    <w:p>
      <w:pPr>
        <w:pStyle w:val="BodyText"/>
        <w:spacing w:line="300" w:lineRule="auto" w:before="19"/>
        <w:ind w:left="513" w:right="0"/>
        <w:jc w:val="left"/>
      </w:pPr>
      <w:r>
        <w:rPr/>
        <w:t>（</w:t>
      </w:r>
      <w:r>
        <w:rPr>
          <w:rFonts w:ascii="Times New Roman" w:hAnsi="Times New Roman" w:cs="Times New Roman" w:eastAsia="Times New Roman" w:hint="default"/>
        </w:rPr>
        <w:t>2</w:t>
      </w:r>
      <w:r>
        <w:rPr/>
        <w:t>）基于特定客户需求的研发项目 </w:t>
      </w:r>
      <w:r>
        <w:rPr>
          <w:spacing w:val="-2"/>
        </w:rPr>
        <w:t>报告期内，公司投入的另一类研发项目，是根据特定客户需求而立项投入研发的项目。此类项目具有在其他客户的推广</w:t>
      </w:r>
    </w:p>
    <w:p>
      <w:pPr>
        <w:pStyle w:val="BodyText"/>
        <w:spacing w:line="316" w:lineRule="auto" w:before="31"/>
        <w:ind w:right="1131"/>
        <w:jc w:val="both"/>
      </w:pPr>
      <w:r>
        <w:rPr>
          <w:spacing w:val="-2"/>
        </w:rPr>
        <w:t>价值，或为维护公司大客户的长期合作关系而设立，一般采取为客户定制研发的形式。截至报告期末，公司此类研发项目进</w:t>
      </w:r>
      <w:r>
        <w:rPr>
          <w:spacing w:val="-65"/>
        </w:rPr>
        <w:t> </w:t>
      </w:r>
      <w:r>
        <w:rPr>
          <w:spacing w:val="-65"/>
        </w:rPr>
      </w:r>
      <w:r>
        <w:rPr/>
        <w:t>展顺利，部分项目已顺利通过客户验收并获得了预期的经济效益。</w:t>
      </w:r>
    </w:p>
    <w:p>
      <w:pPr>
        <w:pStyle w:val="BodyText"/>
        <w:spacing w:line="240" w:lineRule="auto" w:before="59"/>
        <w:ind w:right="0"/>
        <w:jc w:val="both"/>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40"/>
        <w:gridCol w:w="2138"/>
        <w:gridCol w:w="2124"/>
        <w:gridCol w:w="2057"/>
      </w:tblGrid>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847</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79.64%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82.81%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81.52%</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132,265,725.99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127,388,493.53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117,898,099.71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27.33%</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7"/>
        <w:jc w:val="left"/>
      </w:pPr>
      <w:r>
        <w:rPr/>
        <w:t>研发投入总额占营业收入的比重较上年发生显著变化的原因</w:t>
      </w:r>
    </w:p>
    <w:p>
      <w:pPr>
        <w:pStyle w:val="BodyText"/>
        <w:spacing w:line="338" w:lineRule="auto" w:before="117"/>
        <w:ind w:right="4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4"/>
        <w:ind w:right="5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563"/>
        <w:gridCol w:w="2268"/>
        <w:gridCol w:w="2199"/>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870,672,899.64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572,363,042.63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52.12%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846,822,408.83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572,854,659.17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47.83%</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23,850,490.81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-491,616.54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4,951.44%</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78,094,169.98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1,310.00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5,961,287.02%</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147,251,495.97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5,170,910.21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2,747.69%</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-69,157,325.99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-5,169,600.21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-1,237.77%</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151,649,227.81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525.19%</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13,233,245.83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42,101,267.51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-68.57%</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138,415,981.98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-17,844,732.51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875.67%</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93,117,414.89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-23,526,138.77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495.80%</w:t>
            </w:r>
          </w:p>
        </w:tc>
      </w:tr>
    </w:tbl>
    <w:p>
      <w:pPr>
        <w:pStyle w:val="BodyText"/>
        <w:spacing w:line="240" w:lineRule="auto" w:before="49"/>
        <w:ind w:right="1133"/>
        <w:jc w:val="left"/>
      </w:pPr>
      <w:r>
        <w:rPr/>
        <w:t>相关数据同比发生重大变动的主要影响因素说明</w:t>
      </w:r>
    </w:p>
    <w:p>
      <w:pPr>
        <w:pStyle w:val="BodyText"/>
        <w:spacing w:line="340" w:lineRule="auto" w:before="115"/>
        <w:ind w:right="2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经营活动产生的现金流量净额较去年同期增加</w:t>
      </w:r>
      <w:r>
        <w:rPr>
          <w:rFonts w:ascii="Times New Roman" w:hAnsi="Times New Roman" w:cs="Times New Roman" w:eastAsia="Times New Roman" w:hint="default"/>
        </w:rPr>
        <w:t>4,951.44%</w:t>
      </w:r>
      <w:r>
        <w:rPr/>
        <w:t>，主要系公司在报告期内加强收款力度所致；</w:t>
      </w:r>
    </w:p>
    <w:p>
      <w:pPr>
        <w:pStyle w:val="BodyText"/>
        <w:spacing w:line="228" w:lineRule="exact"/>
        <w:ind w:right="1133"/>
        <w:jc w:val="left"/>
      </w:pPr>
      <w:r>
        <w:rPr/>
        <w:t>投资活动产生的现金流量净额较去年同期减少</w:t>
      </w:r>
      <w:r>
        <w:rPr>
          <w:rFonts w:ascii="Times New Roman" w:hAnsi="Times New Roman" w:cs="Times New Roman" w:eastAsia="Times New Roman" w:hint="default"/>
        </w:rPr>
        <w:t>1,237.77%</w:t>
      </w:r>
      <w:r>
        <w:rPr/>
        <w:t>，主要系公司在报告期内收购北京瑞得音信息技术有限公司所致；</w:t>
      </w:r>
    </w:p>
    <w:p>
      <w:pPr>
        <w:pStyle w:val="BodyText"/>
        <w:spacing w:line="340" w:lineRule="auto" w:before="63"/>
        <w:ind w:right="2009"/>
        <w:jc w:val="left"/>
      </w:pPr>
      <w:r>
        <w:rPr/>
        <w:t>筹资活动产生的现金流量净额较去年同期增加</w:t>
      </w:r>
      <w:r>
        <w:rPr>
          <w:rFonts w:ascii="Times New Roman" w:hAnsi="Times New Roman" w:cs="Times New Roman" w:eastAsia="Times New Roman" w:hint="default"/>
        </w:rPr>
        <w:t>875.67%</w:t>
      </w:r>
      <w:r>
        <w:rPr/>
        <w:t>，主要系公司在报告期内取得借款收到的现金增加所致。 报告期内公司经营活动产生的现金净流量与本年度净利润存在重大差异的原因说明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65"/>
        <w:gridCol w:w="1274"/>
        <w:gridCol w:w="1419"/>
        <w:gridCol w:w="2976"/>
        <w:gridCol w:w="2624"/>
      </w:tblGrid>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1,097,228.77</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2.07%</w:t>
            </w:r>
          </w:p>
        </w:tc>
        <w:tc>
          <w:tcPr>
            <w:tcW w:w="297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系报告期内在其他流动资产核算的理 财产品产生的投资收益。</w:t>
            </w:r>
          </w:p>
        </w:tc>
        <w:tc>
          <w:tcPr>
            <w:tcW w:w="26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4" w:type="dxa"/>
            <w:vMerge/>
            <w:tcBorders>
              <w:left w:val="single" w:sz="10"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2624"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10"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8,674,511.04</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1" w:right="0"/>
              <w:jc w:val="left"/>
              <w:rPr>
                <w:rFonts w:ascii="Times New Roman" w:hAnsi="Times New Roman" w:cs="Times New Roman" w:eastAsia="Times New Roman" w:hint="default"/>
                <w:sz w:val="18"/>
                <w:szCs w:val="18"/>
              </w:rPr>
            </w:pPr>
            <w:r>
              <w:rPr>
                <w:rFonts w:ascii="Times New Roman"/>
                <w:sz w:val="18"/>
              </w:rPr>
              <w:t>16.37%</w:t>
            </w:r>
          </w:p>
        </w:tc>
        <w:tc>
          <w:tcPr>
            <w:tcW w:w="297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系报告期内对应收账款、其他应收款 计提的坏账准备。</w:t>
            </w:r>
          </w:p>
        </w:tc>
        <w:tc>
          <w:tcPr>
            <w:tcW w:w="26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74" w:type="dxa"/>
            <w:vMerge/>
            <w:tcBorders>
              <w:left w:val="single" w:sz="10"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2624"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10"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0.65</w:t>
            </w:r>
            <w:r>
              <w:rPr>
                <w:rFonts w:ascii="Times New Roman"/>
                <w:sz w:val="18"/>
              </w:rPr>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0.00%</w:t>
            </w:r>
          </w:p>
        </w:tc>
        <w:tc>
          <w:tcPr>
            <w:tcW w:w="297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系报告期内天津分公司的企业所得税 不足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元未缴纳所致。</w:t>
            </w:r>
          </w:p>
        </w:tc>
        <w:tc>
          <w:tcPr>
            <w:tcW w:w="26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74" w:type="dxa"/>
            <w:vMerge/>
            <w:tcBorders>
              <w:left w:val="single" w:sz="10"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2624"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10"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34,818.28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系报告期内缴纳的滞纳金。</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1,711,928.89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系报告期内确认的政府补助和个税手 续费返还。</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17,138,131.90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32.34%</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系报告期内投资性房地产确认的房租 收入以及出售投资性房地产的收入。</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67"/>
              <w:jc w:val="left"/>
              <w:rPr>
                <w:rFonts w:ascii="宋体" w:hAnsi="宋体" w:cs="宋体" w:eastAsia="宋体" w:hint="default"/>
                <w:sz w:val="18"/>
                <w:szCs w:val="18"/>
              </w:rPr>
            </w:pPr>
            <w:r>
              <w:rPr>
                <w:rFonts w:ascii="宋体" w:hAnsi="宋体" w:cs="宋体" w:eastAsia="宋体" w:hint="default"/>
                <w:sz w:val="18"/>
                <w:szCs w:val="18"/>
              </w:rPr>
              <w:t>出租投资性房地产确认的房租收 入具有可持续性；出售投资性房</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1274"/>
        <w:gridCol w:w="1419"/>
        <w:gridCol w:w="2976"/>
        <w:gridCol w:w="2624"/>
      </w:tblGrid>
      <w:tr>
        <w:trPr>
          <w:trHeight w:val="362"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地产的收入不具有可持续性。</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2,139,152.53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4.04%</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系报告期内投资性房地产发生的折旧 成本以及出售的投资性房地产账面净 值。</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出租投资性房地产发生的折旧成 本具有可持续性；出售投资性房 地产的成本不具有可持续性。</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90"/>
        <w:gridCol w:w="1275"/>
        <w:gridCol w:w="619"/>
        <w:gridCol w:w="1224"/>
        <w:gridCol w:w="711"/>
        <w:gridCol w:w="850"/>
        <w:gridCol w:w="3190"/>
      </w:tblGrid>
      <w:tr>
        <w:trPr>
          <w:trHeight w:val="385"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690" w:type="dxa"/>
            <w:vMerge w:val="restart"/>
            <w:tcBorders>
              <w:top w:val="nil" w:sz="6" w:space="0" w:color="auto"/>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7"/>
              <w:ind w:left="35" w:right="3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2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7"/>
              <w:ind w:left="79" w:right="8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05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690"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9" w:type="dxa"/>
            <w:vMerge/>
            <w:tcBorders>
              <w:left w:val="single" w:sz="4" w:space="0" w:color="000000"/>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19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90"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619" w:type="dxa"/>
            <w:vMerge/>
            <w:tcBorders>
              <w:left w:val="single" w:sz="4" w:space="0" w:color="000000"/>
              <w:right w:val="single" w:sz="4" w:space="0" w:color="000000"/>
            </w:tcBorders>
            <w:shd w:val="clear" w:color="auto" w:fill="D2D2D2"/>
          </w:tcPr>
          <w:p>
            <w:pPr/>
          </w:p>
        </w:tc>
        <w:tc>
          <w:tcPr>
            <w:tcW w:w="1224"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319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9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19"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410,845,981.88</w:t>
            </w:r>
          </w:p>
        </w:tc>
        <w:tc>
          <w:tcPr>
            <w:tcW w:w="6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33.69%</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291,786,700.71</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36.96%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-3.27%</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主要系公司在报告期内收购北京瑞得音 信息技术有限公司，合并报表总资产增 加较多，导致货币资金占总资产比例下 降。</w:t>
            </w:r>
          </w:p>
        </w:tc>
      </w:tr>
      <w:tr>
        <w:trPr>
          <w:trHeight w:val="394"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5" w:type="dxa"/>
            <w:vMerge/>
            <w:tcBorders>
              <w:left w:val="single" w:sz="9" w:space="0" w:color="D2D2D2"/>
              <w:right w:val="single" w:sz="4" w:space="0" w:color="000000"/>
            </w:tcBorders>
          </w:tcPr>
          <w:p>
            <w:pPr/>
          </w:p>
        </w:tc>
        <w:tc>
          <w:tcPr>
            <w:tcW w:w="619"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619"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73"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330,364,990.65</w:t>
            </w:r>
          </w:p>
        </w:tc>
        <w:tc>
          <w:tcPr>
            <w:tcW w:w="6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27.09%</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322,544,206.44</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40.85%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-13.76%</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主要系公司在报告期内收购北京瑞得音 信息技术有限公司，合并报表总资产增 加较多，导致应收账款占总资产比例下 降。</w:t>
            </w:r>
          </w:p>
        </w:tc>
      </w:tr>
      <w:tr>
        <w:trPr>
          <w:trHeight w:val="391"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vMerge/>
            <w:tcBorders>
              <w:left w:val="single" w:sz="9" w:space="0" w:color="D2D2D2"/>
              <w:right w:val="single" w:sz="4" w:space="0" w:color="000000"/>
            </w:tcBorders>
          </w:tcPr>
          <w:p>
            <w:pPr/>
          </w:p>
        </w:tc>
        <w:tc>
          <w:tcPr>
            <w:tcW w:w="619"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619"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17"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116,497,014.34</w:t>
            </w:r>
          </w:p>
        </w:tc>
        <w:tc>
          <w:tcPr>
            <w:tcW w:w="6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9.55%</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33,186,538.52</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4.20%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5.35%</w:t>
            </w:r>
          </w:p>
        </w:tc>
        <w:tc>
          <w:tcPr>
            <w:tcW w:w="3190"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主要系公司在报告期内未完工的系统集 成项目较多，期末采购存货设备金额较 大所致。</w:t>
            </w:r>
          </w:p>
        </w:tc>
      </w:tr>
      <w:tr>
        <w:trPr>
          <w:trHeight w:val="394"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5" w:type="dxa"/>
            <w:vMerge/>
            <w:tcBorders>
              <w:left w:val="single" w:sz="9" w:space="0" w:color="D2D2D2"/>
              <w:right w:val="single" w:sz="4" w:space="0" w:color="000000"/>
            </w:tcBorders>
          </w:tcPr>
          <w:p>
            <w:pPr/>
          </w:p>
        </w:tc>
        <w:tc>
          <w:tcPr>
            <w:tcW w:w="619"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619"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17"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69,618,710.92</w:t>
            </w:r>
          </w:p>
        </w:tc>
        <w:tc>
          <w:tcPr>
            <w:tcW w:w="6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5.71%</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1,322,731.05</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0.17%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5.54%</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主要系公司在报告期内在建工程验收达 到可使用状态，结转至投资性房地产所 致。</w:t>
            </w:r>
          </w:p>
        </w:tc>
      </w:tr>
      <w:tr>
        <w:trPr>
          <w:trHeight w:val="391"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5" w:type="dxa"/>
            <w:vMerge/>
            <w:tcBorders>
              <w:left w:val="single" w:sz="9" w:space="0" w:color="D2D2D2"/>
              <w:right w:val="single" w:sz="4" w:space="0" w:color="000000"/>
            </w:tcBorders>
          </w:tcPr>
          <w:p>
            <w:pPr/>
          </w:p>
        </w:tc>
        <w:tc>
          <w:tcPr>
            <w:tcW w:w="619"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619"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5" w:type="dxa"/>
            <w:tcBorders>
              <w:top w:val="single" w:sz="4" w:space="0" w:color="000000"/>
              <w:left w:val="single" w:sz="12" w:space="0" w:color="D2D2D2"/>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39,510,920.81</w:t>
            </w:r>
          </w:p>
        </w:tc>
        <w:tc>
          <w:tcPr>
            <w:tcW w:w="6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3.24%</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12,868,828.23</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1.63%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1.61%</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主要系公司在报告期内在建工程验收达 到可使用状态，结转至固定资产所致。</w:t>
            </w:r>
          </w:p>
        </w:tc>
      </w:tr>
      <w:tr>
        <w:trPr>
          <w:trHeight w:val="391"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5" w:type="dxa"/>
            <w:vMerge/>
            <w:tcBorders>
              <w:left w:val="single" w:sz="9" w:space="0" w:color="D2D2D2"/>
              <w:right w:val="single" w:sz="4" w:space="0" w:color="000000"/>
            </w:tcBorders>
          </w:tcPr>
          <w:p>
            <w:pPr/>
          </w:p>
        </w:tc>
        <w:tc>
          <w:tcPr>
            <w:tcW w:w="619"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619"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17"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
        </w:tc>
        <w:tc>
          <w:tcPr>
            <w:tcW w:w="6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0.00%</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89,622,829.57</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11.35%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-11.35%</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主要系公司在报告期内在建工程验收达 到可使用状态，结转至投资性房地产、 固定资产所致。</w:t>
            </w:r>
          </w:p>
        </w:tc>
      </w:tr>
      <w:tr>
        <w:trPr>
          <w:trHeight w:val="394"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5" w:type="dxa"/>
            <w:vMerge/>
            <w:tcBorders>
              <w:left w:val="single" w:sz="9" w:space="0" w:color="D2D2D2"/>
              <w:right w:val="single" w:sz="4" w:space="0" w:color="000000"/>
            </w:tcBorders>
          </w:tcPr>
          <w:p>
            <w:pPr/>
          </w:p>
        </w:tc>
        <w:tc>
          <w:tcPr>
            <w:tcW w:w="619"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619"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206,501,879.81</w:t>
            </w:r>
          </w:p>
        </w:tc>
        <w:tc>
          <w:tcPr>
            <w:tcW w:w="6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16.93%</w:t>
            </w:r>
          </w:p>
        </w:tc>
        <w:tc>
          <w:tcPr>
            <w:tcW w:w="1224"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16.93%</w:t>
            </w:r>
          </w:p>
        </w:tc>
        <w:tc>
          <w:tcPr>
            <w:tcW w:w="3190"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主要系公司在报告期内用于支付日常经 营活动的银行借款增加所致。</w:t>
            </w:r>
          </w:p>
        </w:tc>
      </w:tr>
      <w:tr>
        <w:trPr>
          <w:trHeight w:val="392"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5" w:type="dxa"/>
            <w:vMerge/>
            <w:tcBorders>
              <w:left w:val="single" w:sz="9" w:space="0" w:color="D2D2D2"/>
              <w:right w:val="single" w:sz="4" w:space="0" w:color="000000"/>
            </w:tcBorders>
          </w:tcPr>
          <w:p>
            <w:pPr/>
          </w:p>
        </w:tc>
        <w:tc>
          <w:tcPr>
            <w:tcW w:w="619"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619"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5" w:type="dxa"/>
            <w:tcBorders>
              <w:top w:val="single" w:sz="4" w:space="0" w:color="000000"/>
              <w:left w:val="single" w:sz="12" w:space="0" w:color="D2D2D2"/>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主要系公司在报告期内应收票据到期承 兑所致。</w:t>
            </w:r>
          </w:p>
        </w:tc>
      </w:tr>
      <w:tr>
        <w:trPr>
          <w:trHeight w:val="715"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35,336,132.18</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8,259,938.18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主要系公司在报告期内支付供应商货款 增加所致。</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619"/>
        <w:gridCol w:w="1224"/>
        <w:gridCol w:w="711"/>
        <w:gridCol w:w="850"/>
        <w:gridCol w:w="3190"/>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27,134,801.83</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7,794,789.86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主要系公司在报告期内支付的履约保证 金、投标保证金项目增加，应收回保证 金增加所致。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6,226,729.25</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6,247,725.48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主要系公司在报告期内投资北京如智科 技有限公司所致。</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6,981,161.00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2,373,423.64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主要系公司在报告期内购买项目使用的 软件所致。</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152,727,059.26</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12.52%</w:t>
            </w:r>
          </w:p>
        </w:tc>
        <w:tc>
          <w:tcPr>
            <w:tcW w:w="122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主要系公司在报告期内收购北京瑞得音 信息技术有限公司，合并报表产生较大 金额商誉所致。</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953,946.93</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726,627.23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12,170,540.78</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8,376,588.25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主要系公司在报告期内确认较大金额的 暂时性可抵扣差异引起的递延所得税资 产所致。</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8,691,104.00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122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主要系公司在报告期内预付购建武汉市 融科智谷工业项目三期</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C8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栋</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单元</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1001 </w:t>
            </w:r>
            <w:r>
              <w:rPr>
                <w:rFonts w:ascii="宋体" w:hAnsi="宋体" w:cs="宋体" w:eastAsia="宋体" w:hint="default"/>
                <w:spacing w:val="-4"/>
                <w:sz w:val="18"/>
                <w:szCs w:val="18"/>
              </w:rPr>
              <w:t>号房、</w:t>
            </w:r>
            <w:r>
              <w:rPr>
                <w:rFonts w:ascii="Times New Roman" w:hAnsi="Times New Roman" w:cs="Times New Roman" w:eastAsia="Times New Roman" w:hint="default"/>
                <w:spacing w:val="-4"/>
                <w:sz w:val="18"/>
                <w:szCs w:val="18"/>
              </w:rPr>
              <w:t>1002 </w:t>
            </w:r>
            <w:r>
              <w:rPr>
                <w:rFonts w:ascii="宋体" w:hAnsi="宋体" w:cs="宋体" w:eastAsia="宋体" w:hint="default"/>
                <w:spacing w:val="-3"/>
                <w:sz w:val="18"/>
                <w:szCs w:val="18"/>
              </w:rPr>
              <w:t>号房、</w:t>
            </w:r>
            <w:r>
              <w:rPr>
                <w:rFonts w:ascii="Times New Roman" w:hAnsi="Times New Roman" w:cs="Times New Roman" w:eastAsia="Times New Roman" w:hint="default"/>
                <w:spacing w:val="-3"/>
                <w:sz w:val="18"/>
                <w:szCs w:val="18"/>
              </w:rPr>
              <w:t>1003 </w:t>
            </w:r>
            <w:r>
              <w:rPr>
                <w:rFonts w:ascii="宋体" w:hAnsi="宋体" w:cs="宋体" w:eastAsia="宋体" w:hint="default"/>
                <w:spacing w:val="-4"/>
                <w:sz w:val="18"/>
                <w:szCs w:val="18"/>
              </w:rPr>
              <w:t>号房、</w:t>
            </w:r>
            <w:r>
              <w:rPr>
                <w:rFonts w:ascii="Times New Roman" w:hAnsi="Times New Roman" w:cs="Times New Roman" w:eastAsia="Times New Roman" w:hint="default"/>
                <w:spacing w:val="-4"/>
                <w:sz w:val="18"/>
                <w:szCs w:val="18"/>
              </w:rPr>
              <w:t>1004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号房 的款项所致。</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189,698,699.34</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110,603,743.70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主要系公司在报告期内用于支付日常经 营活动的银行承兑汇票增加所致。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19,017,803.40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7,367,252.73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26,907,404.13</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18,464,652.49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22,707,459.32</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31,442,724.51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74"/>
              <w:jc w:val="left"/>
              <w:rPr>
                <w:rFonts w:ascii="宋体" w:hAnsi="宋体" w:cs="宋体" w:eastAsia="宋体" w:hint="default"/>
                <w:sz w:val="18"/>
                <w:szCs w:val="18"/>
              </w:rPr>
            </w:pPr>
            <w:r>
              <w:rPr>
                <w:rFonts w:ascii="宋体" w:hAnsi="宋体" w:cs="宋体" w:eastAsia="宋体" w:hint="default"/>
                <w:sz w:val="18"/>
                <w:szCs w:val="18"/>
              </w:rPr>
              <w:t>主要系公司在报告期内已缴纳税金较 多，应交税金较上年减少所致。</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17,678,484.15</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25,485,551.81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主要系公司在报告期内</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年限制性股 票激励计划第一个解除限售期解除限售 股份所致。</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w:t>
            </w:r>
          </w:p>
        </w:tc>
        <w:tc>
          <w:tcPr>
            <w:tcW w:w="122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主要系公司在报告期内收购北京瑞得音 信息技术有限公司，应支付被购买方剩 余收购款项所致。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671,202.46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日，本公司受限制的货币资金总额为</w:t>
      </w:r>
      <w:r>
        <w:rPr>
          <w:rFonts w:ascii="Times New Roman" w:hAnsi="Times New Roman" w:cs="Times New Roman" w:eastAsia="Times New Roman" w:hint="default"/>
        </w:rPr>
        <w:t>31,550,761.28</w:t>
      </w:r>
      <w:r>
        <w:rPr/>
        <w:t>元，为银行承兑汇票保证金及保函保证金。其中银行承</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r>
        <w:rPr/>
        <w:pict>
          <v:group style="position:absolute;margin-left:491.73999pt;margin-top:654.940002pt;width:43pt;height:62.4pt;mso-position-horizontal-relative:page;mso-position-vertical-relative:page;z-index:-889264" coordorigin="9835,13099" coordsize="860,1248">
            <v:shape style="position:absolute;left:9835;top:13099;width:860;height:1248" coordorigin="9835,13099" coordsize="860,1248" path="m9835,14347l10694,14347,10694,13099,9835,13099,9835,14347xe" filled="true" fillcolor="#ffffff" stroked="false">
              <v:path arrowok="t"/>
              <v:fill type="solid"/>
            </v:shape>
            <w10:wrap type="none"/>
          </v:group>
        </w:pict>
      </w:r>
    </w:p>
    <w:p>
      <w:pPr>
        <w:pStyle w:val="BodyText"/>
        <w:spacing w:line="240" w:lineRule="auto" w:before="44"/>
        <w:ind w:right="1133"/>
        <w:jc w:val="left"/>
      </w:pPr>
      <w:r>
        <w:rPr/>
        <w:t>兑汇票保证金为</w:t>
      </w:r>
      <w:r>
        <w:rPr>
          <w:rFonts w:ascii="Times New Roman" w:hAnsi="Times New Roman" w:cs="Times New Roman" w:eastAsia="Times New Roman" w:hint="default"/>
        </w:rPr>
        <w:t>23,862,607.06</w:t>
      </w:r>
      <w:r>
        <w:rPr/>
        <w:t>元，保函保证金为</w:t>
      </w:r>
      <w:r>
        <w:rPr>
          <w:rFonts w:ascii="Times New Roman" w:hAnsi="Times New Roman" w:cs="Times New Roman" w:eastAsia="Times New Roman" w:hint="default"/>
        </w:rPr>
        <w:t>7,688,154</w:t>
      </w:r>
      <w:r>
        <w:rPr>
          <w:rFonts w:ascii="宋体" w:hAnsi="宋体" w:cs="宋体" w:eastAsia="宋体" w:hint="default"/>
        </w:rPr>
        <w:t>.</w:t>
      </w:r>
      <w:r>
        <w:rPr>
          <w:rFonts w:ascii="Times New Roman" w:hAnsi="Times New Roman" w:cs="Times New Roman" w:eastAsia="Times New Roman" w:hint="default"/>
        </w:rPr>
        <w:t>22</w:t>
      </w:r>
      <w:r>
        <w:rPr/>
        <w:t>元。</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89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5" w:right="0"/>
              <w:jc w:val="center"/>
              <w:rPr>
                <w:rFonts w:ascii="Times New Roman" w:hAnsi="Times New Roman" w:cs="Times New Roman" w:eastAsia="Times New Roman" w:hint="default"/>
                <w:sz w:val="18"/>
                <w:szCs w:val="18"/>
              </w:rPr>
            </w:pPr>
            <w:r>
              <w:rPr>
                <w:rFonts w:ascii="Times New Roman"/>
                <w:sz w:val="18"/>
              </w:rPr>
              <w:t>15,587.05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w w:val="95"/>
                <w:sz w:val="18"/>
              </w:rPr>
              <w:t>5,873.01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pacing w:val="-1"/>
                <w:sz w:val="18"/>
              </w:rPr>
              <w:t>14,051.00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w w:val="95"/>
                <w:sz w:val="18"/>
              </w:rPr>
              <w:t>1,536.05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尚未使用 的募集资 金存放于 公司开立 的募集资 </w:t>
            </w:r>
            <w:r>
              <w:rPr>
                <w:rFonts w:ascii="宋体" w:hAnsi="宋体" w:cs="宋体" w:eastAsia="宋体" w:hint="default"/>
                <w:spacing w:val="-18"/>
                <w:sz w:val="18"/>
                <w:szCs w:val="18"/>
              </w:rPr>
              <w:t>金专户，将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用于募投 项目后续 资金支付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15,587.05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5,873.01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14,051.00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1,536.05</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宋体" w:hAnsi="宋体" w:cs="宋体" w:eastAsia="宋体" w:hint="default"/>
          <w:sz w:val="28"/>
          <w:szCs w:val="28"/>
        </w:rPr>
      </w:pPr>
    </w:p>
    <w:p>
      <w:pPr>
        <w:spacing w:line="4205" w:lineRule="exact"/>
        <w:ind w:left="148" w:right="0" w:firstLine="0"/>
        <w:rPr>
          <w:rFonts w:ascii="宋体" w:hAnsi="宋体" w:cs="宋体" w:eastAsia="宋体" w:hint="default"/>
          <w:sz w:val="20"/>
          <w:szCs w:val="20"/>
        </w:rPr>
      </w:pPr>
      <w:r>
        <w:rPr>
          <w:rFonts w:ascii="宋体" w:hAnsi="宋体" w:cs="宋体" w:eastAsia="宋体" w:hint="default"/>
          <w:position w:val="-83"/>
          <w:sz w:val="20"/>
          <w:szCs w:val="20"/>
        </w:rPr>
        <w:pict>
          <v:group style="width:481.7pt;height:210.3pt;mso-position-horizontal-relative:char;mso-position-vertical-relative:line" coordorigin="0,0" coordsize="9634,4206">
            <v:group style="position:absolute;left:10;top:10;width:9557;height:2" coordorigin="10,10" coordsize="9557,2">
              <v:shape style="position:absolute;left:10;top:10;width:9557;height:2" coordorigin="10,10" coordsize="9557,0" path="m10,10l9566,10e" filled="false" stroked="true" strokeweight=".48pt" strokecolor="#000000">
                <v:path arrowok="t"/>
              </v:shape>
            </v:group>
            <v:group style="position:absolute;left:5;top:5;width:2;height:4197" coordorigin="5,5" coordsize="2,4197">
              <v:shape style="position:absolute;left:5;top:5;width:2;height:4197" coordorigin="5,5" coordsize="0,4197" path="m5,5l5,4201e" filled="false" stroked="true" strokeweight=".48pt" strokecolor="#000000">
                <v:path arrowok="t"/>
              </v:shape>
            </v:group>
            <v:group style="position:absolute;left:10;top:4196;width:9557;height:2" coordorigin="10,4196" coordsize="9557,2">
              <v:shape style="position:absolute;left:10;top:4196;width:9557;height:2" coordorigin="10,4196" coordsize="9557,0" path="m10,4196l9566,4196e" filled="false" stroked="true" strokeweight=".48001pt" strokecolor="#000000">
                <v:path arrowok="t"/>
              </v:shape>
            </v:group>
            <v:group style="position:absolute;left:9571;top:5;width:2;height:4197" coordorigin="9571,5" coordsize="2,4197">
              <v:shape style="position:absolute;left:9571;top:5;width:2;height:4197" coordorigin="9571,5" coordsize="0,4197" path="m9571,5l9571,4201e" filled="false" stroked="true" strokeweight=".48004pt" strokecolor="#000000">
                <v:path arrowok="t"/>
              </v:shape>
              <v:shape style="position:absolute;left:0;top:0;width:9634;height:4206" type="#_x0000_t202" filled="false" stroked="false">
                <v:textbox inset="0,0,0,0">
                  <w:txbxContent>
                    <w:p>
                      <w:pPr>
                        <w:spacing w:before="63"/>
                        <w:ind w:left="394" w:right="0" w:firstLine="0"/>
                        <w:jc w:val="left"/>
                        <w:rPr>
                          <w:rFonts w:ascii="宋体" w:hAnsi="宋体" w:cs="宋体" w:eastAsia="宋体" w:hint="default"/>
                          <w:sz w:val="18"/>
                          <w:szCs w:val="18"/>
                        </w:rPr>
                      </w:pPr>
                      <w:r>
                        <w:rPr>
                          <w:rFonts w:ascii="宋体" w:hAnsi="宋体" w:cs="宋体" w:eastAsia="宋体" w:hint="default"/>
                          <w:sz w:val="18"/>
                          <w:szCs w:val="18"/>
                        </w:rPr>
                        <w:t>经中国证券监督管理委员会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日证监许可</w:t>
                      </w:r>
                      <w:r>
                        <w:rPr>
                          <w:rFonts w:ascii="Times New Roman" w:hAnsi="Times New Roman" w:cs="Times New Roman" w:eastAsia="Times New Roman" w:hint="default"/>
                          <w:sz w:val="18"/>
                          <w:szCs w:val="18"/>
                        </w:rPr>
                        <w:t>[2016]1890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号文《关于核准新晨科技股份有限公司首次公</w:t>
                      </w:r>
                    </w:p>
                    <w:p>
                      <w:pPr>
                        <w:spacing w:before="63"/>
                        <w:ind w:left="33" w:right="0" w:firstLine="0"/>
                        <w:jc w:val="both"/>
                        <w:rPr>
                          <w:rFonts w:ascii="宋体" w:hAnsi="宋体" w:cs="宋体" w:eastAsia="宋体" w:hint="default"/>
                          <w:sz w:val="18"/>
                          <w:szCs w:val="18"/>
                        </w:rPr>
                      </w:pPr>
                      <w:r>
                        <w:rPr>
                          <w:rFonts w:ascii="宋体" w:hAnsi="宋体" w:cs="宋体" w:eastAsia="宋体" w:hint="default"/>
                          <w:sz w:val="18"/>
                          <w:szCs w:val="18"/>
                        </w:rPr>
                        <w:t>开发 行股票的批复》的核准，并经深圳证券交易所同意， 公司由主承销商安信证券股份有限公司于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spacing w:before="63"/>
                        <w:ind w:left="33" w:right="0" w:firstLine="0"/>
                        <w:jc w:val="both"/>
                        <w:rPr>
                          <w:rFonts w:ascii="宋体" w:hAnsi="宋体" w:cs="宋体" w:eastAsia="宋体" w:hint="default"/>
                          <w:sz w:val="18"/>
                          <w:szCs w:val="18"/>
                        </w:rPr>
                      </w:pPr>
                      <w:r>
                        <w:rPr>
                          <w:rFonts w:ascii="宋体" w:hAnsi="宋体" w:cs="宋体" w:eastAsia="宋体" w:hint="default"/>
                          <w:sz w:val="18"/>
                          <w:szCs w:val="18"/>
                        </w:rPr>
                        <w:t>向社会公 </w:t>
                      </w:r>
                      <w:r>
                        <w:rPr>
                          <w:rFonts w:ascii="宋体" w:hAnsi="宋体" w:cs="宋体" w:eastAsia="宋体" w:hint="default"/>
                          <w:spacing w:val="-4"/>
                          <w:sz w:val="18"/>
                          <w:szCs w:val="18"/>
                        </w:rPr>
                        <w:t>众公开发行普通股（</w:t>
                      </w:r>
                      <w:r>
                        <w:rPr>
                          <w:rFonts w:ascii="Times New Roman" w:hAnsi="Times New Roman" w:cs="Times New Roman" w:eastAsia="Times New Roman" w:hint="default"/>
                          <w:spacing w:val="-4"/>
                          <w:sz w:val="18"/>
                          <w:szCs w:val="18"/>
                        </w:rPr>
                        <w:t>A  </w:t>
                      </w:r>
                      <w:r>
                        <w:rPr>
                          <w:rFonts w:ascii="宋体" w:hAnsi="宋体" w:cs="宋体" w:eastAsia="宋体" w:hint="default"/>
                          <w:spacing w:val="-8"/>
                          <w:sz w:val="18"/>
                          <w:szCs w:val="18"/>
                        </w:rPr>
                        <w:t>股）股票 </w:t>
                      </w:r>
                      <w:r>
                        <w:rPr>
                          <w:rFonts w:ascii="Times New Roman" w:hAnsi="Times New Roman" w:cs="Times New Roman" w:eastAsia="Times New Roman" w:hint="default"/>
                          <w:sz w:val="18"/>
                          <w:szCs w:val="18"/>
                        </w:rPr>
                        <w:t>2,255  </w:t>
                      </w:r>
                      <w:r>
                        <w:rPr>
                          <w:rFonts w:ascii="宋体" w:hAnsi="宋体" w:cs="宋体" w:eastAsia="宋体" w:hint="default"/>
                          <w:spacing w:val="-5"/>
                          <w:sz w:val="18"/>
                          <w:szCs w:val="18"/>
                        </w:rPr>
                        <w:t>万股，每股面值 </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元，每股发行价人民币 </w:t>
                      </w:r>
                      <w:r>
                        <w:rPr>
                          <w:rFonts w:ascii="Times New Roman" w:hAnsi="Times New Roman" w:cs="Times New Roman" w:eastAsia="Times New Roman" w:hint="default"/>
                          <w:sz w:val="18"/>
                          <w:szCs w:val="18"/>
                        </w:rPr>
                        <w:t>8.21  </w:t>
                      </w:r>
                      <w:r>
                        <w:rPr>
                          <w:rFonts w:ascii="宋体" w:hAnsi="宋体" w:cs="宋体" w:eastAsia="宋体" w:hint="default"/>
                          <w:spacing w:val="-8"/>
                          <w:sz w:val="18"/>
                          <w:szCs w:val="18"/>
                        </w:rPr>
                        <w:t>元。截至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spacing w:before="63"/>
                        <w:ind w:left="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日止，公司</w:t>
                      </w:r>
                      <w:r>
                        <w:rPr>
                          <w:rFonts w:ascii="宋体" w:hAnsi="宋体" w:cs="宋体" w:eastAsia="宋体" w:hint="default"/>
                          <w:spacing w:val="1"/>
                          <w:sz w:val="18"/>
                          <w:szCs w:val="18"/>
                        </w:rPr>
                        <w:t> </w:t>
                      </w:r>
                      <w:r>
                        <w:rPr>
                          <w:rFonts w:ascii="宋体" w:hAnsi="宋体" w:cs="宋体" w:eastAsia="宋体" w:hint="default"/>
                          <w:sz w:val="18"/>
                          <w:szCs w:val="18"/>
                        </w:rPr>
                        <w:t>共募集资金</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元（大写：壹亿</w:t>
                      </w:r>
                      <w:r>
                        <w:rPr>
                          <w:rFonts w:ascii="宋体" w:hAnsi="宋体" w:cs="宋体" w:eastAsia="宋体" w:hint="default"/>
                          <w:spacing w:val="-3"/>
                          <w:sz w:val="18"/>
                          <w:szCs w:val="18"/>
                        </w:rPr>
                        <w:t>捌</w:t>
                      </w:r>
                      <w:r>
                        <w:rPr>
                          <w:rFonts w:ascii="宋体" w:hAnsi="宋体" w:cs="宋体" w:eastAsia="宋体" w:hint="default"/>
                          <w:sz w:val="18"/>
                          <w:szCs w:val="18"/>
                        </w:rPr>
                        <w:t>仟伍佰壹拾叁万伍仟伍佰元整</w:t>
                      </w:r>
                      <w:r>
                        <w:rPr>
                          <w:rFonts w:ascii="宋体" w:hAnsi="宋体" w:cs="宋体" w:eastAsia="宋体" w:hint="default"/>
                          <w:spacing w:val="-89"/>
                          <w:sz w:val="18"/>
                          <w:szCs w:val="18"/>
                        </w:rPr>
                        <w:t>）</w:t>
                      </w:r>
                      <w:r>
                        <w:rPr>
                          <w:rFonts w:ascii="宋体" w:hAnsi="宋体" w:cs="宋体" w:eastAsia="宋体" w:hint="default"/>
                          <w:sz w:val="18"/>
                          <w:szCs w:val="18"/>
                        </w:rPr>
                        <w:t>，扣除发行费用（含增值</w:t>
                      </w:r>
                      <w:r>
                        <w:rPr>
                          <w:rFonts w:ascii="宋体" w:hAnsi="宋体" w:cs="宋体" w:eastAsia="宋体" w:hint="default"/>
                          <w:spacing w:val="-3"/>
                          <w:sz w:val="18"/>
                          <w:szCs w:val="18"/>
                        </w:rPr>
                        <w:t>税</w:t>
                      </w:r>
                      <w:r>
                        <w:rPr>
                          <w:rFonts w:ascii="宋体" w:hAnsi="宋体" w:cs="宋体" w:eastAsia="宋体" w:hint="default"/>
                          <w:sz w:val="18"/>
                          <w:szCs w:val="18"/>
                        </w:rPr>
                        <w:t>）</w:t>
                      </w:r>
                    </w:p>
                    <w:p>
                      <w:pPr>
                        <w:spacing w:line="300" w:lineRule="auto" w:before="63"/>
                        <w:ind w:left="33" w:right="141" w:firstLine="0"/>
                        <w:jc w:val="both"/>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29,265,000.00 </w:t>
                      </w:r>
                      <w:r>
                        <w:rPr>
                          <w:rFonts w:ascii="宋体" w:hAnsi="宋体" w:cs="宋体" w:eastAsia="宋体" w:hint="default"/>
                          <w:spacing w:val="-4"/>
                          <w:sz w:val="18"/>
                          <w:szCs w:val="18"/>
                        </w:rPr>
                        <w:t>元（大写：贰仟玖佰贰拾陆万伍仟元整），募集资金净额为人民币 </w:t>
                      </w:r>
                      <w:r>
                        <w:rPr>
                          <w:rFonts w:ascii="Times New Roman" w:hAnsi="Times New Roman" w:cs="Times New Roman" w:eastAsia="Times New Roman" w:hint="default"/>
                          <w:sz w:val="18"/>
                          <w:szCs w:val="18"/>
                        </w:rPr>
                        <w:t>155,870,500.00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元（大写：壹亿 伍仟伍佰捌拾柒万零伍佰</w:t>
                      </w:r>
                      <w:r>
                        <w:rPr>
                          <w:rFonts w:ascii="宋体" w:hAnsi="宋体" w:cs="宋体" w:eastAsia="宋体" w:hint="default"/>
                          <w:spacing w:val="30"/>
                          <w:sz w:val="18"/>
                          <w:szCs w:val="18"/>
                        </w:rPr>
                        <w:t> </w:t>
                      </w:r>
                      <w:r>
                        <w:rPr>
                          <w:rFonts w:ascii="宋体" w:hAnsi="宋体" w:cs="宋体" w:eastAsia="宋体" w:hint="default"/>
                          <w:spacing w:val="-3"/>
                          <w:sz w:val="18"/>
                          <w:szCs w:val="18"/>
                        </w:rPr>
                        <w:t>元整）。上述发行募集的资金已全部到位，业经大华会计师事务所（特殊普通合伙）出具的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大</w:t>
                      </w:r>
                      <w:r>
                        <w:rPr>
                          <w:rFonts w:ascii="宋体" w:hAnsi="宋体" w:cs="宋体" w:eastAsia="宋体" w:hint="default"/>
                          <w:spacing w:val="-84"/>
                          <w:sz w:val="18"/>
                          <w:szCs w:val="18"/>
                        </w:rPr>
                        <w:t> </w:t>
                      </w:r>
                      <w:r>
                        <w:rPr>
                          <w:rFonts w:ascii="宋体" w:hAnsi="宋体" w:cs="宋体" w:eastAsia="宋体" w:hint="default"/>
                          <w:sz w:val="18"/>
                          <w:szCs w:val="18"/>
                        </w:rPr>
                        <w:t>华验字</w:t>
                      </w:r>
                      <w:r>
                        <w:rPr>
                          <w:rFonts w:ascii="Times New Roman" w:hAnsi="Times New Roman" w:cs="Times New Roman" w:eastAsia="Times New Roman" w:hint="default"/>
                          <w:sz w:val="18"/>
                          <w:szCs w:val="18"/>
                        </w:rPr>
                        <w:t>[2016]000900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w:t>
                      </w:r>
                      <w:r>
                        <w:rPr>
                          <w:rFonts w:ascii="宋体" w:hAnsi="宋体" w:cs="宋体" w:eastAsia="宋体" w:hint="default"/>
                          <w:spacing w:val="-4"/>
                          <w:sz w:val="18"/>
                          <w:szCs w:val="18"/>
                        </w:rPr>
                        <w:t> </w:t>
                      </w:r>
                      <w:r>
                        <w:rPr>
                          <w:rFonts w:ascii="宋体" w:hAnsi="宋体" w:cs="宋体" w:eastAsia="宋体" w:hint="default"/>
                          <w:sz w:val="18"/>
                          <w:szCs w:val="18"/>
                        </w:rPr>
                        <w:t>报告验证确认。</w:t>
                      </w:r>
                    </w:p>
                    <w:p>
                      <w:pPr>
                        <w:spacing w:line="300" w:lineRule="auto" w:before="51"/>
                        <w:ind w:left="33" w:right="86"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年底，公司实际使用募集资金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81,779,859.91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年度，公司实际使用募集资金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58,730,096.87</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元，其中</w:t>
                      </w:r>
                      <w:r>
                        <w:rPr>
                          <w:rFonts w:ascii="宋体" w:hAnsi="宋体" w:cs="宋体" w:eastAsia="宋体" w:hint="default"/>
                          <w:sz w:val="18"/>
                          <w:szCs w:val="18"/>
                        </w:rPr>
                        <w:t> 部分募集资金投资项目结项并将节余募集资金永久性补充流动资金 </w:t>
                      </w:r>
                      <w:r>
                        <w:rPr>
                          <w:rFonts w:ascii="Times New Roman" w:hAnsi="Times New Roman" w:cs="Times New Roman" w:eastAsia="Times New Roman" w:hint="default"/>
                          <w:sz w:val="18"/>
                          <w:szCs w:val="18"/>
                        </w:rPr>
                        <w:t>19,564,796.89</w:t>
                      </w:r>
                      <w:r>
                        <w:rPr>
                          <w:rFonts w:ascii="Times New Roman" w:hAnsi="Times New Roman" w:cs="Times New Roman" w:eastAsia="Times New Roman" w:hint="default"/>
                          <w:spacing w:val="-39"/>
                          <w:sz w:val="18"/>
                          <w:szCs w:val="18"/>
                        </w:rPr>
                        <w:t> </w:t>
                      </w:r>
                      <w:r>
                        <w:rPr>
                          <w:rFonts w:ascii="宋体" w:hAnsi="宋体" w:cs="宋体" w:eastAsia="宋体" w:hint="default"/>
                          <w:spacing w:val="-5"/>
                          <w:sz w:val="18"/>
                          <w:szCs w:val="18"/>
                        </w:rPr>
                        <w:t>元（不包含银行存款利息扣除银行手续费</w:t>
                      </w:r>
                      <w:r>
                        <w:rPr>
                          <w:rFonts w:ascii="宋体" w:hAnsi="宋体" w:cs="宋体" w:eastAsia="宋体" w:hint="default"/>
                          <w:sz w:val="18"/>
                          <w:szCs w:val="18"/>
                        </w:rPr>
                        <w:t> </w:t>
                      </w:r>
                      <w:r>
                        <w:rPr>
                          <w:rFonts w:ascii="宋体" w:hAnsi="宋体" w:cs="宋体" w:eastAsia="宋体" w:hint="default"/>
                          <w:spacing w:val="-12"/>
                          <w:sz w:val="18"/>
                          <w:szCs w:val="18"/>
                        </w:rPr>
                        <w:t>等的净额）。截至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年底，公司累计实际使用募集资金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140,509,956.78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元，其中部分募集资金投资项目结项并将节余募</w:t>
                      </w:r>
                    </w:p>
                    <w:p>
                      <w:pPr>
                        <w:spacing w:before="13"/>
                        <w:ind w:left="33" w:right="0" w:firstLine="0"/>
                        <w:jc w:val="both"/>
                        <w:rPr>
                          <w:rFonts w:ascii="宋体" w:hAnsi="宋体" w:cs="宋体" w:eastAsia="宋体" w:hint="default"/>
                          <w:sz w:val="18"/>
                          <w:szCs w:val="18"/>
                        </w:rPr>
                      </w:pPr>
                      <w:r>
                        <w:rPr>
                          <w:rFonts w:ascii="宋体" w:hAnsi="宋体" w:cs="宋体" w:eastAsia="宋体" w:hint="default"/>
                          <w:sz w:val="18"/>
                          <w:szCs w:val="18"/>
                        </w:rPr>
                        <w:t>集资金永久性补充流动资金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元（不包含银行</w:t>
                      </w:r>
                      <w:r>
                        <w:rPr>
                          <w:rFonts w:ascii="宋体" w:hAnsi="宋体" w:cs="宋体" w:eastAsia="宋体" w:hint="default"/>
                          <w:spacing w:val="-3"/>
                          <w:sz w:val="18"/>
                          <w:szCs w:val="18"/>
                        </w:rPr>
                        <w:t>存</w:t>
                      </w:r>
                      <w:r>
                        <w:rPr>
                          <w:rFonts w:ascii="宋体" w:hAnsi="宋体" w:cs="宋体" w:eastAsia="宋体" w:hint="default"/>
                          <w:sz w:val="18"/>
                          <w:szCs w:val="18"/>
                        </w:rPr>
                        <w:t>款利息扣除银行手续费等的净额</w:t>
                      </w:r>
                      <w:r>
                        <w:rPr>
                          <w:rFonts w:ascii="宋体" w:hAnsi="宋体" w:cs="宋体" w:eastAsia="宋体" w:hint="default"/>
                          <w:spacing w:val="-92"/>
                          <w:sz w:val="18"/>
                          <w:szCs w:val="18"/>
                        </w:rPr>
                        <w:t>）</w:t>
                      </w:r>
                      <w:r>
                        <w:rPr>
                          <w:rFonts w:ascii="宋体" w:hAnsi="宋体" w:cs="宋体" w:eastAsia="宋体" w:hint="default"/>
                          <w:sz w:val="18"/>
                          <w:szCs w:val="18"/>
                        </w:rPr>
                        <w:t>；募集资金专用账户累计收</w:t>
                      </w:r>
                    </w:p>
                    <w:p>
                      <w:pPr>
                        <w:spacing w:before="63"/>
                        <w:ind w:left="33"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到利息收入（扣除银行手续费等）</w:t>
                      </w:r>
                      <w:r>
                        <w:rPr>
                          <w:rFonts w:ascii="Times New Roman" w:hAnsi="Times New Roman" w:cs="Times New Roman" w:eastAsia="Times New Roman" w:hint="default"/>
                          <w:sz w:val="18"/>
                          <w:szCs w:val="18"/>
                        </w:rPr>
                        <w:t>3,306,441.56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元，其中由于部分募集资金投资项目结项并永久补充流动资金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2,116,572.73</w:t>
                      </w:r>
                    </w:p>
                    <w:p>
                      <w:pPr>
                        <w:spacing w:before="63"/>
                        <w:ind w:left="33" w:right="0" w:firstLine="0"/>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56"/>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58"/>
                          <w:sz w:val="18"/>
                          <w:szCs w:val="18"/>
                        </w:rPr>
                        <w:t>，</w:t>
                      </w:r>
                      <w:r>
                        <w:rPr>
                          <w:rFonts w:ascii="宋体" w:hAnsi="宋体" w:cs="宋体" w:eastAsia="宋体" w:hint="default"/>
                          <w:sz w:val="18"/>
                          <w:szCs w:val="18"/>
                        </w:rPr>
                        <w:t>募集资金余额为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 </w:t>
                      </w:r>
                      <w:r>
                        <w:rPr>
                          <w:rFonts w:ascii="宋体" w:hAnsi="宋体" w:cs="宋体" w:eastAsia="宋体" w:hint="default"/>
                          <w:spacing w:val="-56"/>
                          <w:sz w:val="18"/>
                          <w:szCs w:val="18"/>
                        </w:rPr>
                        <w:t>元</w:t>
                      </w:r>
                      <w:r>
                        <w:rPr>
                          <w:rFonts w:ascii="宋体" w:hAnsi="宋体" w:cs="宋体" w:eastAsia="宋体" w:hint="default"/>
                          <w:sz w:val="18"/>
                          <w:szCs w:val="18"/>
                        </w:rPr>
                        <w:t>（包含累计收到的银行存款利息扣除银行手续费等的</w:t>
                      </w:r>
                      <w:r>
                        <w:rPr>
                          <w:rFonts w:ascii="宋体" w:hAnsi="宋体" w:cs="宋体" w:eastAsia="宋体" w:hint="default"/>
                          <w:spacing w:val="1"/>
                          <w:sz w:val="18"/>
                          <w:szCs w:val="18"/>
                        </w:rPr>
                        <w:t>净</w:t>
                      </w:r>
                      <w:r>
                        <w:rPr>
                          <w:rFonts w:ascii="宋体" w:hAnsi="宋体" w:cs="宋体" w:eastAsia="宋体" w:hint="default"/>
                          <w:sz w:val="18"/>
                          <w:szCs w:val="18"/>
                        </w:rPr>
                        <w:t>额</w:t>
                      </w:r>
                      <w:r>
                        <w:rPr>
                          <w:rFonts w:ascii="宋体" w:hAnsi="宋体" w:cs="宋体" w:eastAsia="宋体" w:hint="default"/>
                          <w:spacing w:val="-92"/>
                          <w:sz w:val="18"/>
                          <w:szCs w:val="18"/>
                        </w:rPr>
                        <w:t>）</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83"/>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22"/>
        <w:gridCol w:w="905"/>
        <w:gridCol w:w="850"/>
        <w:gridCol w:w="708"/>
        <w:gridCol w:w="852"/>
        <w:gridCol w:w="708"/>
        <w:gridCol w:w="708"/>
        <w:gridCol w:w="711"/>
        <w:gridCol w:w="850"/>
        <w:gridCol w:w="425"/>
        <w:gridCol w:w="595"/>
      </w:tblGrid>
      <w:tr>
        <w:trPr>
          <w:trHeight w:val="227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62" w:right="9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88" w:right="8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9"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80"/>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0"/>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1"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国家空管数据信息 服务体系研发项目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4,461.05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4,461.05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886.26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65.57%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渠道整合平台研发 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915.29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2,884.44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82.60%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588.93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新一代贸易融资结 算系统研发项目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1,209.65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3,603.01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81.92%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564.78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59"/>
              <w:jc w:val="left"/>
              <w:rPr>
                <w:rFonts w:ascii="宋体" w:hAnsi="宋体" w:cs="宋体" w:eastAsia="宋体" w:hint="default"/>
                <w:sz w:val="18"/>
                <w:szCs w:val="18"/>
              </w:rPr>
            </w:pPr>
            <w:r>
              <w:rPr>
                <w:rFonts w:ascii="宋体" w:hAnsi="宋体" w:cs="宋体" w:eastAsia="宋体" w:hint="default"/>
                <w:sz w:val="18"/>
                <w:szCs w:val="18"/>
              </w:rPr>
              <w:t>新一代交换平台研 发项目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905.33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2,682.07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82.88%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938.61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1,956.48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1,956.48</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5,873.01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14,051.00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1,603.03</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2,327.33</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84.2pt;height:689.9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65"/>
                    <w:gridCol w:w="478"/>
                    <w:gridCol w:w="917"/>
                    <w:gridCol w:w="850"/>
                    <w:gridCol w:w="708"/>
                    <w:gridCol w:w="852"/>
                    <w:gridCol w:w="709"/>
                    <w:gridCol w:w="696"/>
                    <w:gridCol w:w="722"/>
                    <w:gridCol w:w="862"/>
                    <w:gridCol w:w="414"/>
                    <w:gridCol w:w="594"/>
                  </w:tblGrid>
                  <w:tr>
                    <w:trPr>
                      <w:trHeight w:val="401" w:hRule="exact"/>
                    </w:trPr>
                    <w:tc>
                      <w:tcPr>
                        <w:tcW w:w="966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3" w:type="dxa"/>
                        <w:gridSpan w:val="2"/>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696"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2"/>
                          <w:jc w:val="right"/>
                          <w:rPr>
                            <w:rFonts w:ascii="Times New Roman" w:hAnsi="Times New Roman" w:cs="Times New Roman" w:eastAsia="Times New Roman" w:hint="default"/>
                            <w:sz w:val="18"/>
                            <w:szCs w:val="18"/>
                          </w:rPr>
                        </w:pPr>
                        <w:r>
                          <w:rPr>
                            <w:rFonts w:ascii="Times New Roman"/>
                            <w:sz w:val="18"/>
                          </w:rPr>
                          <w:t>0</w:t>
                        </w:r>
                      </w:p>
                    </w:tc>
                    <w:tc>
                      <w:tcPr>
                        <w:tcW w:w="41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归还银行贷款（如有</w:t>
                        </w:r>
                      </w:p>
                    </w:tc>
                    <w:tc>
                      <w:tcPr>
                        <w:tcW w:w="16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8"/>
                          <w:jc w:val="center"/>
                          <w:rPr>
                            <w:rFonts w:ascii="Times New Roman" w:hAnsi="Times New Roman" w:cs="Times New Roman" w:eastAsia="Times New Roman" w:hint="default"/>
                            <w:sz w:val="18"/>
                            <w:szCs w:val="18"/>
                          </w:rPr>
                        </w:pPr>
                        <w:r>
                          <w:rPr>
                            <w:rFonts w:ascii="Times New Roman"/>
                            <w:sz w:val="18"/>
                          </w:rPr>
                          <w:t>--</w:t>
                        </w:r>
                      </w:p>
                    </w:tc>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15,587.05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5,873.01</w:t>
                        </w:r>
                      </w:p>
                    </w:tc>
                    <w:tc>
                      <w:tcPr>
                        <w:tcW w:w="8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14,051.00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1,603.03</w:t>
                        </w:r>
                      </w:p>
                    </w:tc>
                    <w:tc>
                      <w:tcPr>
                        <w:tcW w:w="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2,327.33</w:t>
                        </w:r>
                      </w:p>
                    </w:tc>
                    <w:tc>
                      <w:tcPr>
                        <w:tcW w:w="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82"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7" w:type="dxa"/>
                        <w:gridSpan w:val="12"/>
                        <w:vMerge w:val="restart"/>
                        <w:tcBorders>
                          <w:top w:val="single" w:sz="4" w:space="0" w:color="000000"/>
                          <w:left w:val="single" w:sz="9" w:space="0" w:color="D2D2D2"/>
                          <w:right w:val="single" w:sz="4" w:space="0" w:color="000000"/>
                        </w:tcBorders>
                      </w:tcPr>
                      <w:p>
                        <w:pPr>
                          <w:pStyle w:val="TableParagraph"/>
                          <w:spacing w:line="338" w:lineRule="auto" w:before="51"/>
                          <w:ind w:left="17" w:right="23"/>
                          <w:jc w:val="left"/>
                          <w:rPr>
                            <w:rFonts w:ascii="宋体" w:hAnsi="宋体" w:cs="宋体" w:eastAsia="宋体" w:hint="default"/>
                            <w:sz w:val="18"/>
                            <w:szCs w:val="18"/>
                          </w:rPr>
                        </w:pPr>
                        <w:r>
                          <w:rPr>
                            <w:rFonts w:ascii="宋体" w:hAnsi="宋体" w:cs="宋体" w:eastAsia="宋体" w:hint="default"/>
                            <w:sz w:val="18"/>
                            <w:szCs w:val="18"/>
                          </w:rPr>
                          <w:t>国家空管数据信息服务体系研发项目由于军队体制改革等原因，投资实施进度延期，导致项目投资实 施进度未达预期。 由于相关领域竞争激烈，公司在报告期内实现与新一代贸易融资结算系统研发项目相关的营业收入不</w:t>
                        </w:r>
                      </w:p>
                      <w:p>
                        <w:pPr>
                          <w:pStyle w:val="TableParagraph"/>
                          <w:spacing w:line="240" w:lineRule="auto" w:before="2"/>
                          <w:ind w:left="17" w:right="0"/>
                          <w:jc w:val="left"/>
                          <w:rPr>
                            <w:rFonts w:ascii="宋体" w:hAnsi="宋体" w:cs="宋体" w:eastAsia="宋体" w:hint="default"/>
                            <w:sz w:val="18"/>
                            <w:szCs w:val="18"/>
                          </w:rPr>
                        </w:pPr>
                        <w:r>
                          <w:rPr>
                            <w:rFonts w:ascii="宋体" w:hAnsi="宋体" w:cs="宋体" w:eastAsia="宋体" w:hint="default"/>
                            <w:sz w:val="18"/>
                            <w:szCs w:val="18"/>
                          </w:rPr>
                          <w:t>及预期，导致项目实现的效益未达预期。</w:t>
                        </w:r>
                      </w:p>
                    </w:tc>
                  </w:tr>
                  <w:tr>
                    <w:trPr>
                      <w:trHeight w:val="1015"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67" w:type="dxa"/>
                        <w:gridSpan w:val="12"/>
                        <w:vMerge/>
                        <w:tcBorders>
                          <w:left w:val="single" w:sz="9" w:space="0" w:color="D2D2D2"/>
                          <w:right w:val="single" w:sz="4" w:space="0" w:color="000000"/>
                        </w:tcBorders>
                      </w:tcPr>
                      <w:p>
                        <w:pPr/>
                      </w:p>
                    </w:tc>
                  </w:tr>
                  <w:tr>
                    <w:trPr>
                      <w:trHeight w:val="182"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7" w:type="dxa"/>
                        <w:gridSpan w:val="12"/>
                        <w:vMerge/>
                        <w:tcBorders>
                          <w:left w:val="single" w:sz="9" w:space="0" w:color="D2D2D2"/>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67" w:type="dxa"/>
                        <w:gridSpan w:val="1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4" w:right="46"/>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967" w:type="dxa"/>
                        <w:gridSpan w:val="1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7967" w:type="dxa"/>
                        <w:gridSpan w:val="12"/>
                        <w:tcBorders>
                          <w:top w:val="single" w:sz="4" w:space="0" w:color="000000"/>
                          <w:left w:val="single" w:sz="12" w:space="0" w:color="D2D2D2"/>
                          <w:bottom w:val="single" w:sz="4" w:space="0" w:color="000000"/>
                          <w:right w:val="single" w:sz="4" w:space="0" w:color="000000"/>
                        </w:tcBorders>
                      </w:tcPr>
                      <w:p>
                        <w:pPr/>
                      </w:p>
                    </w:tc>
                  </w:tr>
                  <w:tr>
                    <w:trPr>
                      <w:trHeight w:val="252"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7" w:type="dxa"/>
                        <w:gridSpan w:val="12"/>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67" w:type="dxa"/>
                        <w:gridSpan w:val="12"/>
                        <w:vMerge/>
                        <w:tcBorders>
                          <w:left w:val="single" w:sz="9" w:space="0" w:color="D2D2D2"/>
                          <w:bottom w:val="single" w:sz="4" w:space="0" w:color="000000"/>
                          <w:right w:val="single" w:sz="4" w:space="0" w:color="000000"/>
                        </w:tcBorders>
                      </w:tcPr>
                      <w:p>
                        <w:pPr/>
                      </w:p>
                    </w:tc>
                  </w:tr>
                  <w:tr>
                    <w:trPr>
                      <w:trHeight w:val="401" w:hRule="exact"/>
                    </w:trPr>
                    <w:tc>
                      <w:tcPr>
                        <w:tcW w:w="1702" w:type="dxa"/>
                        <w:vMerge/>
                        <w:tcBorders>
                          <w:left w:val="single" w:sz="4" w:space="0" w:color="000000"/>
                          <w:right w:val="single" w:sz="4" w:space="0" w:color="000000"/>
                        </w:tcBorders>
                        <w:shd w:val="clear" w:color="auto" w:fill="D2D2D2"/>
                      </w:tcPr>
                      <w:p>
                        <w:pPr/>
                      </w:p>
                    </w:tc>
                    <w:tc>
                      <w:tcPr>
                        <w:tcW w:w="7967" w:type="dxa"/>
                        <w:gridSpan w:val="12"/>
                        <w:tcBorders>
                          <w:top w:val="single" w:sz="4" w:space="0" w:color="000000"/>
                          <w:left w:val="single" w:sz="12" w:space="0" w:color="D2D2D2"/>
                          <w:bottom w:val="single" w:sz="4" w:space="0" w:color="000000"/>
                          <w:right w:val="single" w:sz="4" w:space="0" w:color="000000"/>
                        </w:tcBorders>
                      </w:tcPr>
                      <w:p>
                        <w:pPr/>
                      </w:p>
                    </w:tc>
                  </w:tr>
                  <w:tr>
                    <w:trPr>
                      <w:trHeight w:val="151"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7967" w:type="dxa"/>
                        <w:gridSpan w:val="12"/>
                        <w:vMerge w:val="restart"/>
                        <w:tcBorders>
                          <w:top w:val="single" w:sz="4" w:space="0" w:color="000000"/>
                          <w:left w:val="single" w:sz="9" w:space="0" w:color="D2D2D2"/>
                          <w:right w:val="single" w:sz="4" w:space="0" w:color="000000"/>
                        </w:tcBorders>
                      </w:tcPr>
                      <w:p>
                        <w:pPr/>
                      </w:p>
                    </w:tc>
                  </w:tr>
                  <w:tr>
                    <w:trPr>
                      <w:trHeight w:val="252"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7" w:type="dxa"/>
                        <w:gridSpan w:val="12"/>
                        <w:vMerge/>
                        <w:tcBorders>
                          <w:left w:val="single" w:sz="9" w:space="0" w:color="D2D2D2"/>
                          <w:bottom w:val="single" w:sz="4" w:space="0" w:color="000000"/>
                          <w:right w:val="single" w:sz="4" w:space="0" w:color="000000"/>
                        </w:tcBorders>
                      </w:tcPr>
                      <w:p>
                        <w:pPr/>
                      </w:p>
                    </w:tc>
                  </w:tr>
                  <w:tr>
                    <w:trPr>
                      <w:trHeight w:val="250"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7" w:type="dxa"/>
                        <w:gridSpan w:val="12"/>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967" w:type="dxa"/>
                        <w:gridSpan w:val="12"/>
                        <w:vMerge/>
                        <w:tcBorders>
                          <w:left w:val="single" w:sz="9" w:space="0" w:color="D2D2D2"/>
                          <w:bottom w:val="single" w:sz="4" w:space="0" w:color="000000"/>
                          <w:right w:val="single" w:sz="4" w:space="0" w:color="000000"/>
                        </w:tcBorders>
                      </w:tcPr>
                      <w:p>
                        <w:pPr/>
                      </w:p>
                    </w:tc>
                  </w:tr>
                  <w:tr>
                    <w:trPr>
                      <w:trHeight w:val="403" w:hRule="exact"/>
                    </w:trPr>
                    <w:tc>
                      <w:tcPr>
                        <w:tcW w:w="1702" w:type="dxa"/>
                        <w:vMerge/>
                        <w:tcBorders>
                          <w:left w:val="single" w:sz="4" w:space="0" w:color="000000"/>
                          <w:right w:val="single" w:sz="4" w:space="0" w:color="000000"/>
                        </w:tcBorders>
                        <w:shd w:val="clear" w:color="auto" w:fill="D2D2D2"/>
                      </w:tcPr>
                      <w:p>
                        <w:pPr/>
                      </w:p>
                    </w:tc>
                    <w:tc>
                      <w:tcPr>
                        <w:tcW w:w="7967" w:type="dxa"/>
                        <w:gridSpan w:val="12"/>
                        <w:tcBorders>
                          <w:top w:val="single" w:sz="4" w:space="0" w:color="000000"/>
                          <w:left w:val="single" w:sz="12" w:space="0" w:color="D2D2D2"/>
                          <w:bottom w:val="single" w:sz="4" w:space="0" w:color="000000"/>
                          <w:right w:val="single" w:sz="4" w:space="0" w:color="000000"/>
                        </w:tcBorders>
                      </w:tcPr>
                      <w:p>
                        <w:pPr/>
                      </w:p>
                    </w:tc>
                  </w:tr>
                  <w:tr>
                    <w:trPr>
                      <w:trHeight w:val="151"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7967" w:type="dxa"/>
                        <w:gridSpan w:val="12"/>
                        <w:vMerge w:val="restart"/>
                        <w:tcBorders>
                          <w:top w:val="single" w:sz="4" w:space="0" w:color="000000"/>
                          <w:left w:val="single" w:sz="9" w:space="0" w:color="D2D2D2"/>
                          <w:right w:val="single" w:sz="4" w:space="0" w:color="000000"/>
                        </w:tcBorders>
                      </w:tcPr>
                      <w:p>
                        <w:pPr/>
                      </w:p>
                    </w:tc>
                  </w:tr>
                  <w:tr>
                    <w:trPr>
                      <w:trHeight w:val="250"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7" w:type="dxa"/>
                        <w:gridSpan w:val="12"/>
                        <w:vMerge/>
                        <w:tcBorders>
                          <w:left w:val="single" w:sz="9" w:space="0" w:color="D2D2D2"/>
                          <w:bottom w:val="single" w:sz="4" w:space="0" w:color="000000"/>
                          <w:right w:val="single" w:sz="4" w:space="0" w:color="000000"/>
                        </w:tcBorders>
                      </w:tcPr>
                      <w:p>
                        <w:pPr/>
                      </w:p>
                    </w:tc>
                  </w:tr>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796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8"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7967" w:type="dxa"/>
                        <w:gridSpan w:val="12"/>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公司募集资金项目中“国家空管数据信息服务体系研发项目”已由公司利用自筹资金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1,465.90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万元先</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行投入</w:t>
                        </w:r>
                        <w:r>
                          <w:rPr>
                            <w:rFonts w:ascii="宋体" w:hAnsi="宋体" w:cs="宋体" w:eastAsia="宋体" w:hint="default"/>
                            <w:spacing w:val="-96"/>
                            <w:sz w:val="18"/>
                            <w:szCs w:val="18"/>
                          </w:rPr>
                          <w:t>；</w:t>
                        </w:r>
                        <w:r>
                          <w:rPr>
                            <w:rFonts w:ascii="宋体" w:hAnsi="宋体" w:cs="宋体" w:eastAsia="宋体" w:hint="default"/>
                            <w:sz w:val="18"/>
                            <w:szCs w:val="18"/>
                          </w:rPr>
                          <w:t>“渠道整合平台研发</w:t>
                        </w:r>
                        <w:r>
                          <w:rPr>
                            <w:rFonts w:ascii="宋体" w:hAnsi="宋体" w:cs="宋体" w:eastAsia="宋体" w:hint="default"/>
                            <w:spacing w:val="2"/>
                            <w:sz w:val="18"/>
                            <w:szCs w:val="18"/>
                          </w:rPr>
                          <w:t>项</w:t>
                        </w:r>
                        <w:r>
                          <w:rPr>
                            <w:rFonts w:ascii="宋体" w:hAnsi="宋体" w:cs="宋体" w:eastAsia="宋体" w:hint="default"/>
                            <w:sz w:val="18"/>
                            <w:szCs w:val="18"/>
                          </w:rPr>
                          <w:t>目</w:t>
                        </w:r>
                        <w:r>
                          <w:rPr>
                            <w:rFonts w:ascii="宋体" w:hAnsi="宋体" w:cs="宋体" w:eastAsia="宋体" w:hint="default"/>
                            <w:spacing w:val="-5"/>
                            <w:sz w:val="18"/>
                            <w:szCs w:val="18"/>
                          </w:rPr>
                          <w:t>”</w:t>
                        </w:r>
                        <w:r>
                          <w:rPr>
                            <w:rFonts w:ascii="宋体" w:hAnsi="宋体" w:cs="宋体" w:eastAsia="宋体" w:hint="default"/>
                            <w:sz w:val="18"/>
                            <w:szCs w:val="18"/>
                          </w:rPr>
                          <w:t>已由公司利用自筹资金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万元先行投入</w:t>
                        </w:r>
                        <w:r>
                          <w:rPr>
                            <w:rFonts w:ascii="宋体" w:hAnsi="宋体" w:cs="宋体" w:eastAsia="宋体" w:hint="default"/>
                            <w:spacing w:val="-96"/>
                            <w:sz w:val="18"/>
                            <w:szCs w:val="18"/>
                          </w:rPr>
                          <w:t>；</w:t>
                        </w:r>
                        <w:r>
                          <w:rPr>
                            <w:rFonts w:ascii="宋体" w:hAnsi="宋体" w:cs="宋体" w:eastAsia="宋体" w:hint="default"/>
                            <w:sz w:val="18"/>
                            <w:szCs w:val="18"/>
                          </w:rPr>
                          <w:t>“新一代贸易融资</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结算系统研发项目”已由公司利用自筹资金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先</w:t>
                        </w:r>
                        <w:r>
                          <w:rPr>
                            <w:rFonts w:ascii="宋体" w:hAnsi="宋体" w:cs="宋体" w:eastAsia="宋体" w:hint="default"/>
                            <w:sz w:val="18"/>
                            <w:szCs w:val="18"/>
                          </w:rPr>
                          <w:t>行投入</w:t>
                        </w:r>
                        <w:r>
                          <w:rPr>
                            <w:rFonts w:ascii="宋体" w:hAnsi="宋体" w:cs="宋体" w:eastAsia="宋体" w:hint="default"/>
                            <w:spacing w:val="-92"/>
                            <w:sz w:val="18"/>
                            <w:szCs w:val="18"/>
                          </w:rPr>
                          <w:t>；</w:t>
                        </w:r>
                        <w:r>
                          <w:rPr>
                            <w:rFonts w:ascii="宋体" w:hAnsi="宋体" w:cs="宋体" w:eastAsia="宋体" w:hint="default"/>
                            <w:sz w:val="18"/>
                            <w:szCs w:val="18"/>
                          </w:rPr>
                          <w:t>“新一代交换平台研</w:t>
                        </w:r>
                        <w:r>
                          <w:rPr>
                            <w:rFonts w:ascii="宋体" w:hAnsi="宋体" w:cs="宋体" w:eastAsia="宋体" w:hint="default"/>
                            <w:spacing w:val="2"/>
                            <w:sz w:val="18"/>
                            <w:szCs w:val="18"/>
                          </w:rPr>
                          <w:t>发</w:t>
                        </w:r>
                        <w:r>
                          <w:rPr>
                            <w:rFonts w:ascii="宋体" w:hAnsi="宋体" w:cs="宋体" w:eastAsia="宋体" w:hint="default"/>
                            <w:sz w:val="18"/>
                            <w:szCs w:val="18"/>
                          </w:rPr>
                          <w:t>项目”已</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由公司利用自筹资金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1,333.00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万元先行投入。经第八届董事会第二十三次会议、第八届监事会第十一</w:t>
                        </w:r>
                      </w:p>
                      <w:p>
                        <w:pPr>
                          <w:pStyle w:val="TableParagraph"/>
                          <w:spacing w:line="300" w:lineRule="auto" w:before="63"/>
                          <w:ind w:left="17" w:right="21"/>
                          <w:jc w:val="left"/>
                          <w:rPr>
                            <w:rFonts w:ascii="宋体" w:hAnsi="宋体" w:cs="宋体" w:eastAsia="宋体" w:hint="default"/>
                            <w:sz w:val="18"/>
                            <w:szCs w:val="18"/>
                          </w:rPr>
                        </w:pPr>
                        <w:r>
                          <w:rPr>
                            <w:rFonts w:ascii="宋体" w:hAnsi="宋体" w:cs="宋体" w:eastAsia="宋体" w:hint="default"/>
                            <w:sz w:val="18"/>
                            <w:szCs w:val="18"/>
                          </w:rPr>
                          <w:t>次会议审议通过，公司已于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日将预先投入募投项目的自筹资金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5,480.85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万元从募集资 金专户中转出。</w:t>
                        </w:r>
                      </w:p>
                    </w:tc>
                  </w:tr>
                  <w:tr>
                    <w:trPr>
                      <w:trHeight w:val="70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967" w:type="dxa"/>
                        <w:gridSpan w:val="12"/>
                        <w:vMerge/>
                        <w:tcBorders>
                          <w:left w:val="single" w:sz="9" w:space="0" w:color="D2D2D2"/>
                          <w:right w:val="single" w:sz="4" w:space="0" w:color="000000"/>
                        </w:tcBorders>
                      </w:tcPr>
                      <w:p>
                        <w:pPr/>
                      </w:p>
                    </w:tc>
                  </w:tr>
                  <w:tr>
                    <w:trPr>
                      <w:trHeight w:val="830"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7" w:type="dxa"/>
                        <w:gridSpan w:val="12"/>
                        <w:vMerge/>
                        <w:tcBorders>
                          <w:left w:val="single" w:sz="9" w:space="0" w:color="D2D2D2"/>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67" w:type="dxa"/>
                        <w:gridSpan w:val="12"/>
                        <w:vMerge w:val="restart"/>
                        <w:tcBorders>
                          <w:top w:val="single" w:sz="4" w:space="0" w:color="000000"/>
                          <w:left w:val="single" w:sz="9" w:space="0" w:color="D2D2D2"/>
                          <w:right w:val="single" w:sz="4" w:space="0" w:color="000000"/>
                        </w:tcBorders>
                      </w:tcPr>
                      <w:p>
                        <w:pPr>
                          <w:pStyle w:val="TableParagraph"/>
                          <w:spacing w:line="314" w:lineRule="auto" w:before="49"/>
                          <w:ind w:left="17" w:right="17"/>
                          <w:jc w:val="left"/>
                          <w:rPr>
                            <w:rFonts w:ascii="宋体" w:hAnsi="宋体" w:cs="宋体" w:eastAsia="宋体" w:hint="default"/>
                            <w:sz w:val="18"/>
                            <w:szCs w:val="18"/>
                          </w:rPr>
                        </w:pPr>
                        <w:r>
                          <w:rPr>
                            <w:rFonts w:ascii="宋体" w:hAnsi="宋体" w:cs="宋体" w:eastAsia="宋体" w:hint="default"/>
                            <w:sz w:val="18"/>
                            <w:szCs w:val="18"/>
                          </w:rPr>
                          <w:t>根据公司第八届董事会第二十三次会议、第八届监事会第十一次会议审议通过的《关于使用部分闲置 </w:t>
                        </w:r>
                        <w:r>
                          <w:rPr>
                            <w:rFonts w:ascii="宋体" w:hAnsi="宋体" w:cs="宋体" w:eastAsia="宋体" w:hint="default"/>
                            <w:spacing w:val="-4"/>
                            <w:sz w:val="18"/>
                            <w:szCs w:val="18"/>
                          </w:rPr>
                          <w:t>募集资金暂时补充流动资金的议案》，用闲置募投资金暂时补充流动资金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4,500.00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日归还完毕。</w:t>
                        </w:r>
                      </w:p>
                    </w:tc>
                  </w:tr>
                  <w:tr>
                    <w:trPr>
                      <w:trHeight w:val="362"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7" w:type="dxa"/>
                        <w:gridSpan w:val="12"/>
                        <w:vMerge/>
                        <w:tcBorders>
                          <w:left w:val="single" w:sz="9" w:space="0" w:color="D2D2D2"/>
                          <w:bottom w:val="single" w:sz="4" w:space="0" w:color="000000"/>
                          <w:right w:val="single" w:sz="4" w:space="0" w:color="000000"/>
                        </w:tcBorders>
                      </w:tcPr>
                      <w:p>
                        <w:pPr/>
                      </w:p>
                    </w:tc>
                  </w:tr>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796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4"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7967" w:type="dxa"/>
                        <w:gridSpan w:val="12"/>
                        <w:vMerge w:val="restart"/>
                        <w:tcBorders>
                          <w:top w:val="single" w:sz="4" w:space="0" w:color="000000"/>
                          <w:left w:val="single" w:sz="9" w:space="0" w:color="D2D2D2"/>
                          <w:right w:val="single" w:sz="4" w:space="0" w:color="000000"/>
                        </w:tcBorders>
                      </w:tcPr>
                      <w:p>
                        <w:pPr>
                          <w:pStyle w:val="TableParagraph"/>
                          <w:spacing w:line="314" w:lineRule="auto" w:before="49"/>
                          <w:ind w:left="17" w:right="20"/>
                          <w:jc w:val="both"/>
                          <w:rPr>
                            <w:rFonts w:ascii="宋体" w:hAnsi="宋体" w:cs="宋体" w:eastAsia="宋体" w:hint="default"/>
                            <w:sz w:val="18"/>
                            <w:szCs w:val="18"/>
                          </w:rPr>
                        </w:pPr>
                        <w:r>
                          <w:rPr>
                            <w:rFonts w:ascii="宋体" w:hAnsi="宋体" w:cs="宋体" w:eastAsia="宋体" w:hint="default"/>
                            <w:sz w:val="18"/>
                            <w:szCs w:val="18"/>
                          </w:rPr>
                          <w:t>公司募集资金投资项目“渠道整合平台研发项目、新一代贸易融资结算系统研发项目、新一代交换平 </w:t>
                        </w:r>
                        <w:r>
                          <w:rPr>
                            <w:rFonts w:ascii="宋体" w:hAnsi="宋体" w:cs="宋体" w:eastAsia="宋体" w:hint="default"/>
                            <w:spacing w:val="-4"/>
                            <w:sz w:val="18"/>
                            <w:szCs w:val="18"/>
                          </w:rPr>
                          <w:t>台研发项目”已达到预定可使用状态，上述募集资金投资项目结项后的节余募集资金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19,564,796.89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1"/>
                          <w:ind w:left="17" w:right="0"/>
                          <w:jc w:val="both"/>
                          <w:rPr>
                            <w:rFonts w:ascii="宋体" w:hAnsi="宋体" w:cs="宋体" w:eastAsia="宋体" w:hint="default"/>
                            <w:sz w:val="18"/>
                            <w:szCs w:val="18"/>
                          </w:rPr>
                        </w:pPr>
                        <w:r>
                          <w:rPr>
                            <w:rFonts w:ascii="宋体" w:hAnsi="宋体" w:cs="宋体" w:eastAsia="宋体" w:hint="default"/>
                            <w:sz w:val="18"/>
                            <w:szCs w:val="18"/>
                          </w:rPr>
                          <w:t>累计收到的银行存款利息扣除银行手续费等的净额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2,116,572.73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元，节余募集资金共计转出</w:t>
                        </w:r>
                      </w:p>
                      <w:p>
                        <w:pPr>
                          <w:pStyle w:val="TableParagraph"/>
                          <w:spacing w:line="240" w:lineRule="auto" w:before="63"/>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21,681,369.62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16" w:lineRule="auto" w:before="103"/>
                          <w:ind w:left="17" w:right="23"/>
                          <w:jc w:val="both"/>
                          <w:rPr>
                            <w:rFonts w:ascii="宋体" w:hAnsi="宋体" w:cs="宋体" w:eastAsia="宋体" w:hint="default"/>
                            <w:sz w:val="18"/>
                            <w:szCs w:val="18"/>
                          </w:rPr>
                        </w:pPr>
                        <w:r>
                          <w:rPr>
                            <w:rFonts w:ascii="宋体" w:hAnsi="宋体" w:cs="宋体" w:eastAsia="宋体" w:hint="default"/>
                            <w:sz w:val="18"/>
                            <w:szCs w:val="18"/>
                          </w:rPr>
                          <w:t>项目实施出现募集资金结余的原因：在项目建设及运营过程中，公司从项目实际情况出发，进行了严 格的项目运营及实施管理，合理配置资源、加强各环节支出的控制和监督，降低了项目运营及实施费 用；随着近些年新技术的不断发展，云计算及存储、大数据、互联网得以广泛运用。公司在保证项目</w:t>
                        </w:r>
                      </w:p>
                    </w:tc>
                  </w:tr>
                  <w:tr>
                    <w:trPr>
                      <w:trHeight w:val="70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967" w:type="dxa"/>
                        <w:gridSpan w:val="12"/>
                        <w:vMerge/>
                        <w:tcBorders>
                          <w:left w:val="single" w:sz="9" w:space="0" w:color="D2D2D2"/>
                          <w:right w:val="single" w:sz="4" w:space="0" w:color="000000"/>
                        </w:tcBorders>
                      </w:tcPr>
                      <w:p>
                        <w:pPr/>
                      </w:p>
                    </w:tc>
                  </w:tr>
                  <w:tr>
                    <w:trPr>
                      <w:trHeight w:val="986"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7" w:type="dxa"/>
                        <w:gridSpan w:val="12"/>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040"/>
        <w:jc w:val="right"/>
      </w:pPr>
      <w:r>
        <w:rPr>
          <w:spacing w:val="-3"/>
        </w:rPr>
        <w:t>，</w:t>
      </w:r>
      <w:r>
        <w:rPr/>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7967"/>
      </w:tblGrid>
      <w:tr>
        <w:trPr>
          <w:trHeight w:val="98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1"/>
              <w:jc w:val="both"/>
              <w:rPr>
                <w:rFonts w:ascii="宋体" w:hAnsi="宋体" w:cs="宋体" w:eastAsia="宋体" w:hint="default"/>
                <w:sz w:val="18"/>
                <w:szCs w:val="18"/>
              </w:rPr>
            </w:pPr>
            <w:r>
              <w:rPr>
                <w:rFonts w:ascii="宋体" w:hAnsi="宋体" w:cs="宋体" w:eastAsia="宋体" w:hint="default"/>
                <w:spacing w:val="-1"/>
                <w:sz w:val="18"/>
                <w:szCs w:val="18"/>
              </w:rPr>
              <w:t>建设质量的前提下，通过采用云计算的分布式架构，引入开放源码软件，运用自主开发的软件平台等</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方式有效降低了软硬件设备的采购成本；同时，公司利用原自有设备及软件，代替部分采购软硬件设</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备，节约了部分采购成本；募集资金存放期间产生了部分利息收入及理财产品投资收益。</w:t>
            </w:r>
          </w:p>
        </w:tc>
      </w:tr>
      <w:tr>
        <w:trPr>
          <w:trHeight w:val="71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6"/>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尚未使用的募集资金存放于公司开立的募集资金专户，将用于募投项目后续资金支付。</w:t>
            </w:r>
          </w:p>
        </w:tc>
      </w:tr>
      <w:tr>
        <w:trPr>
          <w:trHeight w:val="102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6"/>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425"/>
        <w:gridCol w:w="1419"/>
        <w:gridCol w:w="1133"/>
        <w:gridCol w:w="1135"/>
        <w:gridCol w:w="1133"/>
        <w:gridCol w:w="1135"/>
        <w:gridCol w:w="1133"/>
        <w:gridCol w:w="1202"/>
      </w:tblGrid>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北京新晨 科技发展 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25,435,656.86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23,954,721.90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34,445,527.49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424,775.98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233,314.38</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上海新晨 信息集成 系统有限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36,093,849.72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31,269,833.06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68,463,948.60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7,113,143.81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7,360,796.14</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96"/>
              <w:jc w:val="left"/>
              <w:rPr>
                <w:rFonts w:ascii="宋体" w:hAnsi="宋体" w:cs="宋体" w:eastAsia="宋体" w:hint="default"/>
                <w:sz w:val="18"/>
                <w:szCs w:val="18"/>
              </w:rPr>
            </w:pPr>
            <w:r>
              <w:rPr>
                <w:rFonts w:ascii="宋体" w:hAnsi="宋体" w:cs="宋体" w:eastAsia="宋体" w:hint="default"/>
                <w:sz w:val="18"/>
                <w:szCs w:val="18"/>
              </w:rPr>
              <w:t>江苏新晨 信息科技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23"/>
              <w:jc w:val="left"/>
              <w:rPr>
                <w:rFonts w:ascii="宋体" w:hAnsi="宋体" w:cs="宋体" w:eastAsia="宋体" w:hint="default"/>
                <w:sz w:val="18"/>
                <w:szCs w:val="18"/>
              </w:rPr>
            </w:pPr>
            <w:r>
              <w:rPr>
                <w:rFonts w:ascii="宋体" w:hAnsi="宋体" w:cs="宋体" w:eastAsia="宋体" w:hint="default"/>
                <w:sz w:val="18"/>
                <w:szCs w:val="18"/>
              </w:rPr>
              <w:t>基于新晨交换平 台面向重点行业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52,804,393.17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45,332,233.97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37,282,538.03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2,143,854.20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1,411,076.96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425"/>
        <w:gridCol w:w="1419"/>
        <w:gridCol w:w="1133"/>
        <w:gridCol w:w="1135"/>
        <w:gridCol w:w="1133"/>
        <w:gridCol w:w="1135"/>
        <w:gridCol w:w="1133"/>
        <w:gridCol w:w="1202"/>
      </w:tblGrid>
      <w:tr>
        <w:trPr>
          <w:trHeight w:val="6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6"/>
              <w:jc w:val="left"/>
              <w:rPr>
                <w:rFonts w:ascii="宋体" w:hAnsi="宋体" w:cs="宋体" w:eastAsia="宋体" w:hint="default"/>
                <w:sz w:val="18"/>
                <w:szCs w:val="18"/>
              </w:rPr>
            </w:pPr>
            <w:r>
              <w:rPr>
                <w:rFonts w:ascii="宋体" w:hAnsi="宋体" w:cs="宋体" w:eastAsia="宋体" w:hint="default"/>
                <w:sz w:val="18"/>
                <w:szCs w:val="18"/>
              </w:rPr>
              <w:t>发展有限 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3"/>
              <w:jc w:val="left"/>
              <w:rPr>
                <w:rFonts w:ascii="宋体" w:hAnsi="宋体" w:cs="宋体" w:eastAsia="宋体" w:hint="default"/>
                <w:sz w:val="18"/>
                <w:szCs w:val="18"/>
              </w:rPr>
            </w:pPr>
            <w:r>
              <w:rPr>
                <w:rFonts w:ascii="宋体" w:hAnsi="宋体" w:cs="宋体" w:eastAsia="宋体" w:hint="default"/>
                <w:sz w:val="18"/>
                <w:szCs w:val="18"/>
              </w:rPr>
              <w:t>提供信息化解决 方案和服务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武汉新晨 信息产业 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17,928,411.05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14,362,618.41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15,657,970.02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-884,426.94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-764,337.72</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广州新晨 信息系统 工程有限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3,822,329.36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-109,872.91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7,219,584.15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16,771.44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16,771.44</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上海点逸 网络科技 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移动互联网应用 软件开发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3,630,108.94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3,127,238.64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904,224.37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-5,468,669.43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-5,468,669.43</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江苏点逸 网络科技 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移动互联网应用 软件开发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124,354.51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-1,634,244.77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536,792.45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-453,952.58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-453,952.58</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北京瑞得 音信息技 术有限公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计算机软硬件开 </w:t>
            </w:r>
            <w:r>
              <w:rPr>
                <w:rFonts w:ascii="宋体" w:hAnsi="宋体" w:cs="宋体" w:eastAsia="宋体" w:hint="default"/>
                <w:spacing w:val="-10"/>
                <w:sz w:val="18"/>
                <w:szCs w:val="18"/>
              </w:rPr>
              <w:t>发及销售、技术服</w:t>
            </w:r>
            <w:r>
              <w:rPr>
                <w:rFonts w:ascii="宋体" w:hAnsi="宋体" w:cs="宋体" w:eastAsia="宋体" w:hint="default"/>
                <w:sz w:val="18"/>
                <w:szCs w:val="18"/>
              </w:rPr>
              <w:t> 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91,954,674.74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41,606,933.02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67,594,931.92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24,722,232.21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21,071,755.10</w:t>
            </w:r>
          </w:p>
        </w:tc>
      </w:tr>
    </w:tbl>
    <w:p>
      <w:pPr>
        <w:pStyle w:val="BodyText"/>
        <w:spacing w:line="240" w:lineRule="auto" w:before="49"/>
        <w:ind w:right="1133"/>
        <w:jc w:val="left"/>
      </w:pPr>
      <w:r>
        <w:rPr/>
        <w:t>报告期内取得和处置子公司的情况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2"/>
        <w:gridCol w:w="2694"/>
        <w:gridCol w:w="4325"/>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8"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对营业收入影响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67,594,931.92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元，对归属于母公司股</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东的净利润影响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10,746,595.10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240" w:lineRule="auto" w:before="49"/>
        <w:ind w:right="1133"/>
        <w:jc w:val="left"/>
      </w:pPr>
      <w:r>
        <w:rPr/>
        <w:t>主要控股参股公司情况说明</w:t>
      </w:r>
    </w:p>
    <w:p>
      <w:pPr>
        <w:pStyle w:val="BodyText"/>
        <w:spacing w:line="300" w:lineRule="auto" w:before="115"/>
        <w:ind w:right="1132"/>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日，公司第九届董事会第十四次会议审议通过了《关于新晨科技股份有限公司收购北京瑞得音信息技术有限公</w:t>
      </w:r>
      <w:r>
        <w:rPr>
          <w:spacing w:val="-61"/>
        </w:rPr>
        <w:t> </w:t>
      </w:r>
      <w:r>
        <w:rPr>
          <w:spacing w:val="-61"/>
        </w:rPr>
      </w:r>
      <w:r>
        <w:rPr>
          <w:spacing w:val="-2"/>
        </w:rPr>
        <w:t>司部分股权的议案》，决议以现金方式分别向薛震、杨蓓支付</w:t>
      </w:r>
      <w:r>
        <w:rPr>
          <w:rFonts w:ascii="Times New Roman" w:hAnsi="Times New Roman" w:cs="Times New Roman" w:eastAsia="Times New Roman" w:hint="default"/>
          <w:spacing w:val="-2"/>
        </w:rPr>
        <w:t>13,872</w:t>
      </w:r>
      <w:r>
        <w:rPr>
          <w:spacing w:val="-2"/>
        </w:rPr>
        <w:t>万元、</w:t>
      </w:r>
      <w:r>
        <w:rPr>
          <w:rFonts w:ascii="Times New Roman" w:hAnsi="Times New Roman" w:cs="Times New Roman" w:eastAsia="Times New Roman" w:hint="default"/>
          <w:spacing w:val="-2"/>
        </w:rPr>
        <w:t>2,448</w:t>
      </w:r>
      <w:r>
        <w:rPr>
          <w:spacing w:val="-2"/>
        </w:rPr>
        <w:t>万元，收购其持有的北京瑞得音信息技术有</w:t>
      </w:r>
      <w:r>
        <w:rPr>
          <w:spacing w:val="-58"/>
        </w:rPr>
        <w:t> </w:t>
      </w:r>
      <w:r>
        <w:rPr>
          <w:spacing w:val="-58"/>
        </w:rPr>
      </w:r>
      <w:r>
        <w:rPr/>
        <w:t>限公司</w:t>
      </w:r>
      <w:r>
        <w:rPr>
          <w:rFonts w:ascii="Times New Roman" w:hAnsi="Times New Roman" w:cs="Times New Roman" w:eastAsia="Times New Roman" w:hint="default"/>
        </w:rPr>
        <w:t>43.35%</w:t>
      </w:r>
      <w:r>
        <w:rPr/>
        <w:t>、</w:t>
      </w:r>
      <w:r>
        <w:rPr>
          <w:rFonts w:ascii="Times New Roman" w:hAnsi="Times New Roman" w:cs="Times New Roman" w:eastAsia="Times New Roman" w:hint="default"/>
        </w:rPr>
        <w:t>7.65%</w:t>
      </w:r>
      <w:r>
        <w:rPr/>
        <w:t>的股权。公司于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月初按照协议约定支付了不低于</w:t>
      </w:r>
      <w:r>
        <w:rPr>
          <w:rFonts w:ascii="Times New Roman" w:hAnsi="Times New Roman" w:cs="Times New Roman" w:eastAsia="Times New Roman" w:hint="default"/>
        </w:rPr>
        <w:t>50%</w:t>
      </w:r>
      <w:r>
        <w:rPr/>
        <w:t>的收购款，并委派过半数董事，能够控 制其经营和财务决策。公司将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日确定为购买日。</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033"/>
        <w:jc w:val="left"/>
      </w:pPr>
      <w:r>
        <w:rPr/>
        <w:t>（一）行业格局和趋势 国务院《“十三五”国家信息化规划》提出：到</w:t>
      </w:r>
      <w:r>
        <w:rPr>
          <w:rFonts w:ascii="Times New Roman" w:hAnsi="Times New Roman" w:cs="Times New Roman" w:eastAsia="Times New Roman" w:hint="default"/>
        </w:rPr>
        <w:t>2020</w:t>
      </w:r>
      <w:r>
        <w:rPr/>
        <w:t>年，“数字中国”建设取得显著成效，信息化发展水平大幅跃升，</w:t>
      </w:r>
    </w:p>
    <w:p>
      <w:pPr>
        <w:pStyle w:val="BodyText"/>
        <w:spacing w:line="316" w:lineRule="auto"/>
        <w:ind w:right="1034"/>
        <w:jc w:val="left"/>
      </w:pPr>
      <w:r>
        <w:rPr/>
        <w:t>信息化能力跻身国际前列，具有国际竞争力、安全可控的信息产业生态体系基本建立。信息技术和经济社会发展深度融合， </w:t>
      </w:r>
      <w:r>
        <w:rPr>
          <w:spacing w:val="-2"/>
        </w:rPr>
        <w:t>数字鸿沟明显缩小，数字红利充分释放。信息化全面支撑党和国家事业发展，促进经济社会均衡、包容和可持续发展，为国</w:t>
      </w:r>
      <w:r>
        <w:rPr>
          <w:spacing w:val="-67"/>
        </w:rPr>
        <w:t> </w:t>
      </w:r>
      <w:r>
        <w:rPr>
          <w:spacing w:val="-67"/>
        </w:rPr>
      </w:r>
      <w:r>
        <w:rPr>
          <w:spacing w:val="-2"/>
        </w:rPr>
        <w:t>家治理体系和治理能力现代化提供坚实支撑。核心技术自主创新实现系统性突破。信息领域核心技术设备自主创新能力全面</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2"/>
        <w:jc w:val="both"/>
      </w:pPr>
      <w:r>
        <w:rPr>
          <w:spacing w:val="-2"/>
        </w:rPr>
        <w:t>增强，新一代网络技术体系、云计算技术体系、端计算技术体系和安全技术体系基本建立。集成电路、基础软件、核心元器</w:t>
      </w:r>
      <w:r>
        <w:rPr>
          <w:spacing w:val="-67"/>
        </w:rPr>
        <w:t> </w:t>
      </w:r>
      <w:r>
        <w:rPr>
          <w:spacing w:val="-67"/>
        </w:rPr>
      </w:r>
      <w:r>
        <w:rPr/>
        <w:t>件等关键薄弱环节实现系统性突破。</w:t>
      </w:r>
      <w:r>
        <w:rPr>
          <w:rFonts w:ascii="Times New Roman" w:hAnsi="Times New Roman" w:cs="Times New Roman" w:eastAsia="Times New Roman" w:hint="default"/>
        </w:rPr>
        <w:t>5G</w:t>
      </w:r>
      <w:r>
        <w:rPr/>
        <w:t>技术研发和标准制定取得突破性进展并启动商用。云计算、大数据、物联网、移动 互联网等核心技术接近国际先进水平。部分前沿技术、颠覆性技术在全球率先取得突破，成为全球网信产业重要领导者。</w:t>
      </w:r>
    </w:p>
    <w:p>
      <w:pPr>
        <w:pStyle w:val="BodyText"/>
        <w:spacing w:line="300" w:lineRule="auto" w:before="24"/>
        <w:ind w:left="513" w:right="1117"/>
        <w:jc w:val="left"/>
      </w:pPr>
      <w:r>
        <w:rPr>
          <w:rFonts w:ascii="Times New Roman" w:hAnsi="Times New Roman" w:cs="Times New Roman" w:eastAsia="Times New Roman" w:hint="default"/>
        </w:rPr>
        <w:t>1</w:t>
      </w:r>
      <w:r>
        <w:rPr/>
        <w:t>、金融科技 </w:t>
      </w:r>
      <w:r>
        <w:rPr>
          <w:spacing w:val="-2"/>
        </w:rPr>
        <w:t>近一两年金融机构、银行跟科技公司的合作比例一直在提升，但真正实现端到端成功推动、获得巨大价值的案例仍凤毛</w:t>
      </w:r>
    </w:p>
    <w:p>
      <w:pPr>
        <w:pStyle w:val="BodyText"/>
        <w:spacing w:line="316" w:lineRule="auto" w:before="31"/>
        <w:ind w:left="513" w:right="0" w:hanging="361"/>
        <w:jc w:val="left"/>
      </w:pPr>
      <w:r>
        <w:rPr/>
        <w:t>麟角，原因在于双方合作仍存在诸多挑战： </w:t>
      </w:r>
      <w:r>
        <w:rPr>
          <w:spacing w:val="-2"/>
        </w:rPr>
        <w:t>传统金融机构和金融科技公司尽管都有强烈的合作意愿，但在两者的合作中，管理方式和企业文化的差异是亟待克服和</w:t>
      </w:r>
    </w:p>
    <w:p>
      <w:pPr>
        <w:pStyle w:val="BodyText"/>
        <w:spacing w:line="314" w:lineRule="auto" w:before="19"/>
        <w:ind w:right="1130"/>
        <w:jc w:val="both"/>
      </w:pPr>
      <w:r>
        <w:rPr>
          <w:spacing w:val="-2"/>
        </w:rPr>
        <w:t>解决的重要挑战。传统金融机构经历了较长的发展阶段，管理方式和企业文化相对固化且深入，而金融科技公司大部分成立</w:t>
      </w:r>
      <w:r>
        <w:rPr>
          <w:spacing w:val="-63"/>
        </w:rPr>
        <w:t> </w:t>
      </w:r>
      <w:r>
        <w:rPr>
          <w:spacing w:val="-63"/>
        </w:rPr>
      </w:r>
      <w:r>
        <w:rPr>
          <w:spacing w:val="-2"/>
        </w:rPr>
        <w:t>时间较短，管理方式和企业文化多处在探索阶段，管理方式也相对灵活。双方合作亦存在监管的不确定性问题。对于服务于</w:t>
      </w:r>
      <w:r>
        <w:rPr>
          <w:spacing w:val="-63"/>
        </w:rPr>
        <w:t> </w:t>
      </w:r>
      <w:r>
        <w:rPr>
          <w:spacing w:val="-63"/>
        </w:rPr>
      </w:r>
      <w:r>
        <w:rPr>
          <w:spacing w:val="-2"/>
        </w:rPr>
        <w:t>银行的金融科技公司而言，收取开发费和安装费，偏向一次性收费。此外，金融科技公司服务银行多为定制化开发，变动成</w:t>
      </w:r>
      <w:r>
        <w:rPr>
          <w:spacing w:val="-67"/>
        </w:rPr>
        <w:t> </w:t>
      </w:r>
      <w:r>
        <w:rPr>
          <w:spacing w:val="-67"/>
        </w:rPr>
      </w:r>
      <w:r>
        <w:rPr>
          <w:spacing w:val="-2"/>
        </w:rPr>
        <w:t>本长期存在，面临边际成本不能大幅度下降的问题。银行</w:t>
      </w:r>
      <w:r>
        <w:rPr>
          <w:rFonts w:ascii="Times New Roman" w:hAnsi="Times New Roman" w:cs="Times New Roman" w:eastAsia="Times New Roman" w:hint="default"/>
          <w:spacing w:val="-2"/>
        </w:rPr>
        <w:t>IT</w:t>
      </w:r>
      <w:r>
        <w:rPr>
          <w:spacing w:val="-2"/>
        </w:rPr>
        <w:t>系统数量多，且各项业务系统由不同技术服务商提供，金融科技</w:t>
      </w:r>
      <w:r>
        <w:rPr>
          <w:spacing w:val="-50"/>
        </w:rPr>
        <w:t> </w:t>
      </w:r>
      <w:r>
        <w:rPr>
          <w:spacing w:val="-50"/>
        </w:rPr>
      </w:r>
      <w:r>
        <w:rPr>
          <w:spacing w:val="-2"/>
        </w:rPr>
        <w:t>公司系统与银行信息科技系统存在兼容难题。毋庸置疑，银行和金融科技公司必将走向合作融合。在此过程中，科技公司需</w:t>
      </w:r>
      <w:r>
        <w:rPr>
          <w:spacing w:val="-65"/>
        </w:rPr>
        <w:t> </w:t>
      </w:r>
      <w:r>
        <w:rPr>
          <w:spacing w:val="-65"/>
        </w:rPr>
      </w:r>
      <w:r>
        <w:rPr>
          <w:spacing w:val="-2"/>
        </w:rPr>
        <w:t>要考虑传统金融机构的感受、现状；传统金融机构则需提升开放思维，接受科技给金融带来的效率提升、成本降低、服务优</w:t>
      </w:r>
      <w:r>
        <w:rPr>
          <w:spacing w:val="-67"/>
        </w:rPr>
        <w:t> </w:t>
      </w:r>
      <w:r>
        <w:rPr>
          <w:spacing w:val="-67"/>
        </w:rPr>
      </w:r>
      <w:r>
        <w:rPr/>
        <w:t>化方面的种种改进。</w:t>
      </w:r>
    </w:p>
    <w:p>
      <w:pPr>
        <w:pStyle w:val="BodyText"/>
        <w:spacing w:line="316" w:lineRule="auto" w:before="20"/>
        <w:ind w:left="513" w:right="1133"/>
        <w:jc w:val="left"/>
      </w:pPr>
      <w:r>
        <w:rPr/>
        <w:t>目前市场上，根据自身不同的优势和资源能力，金融科技公司可分化为三种类别： </w:t>
      </w:r>
      <w:r>
        <w:rPr>
          <w:spacing w:val="-2"/>
        </w:rPr>
        <w:t>资源型公司：基于既有的生态，拥有获客流量或外部大数据。它们向客户提供引流或外部大数据。严格意义上讲，资源</w:t>
      </w:r>
    </w:p>
    <w:p>
      <w:pPr>
        <w:pStyle w:val="BodyText"/>
        <w:spacing w:line="312" w:lineRule="auto" w:before="19"/>
        <w:ind w:right="1128"/>
        <w:jc w:val="both"/>
      </w:pPr>
      <w:r>
        <w:rPr>
          <w:spacing w:val="-2"/>
        </w:rPr>
        <w:t>型公司并非真正意义上的金融科技公司。技术型公司：通常在某一金融应用场景中拥有独到的技术，更多地提供嵌入式、组</w:t>
      </w:r>
      <w:r>
        <w:rPr>
          <w:spacing w:val="-66"/>
        </w:rPr>
        <w:t> </w:t>
      </w:r>
      <w:r>
        <w:rPr>
          <w:spacing w:val="-66"/>
        </w:rPr>
      </w:r>
      <w:r>
        <w:rPr>
          <w:spacing w:val="-2"/>
        </w:rPr>
        <w:t>建式或单一化服务。对于没有完成科技基础建设的银行而言，如何将技术融入到自己的体系里是巨大挑战。应用型公司：集</w:t>
      </w:r>
      <w:r>
        <w:rPr>
          <w:spacing w:val="-63"/>
        </w:rPr>
        <w:t> </w:t>
      </w:r>
      <w:r>
        <w:rPr>
          <w:spacing w:val="-63"/>
        </w:rPr>
      </w:r>
      <w:r>
        <w:rPr>
          <w:spacing w:val="-2"/>
        </w:rPr>
        <w:t>成资源和技术，发展为直接提供给银行一整套稍加客制化改造，直接可以用于生产的金融科技应用体系。新晨科技</w:t>
      </w:r>
      <w:r>
        <w:rPr>
          <w:rFonts w:ascii="Times New Roman" w:hAnsi="Times New Roman" w:cs="Times New Roman" w:eastAsia="Times New Roman" w:hint="default"/>
          <w:spacing w:val="-2"/>
        </w:rPr>
        <w:t>20</w:t>
      </w:r>
      <w:r>
        <w:rPr>
          <w:spacing w:val="-2"/>
        </w:rPr>
        <w:t>多年来</w:t>
      </w:r>
      <w:r>
        <w:rPr>
          <w:spacing w:val="-60"/>
        </w:rPr>
        <w:t> </w:t>
      </w:r>
      <w:r>
        <w:rPr>
          <w:spacing w:val="-60"/>
        </w:rPr>
      </w:r>
      <w:r>
        <w:rPr/>
        <w:t>长期致力于为金融客户提供应用解决方案，属于应用型公司。</w:t>
      </w:r>
    </w:p>
    <w:p>
      <w:pPr>
        <w:pStyle w:val="BodyText"/>
        <w:spacing w:line="300" w:lineRule="auto" w:before="22"/>
        <w:ind w:left="513" w:right="1133"/>
        <w:jc w:val="left"/>
      </w:pPr>
      <w:r>
        <w:rPr>
          <w:rFonts w:ascii="Times New Roman" w:hAnsi="Times New Roman" w:cs="Times New Roman" w:eastAsia="Times New Roman" w:hint="default"/>
        </w:rPr>
        <w:t>2</w:t>
      </w:r>
      <w:r>
        <w:rPr/>
        <w:t>、军民融合 </w:t>
      </w:r>
      <w:r>
        <w:rPr>
          <w:spacing w:val="-2"/>
        </w:rPr>
        <w:t>习近平总书记在党的十九大报告中指出：“坚持富国和强军相统一，强化统一领导、顶层设计、改革创新和重大项目落</w:t>
      </w:r>
    </w:p>
    <w:p>
      <w:pPr>
        <w:pStyle w:val="BodyText"/>
        <w:spacing w:line="319" w:lineRule="auto" w:before="31"/>
        <w:ind w:right="1130"/>
        <w:jc w:val="both"/>
      </w:pPr>
      <w:r>
        <w:rPr>
          <w:spacing w:val="-2"/>
        </w:rPr>
        <w:t>实，深化国防科技工业改革，形成军民融合深度发展格局，构建一体化的国家战略体系和能力。”这是以习近平同志为核心</w:t>
      </w:r>
      <w:r>
        <w:rPr>
          <w:spacing w:val="-66"/>
        </w:rPr>
        <w:t> </w:t>
      </w:r>
      <w:r>
        <w:rPr>
          <w:spacing w:val="-66"/>
        </w:rPr>
      </w:r>
      <w:r>
        <w:rPr>
          <w:spacing w:val="-2"/>
        </w:rPr>
        <w:t>的党中央着眼新时代坚持和发展中国特色社会主义，着眼国家发展和安全全局作出的重大战略部署。我们要坚持以习近平新</w:t>
      </w:r>
      <w:r>
        <w:rPr>
          <w:spacing w:val="-63"/>
        </w:rPr>
        <w:t> </w:t>
      </w:r>
      <w:r>
        <w:rPr>
          <w:spacing w:val="-63"/>
        </w:rPr>
      </w:r>
      <w:r>
        <w:rPr>
          <w:spacing w:val="-2"/>
        </w:rPr>
        <w:t>时代中国特色社会主义思想为指导，全面贯彻习近平强军思想，深入实施军民融合发展战略，在新的起点上开创军民融合发</w:t>
      </w:r>
      <w:r>
        <w:rPr>
          <w:spacing w:val="-63"/>
        </w:rPr>
        <w:t> </w:t>
      </w:r>
      <w:r>
        <w:rPr>
          <w:spacing w:val="-63"/>
        </w:rPr>
      </w:r>
      <w:r>
        <w:rPr/>
        <w:t>展新局面，为实现中国梦、强军梦提供坚强有力支撑。</w:t>
      </w:r>
    </w:p>
    <w:p>
      <w:pPr>
        <w:pStyle w:val="BodyText"/>
        <w:spacing w:line="316" w:lineRule="auto" w:before="17"/>
        <w:ind w:right="1034" w:firstLine="360"/>
        <w:jc w:val="left"/>
      </w:pPr>
      <w:r>
        <w:rPr>
          <w:spacing w:val="-4"/>
        </w:rPr>
        <w:t>习近平总书记指出：今后一个时期军民融合发展，总的是要加快形成全要素、多领域、高效益的军民融合深度发展格局，</w:t>
      </w:r>
      <w:r>
        <w:rPr/>
        <w:t> 丰富融合形式，拓展融合范围，提升融合层次。要强化改革创新，着力解决制约军民融合发展的体制性障碍、结构性矛盾、 </w:t>
      </w:r>
      <w:r>
        <w:rPr>
          <w:spacing w:val="-2"/>
        </w:rPr>
        <w:t>政策性问题，努力形成统一领导、军地协调、顺畅高效的组织管理体系，国家主导、需求牵引、市场运作相统一的工作运行</w:t>
      </w:r>
      <w:r>
        <w:rPr>
          <w:spacing w:val="-67"/>
        </w:rPr>
        <w:t> </w:t>
      </w:r>
      <w:r>
        <w:rPr>
          <w:spacing w:val="-67"/>
        </w:rPr>
      </w:r>
      <w:r>
        <w:rPr>
          <w:spacing w:val="-2"/>
        </w:rPr>
        <w:t>体系，系统完备、衔接配套、有效激励的政策制度体系。要强化战略规划，加强督导检查、建立问责机制，强化规划刚性约</w:t>
      </w:r>
      <w:r>
        <w:rPr>
          <w:spacing w:val="-73"/>
        </w:rPr>
        <w:t> </w:t>
      </w:r>
      <w:r>
        <w:rPr>
          <w:spacing w:val="-73"/>
        </w:rPr>
      </w:r>
      <w:r>
        <w:rPr>
          <w:spacing w:val="-2"/>
        </w:rPr>
        <w:t>束和执行力。要强化法治保障，善于运用法治思维和法治方式推动军民融合发展，充分发挥法律法规的规范、引导、保障作</w:t>
      </w:r>
      <w:r>
        <w:rPr>
          <w:spacing w:val="-67"/>
        </w:rPr>
        <w:t> </w:t>
      </w:r>
      <w:r>
        <w:rPr>
          <w:spacing w:val="-67"/>
        </w:rPr>
      </w:r>
      <w:r>
        <w:rPr/>
        <w:t>用，提高军民融合发展法治化水平。</w:t>
      </w:r>
    </w:p>
    <w:p>
      <w:pPr>
        <w:pStyle w:val="BodyText"/>
        <w:spacing w:line="316" w:lineRule="auto" w:before="19"/>
        <w:ind w:right="1133" w:firstLine="360"/>
        <w:jc w:val="left"/>
      </w:pPr>
      <w:r>
        <w:rPr>
          <w:spacing w:val="-2"/>
        </w:rPr>
        <w:t>新晨科技依托在金融和军工行业解决方案、系统集成、软件方面的技术优势、案例优势，将在未来发展过程中，把握新</w:t>
      </w:r>
      <w:r>
        <w:rPr/>
        <w:t> 的技术和丰富相关应用，更好地服务客户，获得更大的市场份额。</w:t>
      </w:r>
    </w:p>
    <w:p>
      <w:pPr>
        <w:pStyle w:val="BodyText"/>
        <w:spacing w:line="316" w:lineRule="auto" w:before="19"/>
        <w:ind w:left="513" w:right="0"/>
        <w:jc w:val="left"/>
      </w:pPr>
      <w:r>
        <w:rPr/>
        <w:t>（二）公司发展战略 </w:t>
      </w:r>
      <w:r>
        <w:rPr>
          <w:spacing w:val="-2"/>
        </w:rPr>
        <w:t>新的时期，公司面临新的机遇，也将面对新的挑战。为适应行业发展的客观要求和公司业务拓展的需要，公司将在未来</w:t>
      </w:r>
    </w:p>
    <w:p>
      <w:pPr>
        <w:pStyle w:val="BodyText"/>
        <w:spacing w:line="300" w:lineRule="auto" w:before="19"/>
        <w:ind w:left="513" w:right="1874" w:hanging="361"/>
        <w:jc w:val="left"/>
      </w:pPr>
      <w:r>
        <w:rPr>
          <w:rFonts w:ascii="Times New Roman" w:hAnsi="Times New Roman" w:cs="Times New Roman" w:eastAsia="Times New Roman" w:hint="default"/>
        </w:rPr>
        <w:t>1-3</w:t>
      </w:r>
      <w:r>
        <w:rPr/>
        <w:t>年在现有的金融信息服务业务稳定发展的同时，积极寻求变革和突破，激发内部活力，培养新的业务增长点。 具体而言，有以下几个方面：</w:t>
      </w:r>
    </w:p>
    <w:p>
      <w:pPr>
        <w:pStyle w:val="BodyText"/>
        <w:spacing w:line="240" w:lineRule="auto" w:before="31"/>
        <w:ind w:left="513" w:right="1133"/>
        <w:jc w:val="left"/>
      </w:pPr>
      <w:r>
        <w:rPr>
          <w:rFonts w:ascii="Times New Roman" w:hAnsi="Times New Roman" w:cs="Times New Roman" w:eastAsia="Times New Roman" w:hint="default"/>
        </w:rPr>
        <w:t>1</w:t>
      </w:r>
      <w:r>
        <w:rPr/>
        <w:t>、整合公司资源，重点投入核心的“金融科技”和“军民融合”</w:t>
      </w:r>
      <w:r>
        <w:rPr>
          <w:spacing w:val="2"/>
        </w:rPr>
        <w:t> </w:t>
      </w:r>
      <w:r>
        <w:rPr>
          <w:rFonts w:ascii="宋体" w:hAnsi="宋体" w:cs="宋体" w:eastAsia="宋体" w:hint="default"/>
          <w:spacing w:val="2"/>
        </w:rPr>
      </w:r>
      <w:r>
        <w:rPr/>
        <w:t>两个市场领域。</w:t>
      </w:r>
    </w:p>
    <w:p>
      <w:pPr>
        <w:pStyle w:val="BodyText"/>
        <w:spacing w:line="309" w:lineRule="auto" w:before="63"/>
        <w:ind w:right="1131" w:firstLine="360"/>
        <w:jc w:val="both"/>
      </w:pPr>
      <w:r>
        <w:rPr>
          <w:rFonts w:ascii="Times New Roman" w:hAnsi="Times New Roman" w:cs="Times New Roman" w:eastAsia="Times New Roman" w:hint="default"/>
        </w:rPr>
        <w:t>2</w:t>
      </w:r>
      <w:r>
        <w:rPr/>
        <w:t>、坚持自主研发和技术创新。保持较高的研发投入，通过自主研发和技术创新为公司主营业务的持续增长提供源源不 </w:t>
      </w:r>
      <w:r>
        <w:rPr>
          <w:spacing w:val="-2"/>
        </w:rPr>
        <w:t>断的动力。积极布局云计算、大数据、区块链等领域，力争保持在技术领域的行业领先性。鼓励内部研发成果的转化，探索</w:t>
      </w:r>
      <w:r>
        <w:rPr>
          <w:spacing w:val="-66"/>
        </w:rPr>
        <w:t> </w:t>
      </w:r>
      <w:r>
        <w:rPr>
          <w:spacing w:val="-66"/>
        </w:rPr>
      </w:r>
      <w:r>
        <w:rPr/>
        <w:t>并建立研发激励机制。</w:t>
      </w:r>
    </w:p>
    <w:p>
      <w:pPr>
        <w:pStyle w:val="BodyText"/>
        <w:spacing w:line="300" w:lineRule="auto" w:before="24"/>
        <w:ind w:right="1124" w:firstLine="360"/>
        <w:jc w:val="left"/>
      </w:pPr>
      <w:r>
        <w:rPr>
          <w:rFonts w:ascii="Times New Roman" w:hAnsi="Times New Roman" w:cs="Times New Roman" w:eastAsia="Times New Roman" w:hint="default"/>
        </w:rPr>
        <w:t>3</w:t>
      </w:r>
      <w:r>
        <w:rPr/>
        <w:t>、创新技术和传统优势业务相互促进。借助在传统国际结算和数据交换领域的业务优势，积极推进区块链等新技术落 </w:t>
      </w:r>
      <w:r>
        <w:rPr>
          <w:spacing w:val="-2"/>
        </w:rPr>
        <w:t>地应用。另外一方面，通过区块链和大数据等新技术在相关业务领域的落地应用，优化产品功能、提高其拓展能力，同时也</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提升公司知名度，进一步扩大相关领域市场规模，提高市场占有率。</w:t>
      </w:r>
    </w:p>
    <w:p>
      <w:pPr>
        <w:pStyle w:val="BodyText"/>
        <w:spacing w:line="309" w:lineRule="auto" w:before="77"/>
        <w:ind w:right="1130" w:firstLine="360"/>
        <w:jc w:val="both"/>
      </w:pPr>
      <w:r>
        <w:rPr>
          <w:rFonts w:ascii="Times New Roman" w:hAnsi="Times New Roman" w:cs="Times New Roman" w:eastAsia="Times New Roman" w:hint="default"/>
        </w:rPr>
        <w:t>4</w:t>
      </w:r>
      <w:r>
        <w:rPr/>
        <w:t>、优化组织结构，以创新的观念，突破现有业务格局和组织架构，逐步实现公司内技术资源整合及统一管理，加强公 </w:t>
      </w:r>
      <w:r>
        <w:rPr>
          <w:spacing w:val="-2"/>
        </w:rPr>
        <w:t>司技术资源共享，最大程度发挥资源集中优势。以更加灵活的考核机制激发技术团队的凝聚力和创造力，实现公司利益和个</w:t>
      </w:r>
      <w:r>
        <w:rPr>
          <w:spacing w:val="-63"/>
        </w:rPr>
        <w:t> </w:t>
      </w:r>
      <w:r>
        <w:rPr>
          <w:spacing w:val="-63"/>
        </w:rPr>
      </w:r>
      <w:r>
        <w:rPr/>
        <w:t>人价值的高度统一。</w:t>
      </w:r>
    </w:p>
    <w:p>
      <w:pPr>
        <w:pStyle w:val="BodyText"/>
        <w:spacing w:line="309" w:lineRule="auto" w:before="24"/>
        <w:ind w:right="1131" w:firstLine="360"/>
        <w:jc w:val="both"/>
      </w:pPr>
      <w:r>
        <w:rPr>
          <w:rFonts w:ascii="Times New Roman" w:hAnsi="Times New Roman" w:cs="Times New Roman" w:eastAsia="Times New Roman" w:hint="default"/>
        </w:rPr>
        <w:t>5</w:t>
      </w:r>
      <w:r>
        <w:rPr/>
        <w:t>、聚焦行业新兴细分市场。近年来，在金融行业的一些细分领域，如交易银行、互联网金融平台和供应链金融等发展 </w:t>
      </w:r>
      <w:r>
        <w:rPr>
          <w:spacing w:val="-2"/>
        </w:rPr>
        <w:t>非常迅猛，客户需求持续高速增长。公司将依托在上述领域的先发优势，加强市场及技术投入，力争成为这些新兴细分市场</w:t>
      </w:r>
      <w:r>
        <w:rPr>
          <w:spacing w:val="-65"/>
        </w:rPr>
        <w:t> </w:t>
      </w:r>
      <w:r>
        <w:rPr>
          <w:spacing w:val="-65"/>
        </w:rPr>
      </w:r>
      <w:r>
        <w:rPr/>
        <w:t>的核心供应商。</w:t>
      </w:r>
    </w:p>
    <w:p>
      <w:pPr>
        <w:pStyle w:val="BodyText"/>
        <w:spacing w:line="240" w:lineRule="auto" w:before="24"/>
        <w:ind w:left="513" w:right="1133"/>
        <w:jc w:val="left"/>
      </w:pPr>
      <w:r>
        <w:rPr/>
        <w:t>（三）经营计划</w:t>
      </w:r>
    </w:p>
    <w:p>
      <w:pPr>
        <w:pStyle w:val="BodyText"/>
        <w:spacing w:line="300" w:lineRule="auto" w:before="76"/>
        <w:ind w:left="513" w:right="1133"/>
        <w:jc w:val="left"/>
      </w:pPr>
      <w:r>
        <w:rPr>
          <w:rFonts w:ascii="Times New Roman" w:hAnsi="Times New Roman" w:cs="Times New Roman" w:eastAsia="Times New Roman" w:hint="default"/>
        </w:rPr>
        <w:t>1</w:t>
      </w:r>
      <w:r>
        <w:rPr/>
        <w:t>、市场机会第一，保持规模高速增长 </w:t>
      </w:r>
      <w:r>
        <w:rPr>
          <w:spacing w:val="-2"/>
        </w:rPr>
        <w:t>围绕</w:t>
      </w:r>
      <w:r>
        <w:rPr>
          <w:rFonts w:ascii="Times New Roman" w:hAnsi="Times New Roman" w:cs="Times New Roman" w:eastAsia="Times New Roman" w:hint="default"/>
          <w:spacing w:val="-2"/>
        </w:rPr>
        <w:t>“</w:t>
      </w:r>
      <w:r>
        <w:rPr>
          <w:spacing w:val="-2"/>
        </w:rPr>
        <w:t>市场机会第一，强调规模增长</w:t>
      </w:r>
      <w:r>
        <w:rPr>
          <w:rFonts w:ascii="Times New Roman" w:hAnsi="Times New Roman" w:cs="Times New Roman" w:eastAsia="Times New Roman" w:hint="default"/>
          <w:spacing w:val="-2"/>
        </w:rPr>
        <w:t>”</w:t>
      </w:r>
      <w:r>
        <w:rPr>
          <w:spacing w:val="-2"/>
        </w:rPr>
        <w:t>的主题，</w:t>
      </w:r>
      <w:r>
        <w:rPr>
          <w:rFonts w:ascii="Times New Roman" w:hAnsi="Times New Roman" w:cs="Times New Roman" w:eastAsia="Times New Roman" w:hint="default"/>
          <w:spacing w:val="-2"/>
        </w:rPr>
        <w:t>2019</w:t>
      </w:r>
      <w:r>
        <w:rPr>
          <w:spacing w:val="-2"/>
        </w:rPr>
        <w:t>年我们要在去年的基础上，继续保持营业收入规模的高速增长。为此</w:t>
      </w:r>
    </w:p>
    <w:p>
      <w:pPr>
        <w:pStyle w:val="BodyText"/>
        <w:spacing w:line="316" w:lineRule="auto" w:before="13"/>
        <w:ind w:right="0"/>
        <w:jc w:val="left"/>
      </w:pPr>
      <w:r>
        <w:rPr>
          <w:spacing w:val="-2"/>
        </w:rPr>
        <w:t>我们将持续加大对市场拓展的投入，探索多种合作模式，进一步拓展市场空间。对重点的金融细分领域，加大市场和技术投</w:t>
      </w:r>
      <w:r>
        <w:rPr>
          <w:spacing w:val="-64"/>
        </w:rPr>
        <w:t> </w:t>
      </w:r>
      <w:r>
        <w:rPr>
          <w:spacing w:val="-64"/>
        </w:rPr>
      </w:r>
      <w:r>
        <w:rPr/>
        <w:t>入，继续保持公司在这些领域的先发优势。</w:t>
      </w:r>
    </w:p>
    <w:p>
      <w:pPr>
        <w:pStyle w:val="BodyText"/>
        <w:spacing w:line="307" w:lineRule="auto" w:before="19"/>
        <w:ind w:left="513" w:right="1133"/>
        <w:jc w:val="left"/>
      </w:pPr>
      <w:r>
        <w:rPr>
          <w:rFonts w:ascii="Times New Roman" w:hAnsi="Times New Roman" w:cs="Times New Roman" w:eastAsia="Times New Roman" w:hint="default"/>
        </w:rPr>
        <w:t>2</w:t>
      </w:r>
      <w:r>
        <w:rPr/>
        <w:t>、量化考核及时激励，提升公司内部活力 通过量化、导向性的考核指标，及时地进行考核和激励。提升公司内部活力，形成业务增量与及时激励的正向反馈。 </w:t>
      </w:r>
      <w:r>
        <w:rPr>
          <w:rFonts w:ascii="Times New Roman" w:hAnsi="Times New Roman" w:cs="Times New Roman" w:eastAsia="Times New Roman" w:hint="default"/>
        </w:rPr>
        <w:t>3</w:t>
      </w:r>
      <w:r>
        <w:rPr/>
        <w:t>、依托分支机构，整合技术资源，提高人员复用率，有效控制人员总体成本 </w:t>
      </w:r>
      <w:r>
        <w:rPr>
          <w:spacing w:val="-2"/>
        </w:rPr>
        <w:t>重点依托武汉、天津两地的分子公司，批量引入和储备高素质的毕业生，定向招聘各级别实施人员，逐步提高武汉、天</w:t>
      </w:r>
    </w:p>
    <w:p>
      <w:pPr>
        <w:pStyle w:val="BodyText"/>
        <w:spacing w:line="316" w:lineRule="auto" w:before="26"/>
        <w:ind w:right="0"/>
        <w:jc w:val="left"/>
      </w:pPr>
      <w:r>
        <w:rPr>
          <w:spacing w:val="-2"/>
        </w:rPr>
        <w:t>津两地实施人员在整个公司实施队伍中的比例。视业务拓展情况，积极尝试在成都、西安等高校资源丰富的地区开展人员招</w:t>
      </w:r>
      <w:r>
        <w:rPr>
          <w:spacing w:val="-66"/>
        </w:rPr>
        <w:t> </w:t>
      </w:r>
      <w:r>
        <w:rPr>
          <w:spacing w:val="-66"/>
        </w:rPr>
      </w:r>
      <w:r>
        <w:rPr/>
        <w:t>聘和储备。进一步推进技术资源合并整合，提高人员复用率，加强对市场的支持能力。</w:t>
      </w:r>
    </w:p>
    <w:p>
      <w:pPr>
        <w:pStyle w:val="BodyText"/>
        <w:spacing w:line="300" w:lineRule="auto" w:before="19"/>
        <w:ind w:left="513" w:right="0"/>
        <w:jc w:val="left"/>
      </w:pPr>
      <w:r>
        <w:rPr>
          <w:rFonts w:ascii="Times New Roman" w:hAnsi="Times New Roman" w:cs="Times New Roman" w:eastAsia="Times New Roman" w:hint="default"/>
        </w:rPr>
        <w:t>4</w:t>
      </w:r>
      <w:r>
        <w:rPr/>
        <w:t>、加大研发投入，增强创新实验室实力 </w:t>
      </w:r>
      <w:r>
        <w:rPr>
          <w:spacing w:val="-2"/>
        </w:rPr>
        <w:t>扩大研发中心规模并专项引进研发型人才，通过创新产品研究应用、既有产品持续优化和引进产品消化吸收并举，提升</w:t>
      </w:r>
    </w:p>
    <w:p>
      <w:pPr>
        <w:pStyle w:val="BodyText"/>
        <w:spacing w:line="316" w:lineRule="auto" w:before="31"/>
        <w:ind w:left="513" w:right="1133" w:hanging="361"/>
        <w:jc w:val="left"/>
      </w:pPr>
      <w:r>
        <w:rPr/>
        <w:t>公司整体产品化程度，提高行业竞争力。 </w:t>
      </w:r>
      <w:r>
        <w:rPr>
          <w:spacing w:val="-2"/>
        </w:rPr>
        <w:t>创新实验室，继续给予特殊的人才待遇和经费支持，对市场上的热点技术包括云计算、大数据、区块链等，结合目前我</w:t>
      </w:r>
    </w:p>
    <w:p>
      <w:pPr>
        <w:pStyle w:val="BodyText"/>
        <w:spacing w:line="240" w:lineRule="auto" w:before="19"/>
        <w:ind w:right="1133"/>
        <w:jc w:val="left"/>
      </w:pPr>
      <w:r>
        <w:rPr/>
        <w:t>们在客户已经落地项目的成功经验和自身丰富的业务经验，通过各种形式作到知识领域全覆盖，形成重点行业知名度。</w:t>
      </w:r>
    </w:p>
    <w:p>
      <w:pPr>
        <w:pStyle w:val="BodyText"/>
        <w:spacing w:line="240" w:lineRule="auto" w:before="76"/>
        <w:ind w:left="513" w:right="1133"/>
        <w:jc w:val="left"/>
      </w:pPr>
      <w:r>
        <w:rPr>
          <w:rFonts w:ascii="Times New Roman" w:hAnsi="Times New Roman" w:cs="Times New Roman" w:eastAsia="Times New Roman" w:hint="default"/>
        </w:rPr>
        <w:t>5</w:t>
      </w:r>
      <w:r>
        <w:rPr/>
        <w:t>、布局公安大数据建设</w:t>
      </w:r>
    </w:p>
    <w:p>
      <w:pPr>
        <w:pStyle w:val="BodyText"/>
        <w:spacing w:line="309" w:lineRule="auto" w:before="63"/>
        <w:ind w:right="1132" w:firstLine="360"/>
        <w:jc w:val="both"/>
      </w:pPr>
      <w:r>
        <w:rPr>
          <w:rFonts w:ascii="Times New Roman" w:hAnsi="Times New Roman" w:cs="Times New Roman" w:eastAsia="Times New Roman" w:hint="default"/>
          <w:spacing w:val="-2"/>
        </w:rPr>
        <w:t>2019</w:t>
      </w:r>
      <w:r>
        <w:rPr>
          <w:spacing w:val="-2"/>
        </w:rPr>
        <w:t>年公司参股了北京清林软件科技有限公司（以下简称“清林软件”），清林软件在公安、政法等行业大数据可视化</w:t>
      </w:r>
      <w:r>
        <w:rPr/>
        <w:t> </w:t>
      </w:r>
      <w:r>
        <w:rPr>
          <w:spacing w:val="-2"/>
        </w:rPr>
        <w:t>相关产品的研发有多年的积累，拥有专业的数据专家团队，具有丰富的落地实施经验。公司将依托清林软件的产品优势，结</w:t>
      </w:r>
      <w:r>
        <w:rPr>
          <w:spacing w:val="-66"/>
        </w:rPr>
        <w:t> </w:t>
      </w:r>
      <w:r>
        <w:rPr>
          <w:spacing w:val="-66"/>
        </w:rPr>
      </w:r>
      <w:r>
        <w:rPr/>
        <w:t>合公司在金融、军工行业的市场资源，积极投身大数据的市场拓展。</w:t>
      </w:r>
    </w:p>
    <w:p>
      <w:pPr>
        <w:pStyle w:val="BodyText"/>
        <w:spacing w:line="240" w:lineRule="auto" w:before="24"/>
        <w:ind w:left="513" w:right="1133"/>
        <w:jc w:val="left"/>
      </w:pPr>
      <w:r>
        <w:rPr/>
        <w:t>（四）可能面临的风险</w:t>
      </w:r>
    </w:p>
    <w:p>
      <w:pPr>
        <w:pStyle w:val="BodyText"/>
        <w:spacing w:line="300" w:lineRule="auto" w:before="76"/>
        <w:ind w:left="513" w:right="1116"/>
        <w:jc w:val="left"/>
      </w:pPr>
      <w:r>
        <w:rPr>
          <w:rFonts w:ascii="Times New Roman" w:hAnsi="Times New Roman" w:cs="Times New Roman" w:eastAsia="Times New Roman" w:hint="default"/>
        </w:rPr>
        <w:t>1</w:t>
      </w:r>
      <w:r>
        <w:rPr/>
        <w:t>、对大客户的依赖风险 </w:t>
      </w:r>
      <w:r>
        <w:rPr>
          <w:spacing w:val="-1"/>
        </w:rPr>
        <w:t>本年度公司主营业务收入</w:t>
      </w:r>
      <w:r>
        <w:rPr>
          <w:rFonts w:ascii="Times New Roman" w:hAnsi="Times New Roman" w:cs="Times New Roman" w:eastAsia="Times New Roman" w:hint="default"/>
          <w:spacing w:val="-1"/>
        </w:rPr>
        <w:t>50%</w:t>
      </w:r>
      <w:r>
        <w:rPr>
          <w:spacing w:val="-1"/>
        </w:rPr>
        <w:t>以上来源于前五大客户，公司在经营上存在对大客户的依赖风险。因此，公司在制定经营</w:t>
      </w:r>
    </w:p>
    <w:p>
      <w:pPr>
        <w:pStyle w:val="BodyText"/>
        <w:spacing w:line="240" w:lineRule="auto" w:before="13"/>
        <w:ind w:right="1133"/>
        <w:jc w:val="left"/>
      </w:pPr>
      <w:r>
        <w:rPr/>
        <w:t>战略方面更注重可持续发展能力的提升，包括了技术研发和市场开拓等方面：</w:t>
      </w:r>
    </w:p>
    <w:p>
      <w:pPr>
        <w:pStyle w:val="BodyText"/>
        <w:spacing w:line="300" w:lineRule="auto" w:before="76"/>
        <w:ind w:right="1139" w:firstLine="360"/>
        <w:jc w:val="both"/>
      </w:pPr>
      <w:r>
        <w:rPr/>
        <w:t>（</w:t>
      </w:r>
      <w:r>
        <w:rPr>
          <w:rFonts w:ascii="Times New Roman" w:hAnsi="Times New Roman" w:cs="Times New Roman" w:eastAsia="Times New Roman" w:hint="default"/>
        </w:rPr>
        <w:t>1</w:t>
      </w:r>
      <w:r>
        <w:rPr/>
        <w:t>）公司在与已有客户建立长期合作伙伴关系的基础上，持续跟踪新技术，开发新业务和新产品，以保持技术和业务 的领先性，并持续提高服务质量，增加客户粘度，不断提升老客户的忠诚度。</w:t>
      </w:r>
    </w:p>
    <w:p>
      <w:pPr>
        <w:pStyle w:val="BodyText"/>
        <w:spacing w:line="240" w:lineRule="auto" w:before="31"/>
        <w:ind w:left="513" w:right="1133"/>
        <w:jc w:val="left"/>
      </w:pPr>
      <w:r>
        <w:rPr/>
        <w:t>（</w:t>
      </w:r>
      <w:r>
        <w:rPr>
          <w:rFonts w:ascii="Times New Roman" w:hAnsi="Times New Roman" w:cs="Times New Roman" w:eastAsia="Times New Roman" w:hint="default"/>
        </w:rPr>
        <w:t>2</w:t>
      </w:r>
      <w:r>
        <w:rPr/>
        <w:t>）利用技术和业务优势，积极开拓新客户。</w:t>
      </w:r>
    </w:p>
    <w:p>
      <w:pPr>
        <w:pStyle w:val="BodyText"/>
        <w:spacing w:line="300" w:lineRule="auto" w:before="63"/>
        <w:ind w:left="513" w:right="1033"/>
        <w:jc w:val="left"/>
      </w:pPr>
      <w:r>
        <w:rPr>
          <w:rFonts w:ascii="Times New Roman" w:hAnsi="Times New Roman" w:cs="Times New Roman" w:eastAsia="Times New Roman" w:hint="default"/>
        </w:rPr>
        <w:t>2</w:t>
      </w:r>
      <w:r>
        <w:rPr/>
        <w:t>、人力成本上升的风险 公司为了加大研发力度及市场开拓，不断扩充员工队伍；行业内对高水平技术人才的争夺推动了员工薪酬的不断上涨；</w:t>
      </w:r>
    </w:p>
    <w:p>
      <w:pPr>
        <w:pStyle w:val="BodyText"/>
        <w:spacing w:line="319" w:lineRule="auto" w:before="31"/>
        <w:ind w:right="0"/>
        <w:jc w:val="left"/>
      </w:pPr>
      <w:r>
        <w:rPr>
          <w:spacing w:val="-4"/>
        </w:rPr>
        <w:t>另外，随着公司在新技术应用方面的深入和转型，新技术人才的成本普遍较高，上述三个因素导致公司的人力成本持续增加，</w:t>
      </w:r>
      <w:r>
        <w:rPr>
          <w:spacing w:val="-44"/>
        </w:rPr>
        <w:t> </w:t>
      </w:r>
      <w:r>
        <w:rPr>
          <w:spacing w:val="-44"/>
        </w:rPr>
      </w:r>
      <w:r>
        <w:rPr/>
        <w:t>如果人力成本增幅与营业收入增幅不匹配，公司经营业绩将受到一定的影响。未来采取防范风险的措施：</w:t>
      </w:r>
    </w:p>
    <w:p>
      <w:pPr>
        <w:pStyle w:val="BodyText"/>
        <w:spacing w:line="300" w:lineRule="auto" w:before="17"/>
        <w:ind w:left="513" w:right="0"/>
        <w:jc w:val="left"/>
      </w:pPr>
      <w:r>
        <w:rPr/>
        <w:t>（</w:t>
      </w:r>
      <w:r>
        <w:rPr>
          <w:rFonts w:ascii="Times New Roman" w:hAnsi="Times New Roman" w:cs="Times New Roman" w:eastAsia="Times New Roman" w:hint="default"/>
        </w:rPr>
        <w:t>1</w:t>
      </w:r>
      <w:r>
        <w:rPr/>
        <w:t>）调整人员结构 </w:t>
      </w:r>
      <w:r>
        <w:rPr>
          <w:spacing w:val="-2"/>
        </w:rPr>
        <w:t>公司将根据不同的业务模式以及客户要求调整技术团队的人员结构，在保证交付质量以及风险可控的前提下将技术团队</w:t>
      </w:r>
    </w:p>
    <w:p>
      <w:pPr>
        <w:pStyle w:val="BodyText"/>
        <w:spacing w:line="240" w:lineRule="auto" w:before="31"/>
        <w:ind w:right="1133"/>
        <w:jc w:val="left"/>
      </w:pPr>
      <w:r>
        <w:rPr/>
        <w:t>的费用成本控制在合理水平。</w:t>
      </w:r>
    </w:p>
    <w:p>
      <w:pPr>
        <w:pStyle w:val="BodyText"/>
        <w:spacing w:line="300" w:lineRule="auto" w:before="76"/>
        <w:ind w:left="513" w:right="1133"/>
        <w:jc w:val="left"/>
      </w:pPr>
      <w:r>
        <w:rPr/>
        <w:t>（</w:t>
      </w:r>
      <w:r>
        <w:rPr>
          <w:rFonts w:ascii="Times New Roman" w:hAnsi="Times New Roman" w:cs="Times New Roman" w:eastAsia="Times New Roman" w:hint="default"/>
        </w:rPr>
        <w:t>2</w:t>
      </w:r>
      <w:r>
        <w:rPr/>
        <w:t>）建立人才基地 </w:t>
      </w:r>
      <w:r>
        <w:rPr>
          <w:spacing w:val="-2"/>
        </w:rPr>
        <w:t>目前，公司已经在武汉、天津成立了人才基地，积极尝试在成都、西安等地成立新的人才储备地，做为整个公司的技术</w:t>
      </w:r>
    </w:p>
    <w:p>
      <w:pPr>
        <w:pStyle w:val="BodyText"/>
        <w:spacing w:line="240" w:lineRule="auto" w:before="31"/>
        <w:ind w:right="1133"/>
        <w:jc w:val="left"/>
      </w:pPr>
      <w:r>
        <w:rPr/>
        <w:t>资源池，以缓解公司人力成本不断攀升的压力。</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1" w:firstLine="360"/>
        <w:jc w:val="both"/>
      </w:pPr>
      <w:r>
        <w:rPr>
          <w:rFonts w:ascii="Times New Roman" w:hAnsi="Times New Roman" w:cs="Times New Roman" w:eastAsia="Times New Roman" w:hint="default"/>
        </w:rPr>
        <w:t>3</w:t>
      </w:r>
      <w:r>
        <w:rPr/>
        <w:t>、随着公司业务规模、市场覆盖的扩大，加上项目本身的执行与验收周期较长，因此应收账款有逐渐增加及账龄结构 </w:t>
      </w:r>
      <w:r>
        <w:rPr>
          <w:spacing w:val="-2"/>
        </w:rPr>
        <w:t>发生改变的趋势，公司的客户主要为银行、空管部门、政府机构和大中型国有企事业单位等，如果个别客户信用情况发生较</w:t>
      </w:r>
      <w:r>
        <w:rPr>
          <w:spacing w:val="-64"/>
        </w:rPr>
        <w:t> </w:t>
      </w:r>
      <w:r>
        <w:rPr>
          <w:spacing w:val="-64"/>
        </w:rPr>
      </w:r>
      <w:r>
        <w:rPr/>
        <w:t>大变化，将不利于公司应收账款的收回，对公司的资产质量和经营业绩产生不利影响。防范应收账款风险的措施：</w:t>
      </w:r>
    </w:p>
    <w:p>
      <w:pPr>
        <w:pStyle w:val="BodyText"/>
        <w:spacing w:line="300" w:lineRule="auto" w:before="24"/>
        <w:ind w:right="1140" w:firstLine="360"/>
        <w:jc w:val="both"/>
      </w:pPr>
      <w:r>
        <w:rPr/>
        <w:t>（</w:t>
      </w:r>
      <w:r>
        <w:rPr>
          <w:rFonts w:ascii="Times New Roman" w:hAnsi="Times New Roman" w:cs="Times New Roman" w:eastAsia="Times New Roman" w:hint="default"/>
        </w:rPr>
        <w:t>1</w:t>
      </w:r>
      <w:r>
        <w:rPr/>
        <w:t>）将应收账款的管理与个人的利益相统一。将应收账款与相关人员考核相结合。同时将应收账款的管理纳入内部审 计的重要审计范围，进一步规范管理。</w:t>
      </w:r>
    </w:p>
    <w:p>
      <w:pPr>
        <w:pStyle w:val="BodyText"/>
        <w:spacing w:line="300" w:lineRule="auto" w:before="31"/>
        <w:ind w:right="1139" w:firstLine="360"/>
        <w:jc w:val="both"/>
      </w:pPr>
      <w:r>
        <w:rPr/>
        <w:t>（</w:t>
      </w:r>
      <w:r>
        <w:rPr>
          <w:rFonts w:ascii="Times New Roman" w:hAnsi="Times New Roman" w:cs="Times New Roman" w:eastAsia="Times New Roman" w:hint="default"/>
        </w:rPr>
        <w:t>2</w:t>
      </w:r>
      <w:r>
        <w:rPr/>
        <w:t>）加强对应收账款的催收力度。在催收欠款上，对欠款年份、金额进行排队分析，分别采取不同的措施。同时要认 真总结经验教训，尽最大可能避免产生新的逾期应收账款，降低应收账款风险。</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2"/>
        <w:jc w:val="center"/>
        <w:rPr>
          <w:b w:val="0"/>
          <w:bCs w:val="0"/>
        </w:rPr>
      </w:pPr>
      <w:bookmarkStart w:name="_bookmark4" w:id="5"/>
      <w:bookmarkEnd w:id="5"/>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left="513" w:right="111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根据《公司章程》的要求，对公司利润分配政策进行了明确规定，确定了公司利润分配的原则和方案，尤其是现金分红</w:t>
      </w:r>
    </w:p>
    <w:p>
      <w:pPr>
        <w:pStyle w:val="BodyText"/>
        <w:spacing w:line="240" w:lineRule="auto" w:before="2"/>
        <w:ind w:right="1133"/>
        <w:jc w:val="left"/>
      </w:pPr>
      <w:r>
        <w:rPr/>
        <w:t>的具体条件、比例，确定了公司利润分配的决策程序和机制以及利润分配政策调整的决策程序。</w:t>
      </w:r>
    </w:p>
    <w:p>
      <w:pPr>
        <w:pStyle w:val="BodyText"/>
        <w:spacing w:line="319" w:lineRule="auto" w:before="76"/>
        <w:ind w:right="1129" w:firstLine="360"/>
        <w:jc w:val="both"/>
      </w:pPr>
      <w:r>
        <w:rPr>
          <w:spacing w:val="-2"/>
        </w:rPr>
        <w:t>《公司章程》第一百六十六条规定，公司实行持续、稳定的利润分配政策，公司的利润分配应当重视对投资者的合理投</w:t>
      </w:r>
      <w:r>
        <w:rPr/>
        <w:t> </w:t>
      </w:r>
      <w:r>
        <w:rPr>
          <w:spacing w:val="-2"/>
        </w:rPr>
        <w:t>资回报并兼顾公司的可持续发展。利润分配方式包括现金分红和股票股利分红，具备现金分红条件的，应优先采用现金分红</w:t>
      </w:r>
      <w:r>
        <w:rPr>
          <w:spacing w:val="-62"/>
        </w:rPr>
        <w:t> </w:t>
      </w:r>
      <w:r>
        <w:rPr>
          <w:spacing w:val="-62"/>
        </w:rPr>
      </w:r>
      <w:r>
        <w:rPr/>
        <w:t>进行利润分配；采用股票股利进行利润分配的，应具有公司成长性、每股净资产的摊薄等真实合理因素。</w:t>
      </w:r>
    </w:p>
    <w:p>
      <w:pPr>
        <w:pStyle w:val="BodyText"/>
        <w:spacing w:line="309" w:lineRule="auto" w:before="17"/>
        <w:ind w:right="0" w:firstLine="360"/>
        <w:jc w:val="left"/>
      </w:pPr>
      <w:r>
        <w:rPr>
          <w:spacing w:val="-2"/>
        </w:rPr>
        <w:t>《公司章程》第一百六十七条规定，在公司当年经审计的净利润为正数的情况下，公司每年度采取的利润分配方式中必</w:t>
      </w:r>
      <w:r>
        <w:rPr/>
        <w:t> </w:t>
      </w:r>
      <w:r>
        <w:rPr>
          <w:spacing w:val="-2"/>
        </w:rPr>
        <w:t>须含有现金分配方式。公司每年度现金分红金额应不低于当年实现的可供分配利润的百分之二十。同时：（一）公司发展阶</w:t>
      </w:r>
      <w:r>
        <w:rPr>
          <w:spacing w:val="-65"/>
        </w:rPr>
        <w:t> </w:t>
      </w:r>
      <w:r>
        <w:rPr>
          <w:spacing w:val="-65"/>
        </w:rPr>
      </w:r>
      <w:r>
        <w:rPr/>
        <w:t>段属成熟期且无重大资金支出安排的，进行利润分配时，现金分红在本次利润分配中所占比例最低应达到</w:t>
      </w:r>
      <w:r>
        <w:rPr>
          <w:rFonts w:ascii="Times New Roman" w:hAnsi="Times New Roman" w:cs="Times New Roman" w:eastAsia="Times New Roman" w:hint="default"/>
        </w:rPr>
        <w:t>80%</w:t>
      </w:r>
      <w:r>
        <w:rPr/>
        <w:t>；（二）公司 </w:t>
      </w:r>
      <w:r>
        <w:rPr>
          <w:spacing w:val="-3"/>
        </w:rPr>
        <w:t>发展阶段属成熟期且有重大资金支出安排的，进行利润分配时，现金分红在本次利润分配中所占比例最低应达到</w:t>
      </w:r>
      <w:r>
        <w:rPr>
          <w:rFonts w:ascii="Times New Roman" w:hAnsi="Times New Roman" w:cs="Times New Roman" w:eastAsia="Times New Roman" w:hint="default"/>
          <w:spacing w:val="-3"/>
        </w:rPr>
        <w:t>40%</w:t>
      </w:r>
      <w:r>
        <w:rPr>
          <w:spacing w:val="-3"/>
        </w:rPr>
        <w:t>；（三）</w:t>
      </w:r>
      <w:r>
        <w:rPr>
          <w:spacing w:val="-65"/>
        </w:rPr>
        <w:t> </w:t>
      </w:r>
      <w:r>
        <w:rPr>
          <w:spacing w:val="-65"/>
        </w:rPr>
      </w:r>
      <w:r>
        <w:rPr/>
        <w:t>公司发展阶段属成长期且有重大资金支出安排的，进行利润分配时，现金分红在本次利润分配中所占比例最低应达到</w:t>
      </w:r>
      <w:r>
        <w:rPr>
          <w:rFonts w:ascii="Times New Roman" w:hAnsi="Times New Roman" w:cs="Times New Roman" w:eastAsia="Times New Roman" w:hint="default"/>
        </w:rPr>
        <w:t>20%</w:t>
      </w:r>
      <w:r>
        <w:rPr/>
        <w:t>。 </w:t>
      </w:r>
      <w:r>
        <w:rPr>
          <w:spacing w:val="-2"/>
        </w:rPr>
        <w:t>公司发展阶段不易区分但有重大资金支出安排的，可以按照第（三）项的规定处理。在有条件的情况下，公司可以进行中期</w:t>
      </w:r>
      <w:r>
        <w:rPr>
          <w:spacing w:val="-65"/>
        </w:rPr>
        <w:t> </w:t>
      </w:r>
      <w:r>
        <w:rPr>
          <w:spacing w:val="-65"/>
        </w:rPr>
      </w:r>
      <w:r>
        <w:rPr>
          <w:spacing w:val="-2"/>
        </w:rPr>
        <w:t>现金分红。若公司业务规模增长迅速，并且董事会认为公司业务规模与公司股本规模不匹配时，可以在满足上述现金股利分</w:t>
      </w:r>
      <w:r>
        <w:rPr>
          <w:spacing w:val="-63"/>
        </w:rPr>
        <w:t> </w:t>
      </w:r>
      <w:r>
        <w:rPr>
          <w:spacing w:val="-63"/>
        </w:rPr>
      </w:r>
      <w:r>
        <w:rPr/>
        <w:t>配的同时，制定股票股利分配预案。</w:t>
      </w:r>
    </w:p>
    <w:p>
      <w:pPr>
        <w:spacing w:line="240" w:lineRule="auto" w:before="2"/>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6783"/>
        <w:gridCol w:w="2776"/>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7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7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7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7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7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77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4394"/>
        <w:gridCol w:w="5175"/>
      </w:tblGrid>
      <w:tr>
        <w:trPr>
          <w:trHeight w:val="40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155,025,550</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7,751,277.50</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385"/>
        <w:gridCol w:w="5186"/>
      </w:tblGrid>
      <w:tr>
        <w:trPr>
          <w:trHeight w:val="402"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1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7,751,277.50</w:t>
            </w:r>
          </w:p>
        </w:tc>
      </w:tr>
      <w:tr>
        <w:trPr>
          <w:trHeight w:val="402"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1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38,368,529.31</w:t>
            </w:r>
          </w:p>
        </w:tc>
      </w:tr>
      <w:tr>
        <w:trPr>
          <w:trHeight w:val="408"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1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日的总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20"/>
                <w:sz w:val="18"/>
                <w:szCs w:val="18"/>
              </w:rPr>
              <w:t>，</w:t>
            </w:r>
            <w:r>
              <w:rPr>
                <w:rFonts w:ascii="宋体" w:hAnsi="宋体" w:cs="宋体" w:eastAsia="宋体" w:hint="default"/>
                <w:sz w:val="18"/>
                <w:szCs w:val="18"/>
              </w:rPr>
              <w:t>向</w:t>
            </w:r>
            <w:r>
              <w:rPr>
                <w:rFonts w:ascii="宋体" w:hAnsi="宋体" w:cs="宋体" w:eastAsia="宋体" w:hint="default"/>
                <w:spacing w:val="-3"/>
                <w:sz w:val="18"/>
                <w:szCs w:val="18"/>
              </w:rPr>
              <w:t>全</w:t>
            </w:r>
            <w:r>
              <w:rPr>
                <w:rFonts w:ascii="宋体" w:hAnsi="宋体" w:cs="宋体" w:eastAsia="宋体" w:hint="default"/>
                <w:sz w:val="18"/>
                <w:szCs w:val="18"/>
              </w:rPr>
              <w:t>体股东实施每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20"/>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合计派</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发现金股利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7,751,277.50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元；同时，以资本公积金向全体股东每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股转增</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股，剩余未分配利润结转至下一年度。上述利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润分配预案中资本公积转增股本的转增金额未超过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年度报告期末“资本公积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股本溢价”的余额。</w:t>
            </w:r>
          </w:p>
        </w:tc>
      </w:tr>
    </w:tbl>
    <w:p>
      <w:pPr>
        <w:pStyle w:val="BodyText"/>
        <w:spacing w:line="240" w:lineRule="auto" w:before="49"/>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left="513" w:right="0"/>
        <w:jc w:val="left"/>
      </w:pPr>
      <w:r>
        <w:rPr>
          <w:rFonts w:ascii="Times New Roman" w:hAnsi="Times New Roman" w:cs="Times New Roman" w:eastAsia="Times New Roman" w:hint="default"/>
        </w:rPr>
        <w:t>2016</w:t>
      </w:r>
      <w:r>
        <w:rPr/>
        <w:t>年度利润分配方案：根据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日，第八届董事会第二十五次会议，审议通过了</w:t>
      </w:r>
      <w:r>
        <w:rPr>
          <w:rFonts w:ascii="Times New Roman" w:hAnsi="Times New Roman" w:cs="Times New Roman" w:eastAsia="Times New Roman" w:hint="default"/>
        </w:rPr>
        <w:t>2016</w:t>
      </w:r>
      <w:r>
        <w:rPr/>
        <w:t>年度利润分配预案：以</w:t>
      </w:r>
    </w:p>
    <w:p>
      <w:pPr>
        <w:pStyle w:val="BodyText"/>
        <w:spacing w:line="300" w:lineRule="auto" w:before="63"/>
        <w:ind w:right="1197"/>
        <w:jc w:val="left"/>
      </w:pP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90,150,000.00</w:t>
      </w:r>
      <w:r>
        <w:rPr>
          <w:rFonts w:ascii="Times New Roman" w:hAnsi="Times New Roman" w:cs="Times New Roman" w:eastAsia="Times New Roman" w:hint="default"/>
          <w:spacing w:val="17"/>
        </w:rPr>
        <w:t> </w:t>
      </w:r>
      <w:r>
        <w:rPr/>
        <w:t>股为基数，以现金股利方式向全体股东派发红利</w:t>
      </w:r>
      <w:r>
        <w:rPr>
          <w:rFonts w:ascii="Times New Roman" w:hAnsi="Times New Roman" w:cs="Times New Roman" w:eastAsia="Times New Roman" w:hint="default"/>
        </w:rPr>
        <w:t>6,310,500.00</w:t>
      </w:r>
      <w:r>
        <w:rPr/>
        <w:t>元，计每</w:t>
      </w:r>
      <w:r>
        <w:rPr>
          <w:rFonts w:ascii="Times New Roman" w:hAnsi="Times New Roman" w:cs="Times New Roman" w:eastAsia="Times New Roman" w:hint="default"/>
        </w:rPr>
        <w:t>10</w:t>
      </w:r>
      <w:r>
        <w:rPr/>
        <w:t>股分配现金红利</w:t>
      </w:r>
      <w:r>
        <w:rPr>
          <w:rFonts w:ascii="Times New Roman" w:hAnsi="Times New Roman" w:cs="Times New Roman" w:eastAsia="Times New Roman" w:hint="default"/>
        </w:rPr>
        <w:t>0.70 </w:t>
      </w:r>
      <w:r>
        <w:rPr/>
        <w:t>元（含税），剩余未分配利润结转至下一年度。</w:t>
      </w:r>
    </w:p>
    <w:p>
      <w:pPr>
        <w:pStyle w:val="BodyText"/>
        <w:spacing w:line="300" w:lineRule="auto" w:before="31"/>
        <w:ind w:right="1136" w:firstLine="360"/>
        <w:jc w:val="both"/>
      </w:pPr>
      <w:r>
        <w:rPr>
          <w:rFonts w:ascii="Times New Roman" w:hAnsi="Times New Roman" w:cs="Times New Roman" w:eastAsia="Times New Roman" w:hint="default"/>
        </w:rPr>
        <w:t>2017</w:t>
      </w:r>
      <w:r>
        <w:rPr/>
        <w:t>年度利润分配及资本公积金转增股本预案：根据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日，第九届董事会第六次会议，审议通过了</w:t>
      </w:r>
      <w:r>
        <w:rPr>
          <w:rFonts w:ascii="Times New Roman" w:hAnsi="Times New Roman" w:cs="Times New Roman" w:eastAsia="Times New Roman" w:hint="default"/>
        </w:rPr>
        <w:t>2017</w:t>
      </w:r>
      <w:r>
        <w:rPr/>
        <w:t>年度 利润分配及资本公积金转增股本预案：以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91,191,500</w:t>
      </w:r>
      <w:r>
        <w:rPr/>
        <w:t>股为基数，向全体股东实施每</w:t>
      </w:r>
      <w:r>
        <w:rPr>
          <w:rFonts w:ascii="Times New Roman" w:hAnsi="Times New Roman" w:cs="Times New Roman" w:eastAsia="Times New Roman" w:hint="default"/>
        </w:rPr>
        <w:t>10</w:t>
      </w:r>
      <w:r>
        <w:rPr/>
        <w:t>股派发现金股 利</w:t>
      </w:r>
      <w:r>
        <w:rPr>
          <w:rFonts w:ascii="Times New Roman" w:hAnsi="Times New Roman" w:cs="Times New Roman" w:eastAsia="Times New Roman" w:hint="default"/>
        </w:rPr>
        <w:t>0.80</w:t>
      </w:r>
      <w:r>
        <w:rPr/>
        <w:t>元（含税），合计派发现金股利</w:t>
      </w:r>
      <w:r>
        <w:rPr>
          <w:rFonts w:ascii="Times New Roman" w:hAnsi="Times New Roman" w:cs="Times New Roman" w:eastAsia="Times New Roman" w:hint="default"/>
        </w:rPr>
        <w:t>7,295,320.00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股，剩余未分配利润结 转至下一年度。</w:t>
      </w:r>
    </w:p>
    <w:p>
      <w:pPr>
        <w:pStyle w:val="BodyText"/>
        <w:spacing w:line="300" w:lineRule="auto" w:before="31"/>
        <w:ind w:right="0" w:firstLine="360"/>
        <w:jc w:val="left"/>
      </w:pPr>
      <w:r>
        <w:rPr>
          <w:rFonts w:ascii="Times New Roman" w:hAnsi="Times New Roman" w:cs="Times New Roman" w:eastAsia="Times New Roman" w:hint="default"/>
          <w:spacing w:val="-3"/>
        </w:rPr>
        <w:t>2018</w:t>
      </w:r>
      <w:r>
        <w:rPr>
          <w:spacing w:val="-3"/>
        </w:rPr>
        <w:t>年度利润分配方案：根据</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日，第九届董事会第十六次会议，审议通过了</w:t>
      </w:r>
      <w:r>
        <w:rPr>
          <w:rFonts w:ascii="Times New Roman" w:hAnsi="Times New Roman" w:cs="Times New Roman" w:eastAsia="Times New Roman" w:hint="default"/>
          <w:spacing w:val="-3"/>
        </w:rPr>
        <w:t>2018</w:t>
      </w:r>
      <w:r>
        <w:rPr>
          <w:spacing w:val="-3"/>
        </w:rPr>
        <w:t>年度利润分配预案：以</w:t>
      </w:r>
      <w:r>
        <w:rPr>
          <w:rFonts w:ascii="Times New Roman" w:hAnsi="Times New Roman" w:cs="Times New Roman" w:eastAsia="Times New Roman" w:hint="default"/>
          <w:spacing w:val="-3"/>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155,025,550</w:t>
      </w:r>
      <w:r>
        <w:rPr/>
        <w:t>股为基数，向全体股东实施每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0.50</w:t>
      </w:r>
      <w:r>
        <w:rPr/>
        <w:t>元（含税），合计派发现金股利 </w:t>
      </w:r>
      <w:r>
        <w:rPr>
          <w:rFonts w:ascii="Times New Roman" w:hAnsi="Times New Roman" w:cs="Times New Roman" w:eastAsia="Times New Roman" w:hint="default"/>
        </w:rPr>
        <w:t>7,751,277.50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股，剩余未分配利润结转至下一年度。</w:t>
      </w:r>
    </w:p>
    <w:p>
      <w:pPr>
        <w:spacing w:line="240" w:lineRule="auto" w:before="7"/>
        <w:rPr>
          <w:rFonts w:ascii="宋体" w:hAnsi="宋体" w:cs="宋体" w:eastAsia="宋体" w:hint="default"/>
          <w:sz w:val="24"/>
          <w:szCs w:val="24"/>
        </w:rPr>
      </w:pPr>
    </w:p>
    <w:p>
      <w:pPr>
        <w:pStyle w:val="BodyText"/>
        <w:spacing w:line="240" w:lineRule="auto" w:before="44"/>
        <w:ind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82"/>
        <w:gridCol w:w="1274"/>
        <w:gridCol w:w="1321"/>
        <w:gridCol w:w="1375"/>
        <w:gridCol w:w="1018"/>
        <w:gridCol w:w="1531"/>
        <w:gridCol w:w="712"/>
        <w:gridCol w:w="1333"/>
      </w:tblGrid>
      <w:tr>
        <w:trPr>
          <w:trHeight w:val="161" w:hRule="exact"/>
        </w:trPr>
        <w:tc>
          <w:tcPr>
            <w:tcW w:w="982"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321" w:type="dxa"/>
            <w:vMerge w:val="restart"/>
            <w:tcBorders>
              <w:top w:val="single" w:sz="4" w:space="0" w:color="000000"/>
              <w:left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vMerge w:val="restart"/>
            <w:tcBorders>
              <w:top w:val="single" w:sz="4" w:space="0" w:color="000000"/>
              <w:left w:val="single" w:sz="4" w:space="0" w:color="000000"/>
              <w:right w:val="single" w:sz="4" w:space="0" w:color="000000"/>
            </w:tcBorders>
            <w:shd w:val="clear" w:color="auto" w:fill="D2D2D2"/>
          </w:tcPr>
          <w:p>
            <w:pPr/>
          </w:p>
        </w:tc>
        <w:tc>
          <w:tcPr>
            <w:tcW w:w="13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37" w:right="24"/>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156" w:hRule="exact"/>
        </w:trPr>
        <w:tc>
          <w:tcPr>
            <w:tcW w:w="98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3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018" w:type="dxa"/>
            <w:vMerge/>
            <w:tcBorders>
              <w:left w:val="single" w:sz="4" w:space="0" w:color="000000"/>
              <w:bottom w:val="nil" w:sz="6" w:space="0" w:color="auto"/>
              <w:right w:val="single" w:sz="4" w:space="0" w:color="000000"/>
            </w:tcBorders>
            <w:shd w:val="clear" w:color="auto" w:fill="D2D2D2"/>
          </w:tcPr>
          <w:p>
            <w:pPr/>
          </w:p>
        </w:tc>
        <w:tc>
          <w:tcPr>
            <w:tcW w:w="15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712" w:type="dxa"/>
            <w:vMerge/>
            <w:tcBorders>
              <w:left w:val="single" w:sz="4" w:space="0" w:color="000000"/>
              <w:bottom w:val="nil" w:sz="6" w:space="0" w:color="auto"/>
              <w:right w:val="single" w:sz="4" w:space="0" w:color="000000"/>
            </w:tcBorders>
            <w:shd w:val="clear" w:color="auto" w:fill="D2D2D2"/>
          </w:tcPr>
          <w:p>
            <w:pPr/>
          </w:p>
        </w:tc>
        <w:tc>
          <w:tcPr>
            <w:tcW w:w="1333" w:type="dxa"/>
            <w:vMerge/>
            <w:tcBorders>
              <w:left w:val="single" w:sz="4" w:space="0" w:color="000000"/>
              <w:right w:val="single" w:sz="4" w:space="0" w:color="000000"/>
            </w:tcBorders>
            <w:shd w:val="clear" w:color="auto" w:fill="D2D2D2"/>
          </w:tcPr>
          <w:p>
            <w:pPr/>
          </w:p>
        </w:tc>
      </w:tr>
      <w:tr>
        <w:trPr>
          <w:trHeight w:val="312" w:hRule="exact"/>
        </w:trPr>
        <w:tc>
          <w:tcPr>
            <w:tcW w:w="98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 w:right="2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375" w:type="dxa"/>
            <w:vMerge/>
            <w:tcBorders>
              <w:left w:val="single" w:sz="4" w:space="0" w:color="000000"/>
              <w:right w:val="single" w:sz="4" w:space="0" w:color="000000"/>
            </w:tcBorders>
            <w:shd w:val="clear" w:color="auto" w:fill="D2D2D2"/>
          </w:tcPr>
          <w:p>
            <w:pPr/>
          </w:p>
        </w:tc>
        <w:tc>
          <w:tcPr>
            <w:tcW w:w="10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5" w:right="51"/>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531" w:type="dxa"/>
            <w:vMerge/>
            <w:tcBorders>
              <w:left w:val="single" w:sz="4" w:space="0" w:color="000000"/>
              <w:right w:val="single" w:sz="4" w:space="0" w:color="000000"/>
            </w:tcBorders>
            <w:shd w:val="clear" w:color="auto" w:fill="D2D2D2"/>
          </w:tcPr>
          <w:p>
            <w:pPr/>
          </w:p>
        </w:tc>
        <w:tc>
          <w:tcPr>
            <w:tcW w:w="71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2" w:right="78"/>
              <w:jc w:val="left"/>
              <w:rPr>
                <w:rFonts w:ascii="宋体" w:hAnsi="宋体" w:cs="宋体" w:eastAsia="宋体" w:hint="default"/>
                <w:sz w:val="18"/>
                <w:szCs w:val="18"/>
              </w:rPr>
            </w:pPr>
            <w:r>
              <w:rPr>
                <w:rFonts w:ascii="宋体" w:hAnsi="宋体" w:cs="宋体" w:eastAsia="宋体" w:hint="default"/>
                <w:sz w:val="18"/>
                <w:szCs w:val="18"/>
              </w:rPr>
              <w:t>现金分 红总额</w:t>
            </w:r>
          </w:p>
          <w:p>
            <w:pPr>
              <w:pStyle w:val="TableParagraph"/>
              <w:spacing w:line="316" w:lineRule="auto" w:before="19"/>
              <w:ind w:left="26" w:right="-45" w:firstLine="55"/>
              <w:jc w:val="left"/>
              <w:rPr>
                <w:rFonts w:ascii="宋体" w:hAnsi="宋体" w:cs="宋体" w:eastAsia="宋体" w:hint="default"/>
                <w:sz w:val="18"/>
                <w:szCs w:val="18"/>
              </w:rPr>
            </w:pPr>
            <w:r>
              <w:rPr>
                <w:rFonts w:ascii="宋体" w:hAnsi="宋体" w:cs="宋体" w:eastAsia="宋体" w:hint="default"/>
                <w:sz w:val="18"/>
                <w:szCs w:val="18"/>
              </w:rPr>
              <w:t>（含其 他方式）</w:t>
            </w:r>
          </w:p>
        </w:tc>
        <w:tc>
          <w:tcPr>
            <w:tcW w:w="1333" w:type="dxa"/>
            <w:vMerge/>
            <w:tcBorders>
              <w:left w:val="single" w:sz="4" w:space="0" w:color="000000"/>
              <w:right w:val="single" w:sz="4" w:space="0" w:color="000000"/>
            </w:tcBorders>
            <w:shd w:val="clear" w:color="auto" w:fill="D2D2D2"/>
          </w:tcPr>
          <w:p>
            <w:pPr/>
          </w:p>
        </w:tc>
      </w:tr>
      <w:tr>
        <w:trPr>
          <w:trHeight w:val="156"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321" w:type="dxa"/>
            <w:vMerge/>
            <w:tcBorders>
              <w:left w:val="single" w:sz="4" w:space="0" w:color="000000"/>
              <w:right w:val="single" w:sz="4" w:space="0" w:color="000000"/>
            </w:tcBorders>
            <w:shd w:val="clear" w:color="auto" w:fill="D2D2D2"/>
          </w:tcPr>
          <w:p>
            <w:pPr/>
          </w:p>
        </w:tc>
        <w:tc>
          <w:tcPr>
            <w:tcW w:w="1375"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531" w:type="dxa"/>
            <w:vMerge/>
            <w:tcBorders>
              <w:left w:val="single" w:sz="4" w:space="0" w:color="000000"/>
              <w:right w:val="single" w:sz="4" w:space="0" w:color="000000"/>
            </w:tcBorders>
            <w:shd w:val="clear" w:color="auto" w:fill="D2D2D2"/>
          </w:tcPr>
          <w:p>
            <w:pPr/>
          </w:p>
        </w:tc>
        <w:tc>
          <w:tcPr>
            <w:tcW w:w="712" w:type="dxa"/>
            <w:vMerge/>
            <w:tcBorders>
              <w:left w:val="single" w:sz="4" w:space="0" w:color="000000"/>
              <w:right w:val="single" w:sz="4" w:space="0" w:color="000000"/>
            </w:tcBorders>
            <w:shd w:val="clear" w:color="auto" w:fill="D2D2D2"/>
          </w:tcPr>
          <w:p>
            <w:pPr/>
          </w:p>
        </w:tc>
        <w:tc>
          <w:tcPr>
            <w:tcW w:w="1333" w:type="dxa"/>
            <w:vMerge/>
            <w:tcBorders>
              <w:left w:val="single" w:sz="4" w:space="0" w:color="000000"/>
              <w:right w:val="single" w:sz="4" w:space="0" w:color="000000"/>
            </w:tcBorders>
            <w:shd w:val="clear" w:color="auto" w:fill="D2D2D2"/>
          </w:tcPr>
          <w:p>
            <w:pPr/>
          </w:p>
        </w:tc>
      </w:tr>
      <w:tr>
        <w:trPr>
          <w:trHeight w:val="391"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375"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531" w:type="dxa"/>
            <w:vMerge/>
            <w:tcBorders>
              <w:left w:val="single" w:sz="4" w:space="0" w:color="000000"/>
              <w:right w:val="single" w:sz="4" w:space="0" w:color="000000"/>
            </w:tcBorders>
            <w:shd w:val="clear" w:color="auto" w:fill="D2D2D2"/>
          </w:tcPr>
          <w:p>
            <w:pPr/>
          </w:p>
        </w:tc>
        <w:tc>
          <w:tcPr>
            <w:tcW w:w="712" w:type="dxa"/>
            <w:vMerge/>
            <w:tcBorders>
              <w:left w:val="single" w:sz="4" w:space="0" w:color="000000"/>
              <w:right w:val="single" w:sz="4" w:space="0" w:color="000000"/>
            </w:tcBorders>
            <w:shd w:val="clear" w:color="auto" w:fill="D2D2D2"/>
          </w:tcPr>
          <w:p>
            <w:pPr/>
          </w:p>
        </w:tc>
        <w:tc>
          <w:tcPr>
            <w:tcW w:w="1333" w:type="dxa"/>
            <w:vMerge/>
            <w:tcBorders>
              <w:left w:val="single" w:sz="4" w:space="0" w:color="000000"/>
              <w:right w:val="single" w:sz="4" w:space="0" w:color="000000"/>
            </w:tcBorders>
            <w:shd w:val="clear" w:color="auto" w:fill="D2D2D2"/>
          </w:tcPr>
          <w:p>
            <w:pPr/>
          </w:p>
        </w:tc>
      </w:tr>
      <w:tr>
        <w:trPr>
          <w:trHeight w:val="156"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375"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531" w:type="dxa"/>
            <w:vMerge/>
            <w:tcBorders>
              <w:left w:val="single" w:sz="4" w:space="0" w:color="000000"/>
              <w:right w:val="single" w:sz="4" w:space="0" w:color="000000"/>
            </w:tcBorders>
            <w:shd w:val="clear" w:color="auto" w:fill="D2D2D2"/>
          </w:tcPr>
          <w:p>
            <w:pPr/>
          </w:p>
        </w:tc>
        <w:tc>
          <w:tcPr>
            <w:tcW w:w="712" w:type="dxa"/>
            <w:vMerge/>
            <w:tcBorders>
              <w:left w:val="single" w:sz="4" w:space="0" w:color="000000"/>
              <w:right w:val="single" w:sz="4" w:space="0" w:color="000000"/>
            </w:tcBorders>
            <w:shd w:val="clear" w:color="auto" w:fill="D2D2D2"/>
          </w:tcPr>
          <w:p>
            <w:pPr/>
          </w:p>
        </w:tc>
        <w:tc>
          <w:tcPr>
            <w:tcW w:w="1333" w:type="dxa"/>
            <w:vMerge/>
            <w:tcBorders>
              <w:left w:val="single" w:sz="4" w:space="0" w:color="000000"/>
              <w:right w:val="single" w:sz="4" w:space="0" w:color="000000"/>
            </w:tcBorders>
            <w:shd w:val="clear" w:color="auto" w:fill="D2D2D2"/>
          </w:tcPr>
          <w:p>
            <w:pPr/>
          </w:p>
        </w:tc>
      </w:tr>
      <w:tr>
        <w:trPr>
          <w:trHeight w:val="312" w:hRule="exact"/>
        </w:trPr>
        <w:tc>
          <w:tcPr>
            <w:tcW w:w="982"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375"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bottom w:val="nil" w:sz="6" w:space="0" w:color="auto"/>
              <w:right w:val="single" w:sz="4" w:space="0" w:color="000000"/>
            </w:tcBorders>
            <w:shd w:val="clear" w:color="auto" w:fill="D2D2D2"/>
          </w:tcPr>
          <w:p>
            <w:pPr/>
          </w:p>
        </w:tc>
        <w:tc>
          <w:tcPr>
            <w:tcW w:w="1531" w:type="dxa"/>
            <w:vMerge/>
            <w:tcBorders>
              <w:left w:val="single" w:sz="4" w:space="0" w:color="000000"/>
              <w:right w:val="single" w:sz="4" w:space="0" w:color="000000"/>
            </w:tcBorders>
            <w:shd w:val="clear" w:color="auto" w:fill="D2D2D2"/>
          </w:tcPr>
          <w:p>
            <w:pPr/>
          </w:p>
        </w:tc>
        <w:tc>
          <w:tcPr>
            <w:tcW w:w="712" w:type="dxa"/>
            <w:vMerge/>
            <w:tcBorders>
              <w:left w:val="single" w:sz="4" w:space="0" w:color="000000"/>
              <w:bottom w:val="nil" w:sz="6" w:space="0" w:color="auto"/>
              <w:right w:val="single" w:sz="4" w:space="0" w:color="000000"/>
            </w:tcBorders>
            <w:shd w:val="clear" w:color="auto" w:fill="D2D2D2"/>
          </w:tcPr>
          <w:p>
            <w:pPr/>
          </w:p>
        </w:tc>
        <w:tc>
          <w:tcPr>
            <w:tcW w:w="1333" w:type="dxa"/>
            <w:vMerge/>
            <w:tcBorders>
              <w:left w:val="single" w:sz="4" w:space="0" w:color="000000"/>
              <w:right w:val="single" w:sz="4" w:space="0" w:color="000000"/>
            </w:tcBorders>
            <w:shd w:val="clear" w:color="auto" w:fill="D2D2D2"/>
          </w:tcPr>
          <w:p>
            <w:pPr/>
          </w:p>
        </w:tc>
      </w:tr>
      <w:tr>
        <w:trPr>
          <w:trHeight w:val="156" w:hRule="exact"/>
        </w:trPr>
        <w:tc>
          <w:tcPr>
            <w:tcW w:w="98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
        </w:tc>
        <w:tc>
          <w:tcPr>
            <w:tcW w:w="1375" w:type="dxa"/>
            <w:vMerge/>
            <w:tcBorders>
              <w:left w:val="single" w:sz="4" w:space="0" w:color="000000"/>
              <w:bottom w:val="nil" w:sz="6" w:space="0" w:color="auto"/>
              <w:right w:val="single" w:sz="4" w:space="0" w:color="000000"/>
            </w:tcBorders>
            <w:shd w:val="clear" w:color="auto" w:fill="D2D2D2"/>
          </w:tcPr>
          <w:p>
            <w:pPr/>
          </w:p>
        </w:tc>
        <w:tc>
          <w:tcPr>
            <w:tcW w:w="1018" w:type="dxa"/>
            <w:vMerge w:val="restart"/>
            <w:tcBorders>
              <w:top w:val="nil" w:sz="6" w:space="0" w:color="auto"/>
              <w:left w:val="single" w:sz="4" w:space="0" w:color="000000"/>
              <w:right w:val="single" w:sz="4" w:space="0" w:color="000000"/>
            </w:tcBorders>
            <w:shd w:val="clear" w:color="auto" w:fill="D2D2D2"/>
          </w:tcPr>
          <w:p>
            <w:pPr/>
          </w:p>
        </w:tc>
        <w:tc>
          <w:tcPr>
            <w:tcW w:w="1531" w:type="dxa"/>
            <w:vMerge/>
            <w:tcBorders>
              <w:left w:val="single" w:sz="4" w:space="0" w:color="000000"/>
              <w:bottom w:val="nil" w:sz="6" w:space="0" w:color="auto"/>
              <w:right w:val="single" w:sz="4" w:space="0" w:color="000000"/>
            </w:tcBorders>
            <w:shd w:val="clear" w:color="auto" w:fill="D2D2D2"/>
          </w:tcPr>
          <w:p>
            <w:pPr/>
          </w:p>
        </w:tc>
        <w:tc>
          <w:tcPr>
            <w:tcW w:w="712" w:type="dxa"/>
            <w:vMerge w:val="restart"/>
            <w:tcBorders>
              <w:top w:val="nil" w:sz="6" w:space="0" w:color="auto"/>
              <w:left w:val="single" w:sz="4" w:space="0" w:color="000000"/>
              <w:right w:val="single" w:sz="4" w:space="0" w:color="000000"/>
            </w:tcBorders>
            <w:shd w:val="clear" w:color="auto" w:fill="D2D2D2"/>
          </w:tcPr>
          <w:p>
            <w:pPr/>
          </w:p>
        </w:tc>
        <w:tc>
          <w:tcPr>
            <w:tcW w:w="1333" w:type="dxa"/>
            <w:vMerge/>
            <w:tcBorders>
              <w:left w:val="single" w:sz="4" w:space="0" w:color="000000"/>
              <w:right w:val="single" w:sz="4" w:space="0" w:color="000000"/>
            </w:tcBorders>
            <w:shd w:val="clear" w:color="auto" w:fill="D2D2D2"/>
          </w:tcPr>
          <w:p>
            <w:pPr/>
          </w:p>
        </w:tc>
      </w:tr>
      <w:tr>
        <w:trPr>
          <w:trHeight w:val="161" w:hRule="exact"/>
        </w:trPr>
        <w:tc>
          <w:tcPr>
            <w:tcW w:w="98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1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vMerge/>
            <w:tcBorders>
              <w:left w:val="single" w:sz="4" w:space="0" w:color="000000"/>
              <w:bottom w:val="single" w:sz="4" w:space="0" w:color="000000"/>
              <w:right w:val="single" w:sz="4" w:space="0" w:color="000000"/>
            </w:tcBorders>
            <w:shd w:val="clear" w:color="auto" w:fill="D2D2D2"/>
          </w:tcPr>
          <w:p>
            <w:pPr/>
          </w:p>
        </w:tc>
        <w:tc>
          <w:tcPr>
            <w:tcW w:w="133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7,751,277.50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38,368,529.31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20.20%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7,295,320.00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36,187,810.88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6,310,500.00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34,396,365.86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18.35%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2"/>
        </w:rPr>
        <w:t> </w:t>
      </w:r>
      <w:r>
        <w:rPr>
          <w:spacing w:val="-62"/>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778"/>
      </w:tblGrid>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991"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991"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00" w:lineRule="auto"/>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自新晨科技首次公开发行股票并上市之日起 三十六个月内，不转让或者委托他人管理本人 本次发行前所持有的新晨科技股份，也不由新 晨科技回购该部分股份；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本人在新晨科技首 次公开发行股票并上市之日起六个月内申报离 职的，自申报离职之日起十八个月内不转让所 持有的新晨科技股份；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本人在新晨科技首次 公开发行股票并上市之日起第七个月至第十二 个月之间申报离职的，自申报离职之日起十二 个月内不转让所持有的新晨科技股份；</w:t>
            </w:r>
            <w:r>
              <w:rPr>
                <w:rFonts w:ascii="Times New Roman" w:hAnsi="Times New Roman" w:cs="Times New Roman" w:eastAsia="Times New Roman" w:hint="default"/>
                <w:sz w:val="18"/>
                <w:szCs w:val="18"/>
              </w:rPr>
              <w:t>4.</w:t>
            </w:r>
            <w:r>
              <w:rPr>
                <w:rFonts w:ascii="宋体" w:hAnsi="宋体" w:cs="宋体" w:eastAsia="宋体" w:hint="default"/>
                <w:sz w:val="18"/>
                <w:szCs w:val="18"/>
              </w:rPr>
              <w:t>本人 在新晨科技首次公开发行股票并上市之日起十 二个月以后申报离职的，在申报离职之日起半 年内，不转让所持有的新晨科技股份。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98"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16" w:right="185"/>
              <w:jc w:val="left"/>
              <w:rPr>
                <w:rFonts w:ascii="宋体" w:hAnsi="宋体" w:cs="宋体" w:eastAsia="宋体" w:hint="default"/>
                <w:sz w:val="18"/>
                <w:szCs w:val="18"/>
              </w:rPr>
            </w:pP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徐 连平</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自新晨科技首次公开发行股票并上市之日起三 十六个月内，不转让或者委托他人管理本人本 次发行前所持有的新晨科技股份，也不由新晨 科技回购该部分股份。</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4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991" w:type="dxa"/>
            <w:vMerge/>
            <w:tcBorders>
              <w:left w:val="single" w:sz="10" w:space="0" w:color="D2D2D2"/>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4419"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97" w:lineRule="auto"/>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49"/>
              <w:ind w:left="23"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自新晨科技首次公开发行股票并上市起三十 六个月后，在任职期间每年转让的股份不超过 本人所持有新晨科技股份总数的百分之二十 五；</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本人所持有的公司股份在锁定期满后两 年内依法减持的，减持价格不低于发行价。如 自首次公开发行股票至上述减持公告之日公司 </w:t>
            </w:r>
            <w:r>
              <w:rPr>
                <w:rFonts w:ascii="宋体" w:hAnsi="宋体" w:cs="宋体" w:eastAsia="宋体" w:hint="default"/>
                <w:spacing w:val="-5"/>
                <w:sz w:val="18"/>
                <w:szCs w:val="18"/>
              </w:rPr>
              <w:t>发生过除权除息等事项的，发行价格相应调整。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在不丧失对公司的控制地位、不违反本人已 作出的相关承诺并符合法律法规及相关规定的 前提下，本人所持公司股份锁定期届满后两年 内，每年减持数量不超过上一年末所持股份数 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，减持价格不低于发行价。如自首次 公开发行股票至上述减持公告之日公司发生过 除权除息等事项的，发行价格相应调整。减持</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50" w:lineRule="exact"/>
              <w:ind w:left="18"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46.95pt;height:17.55pt;mso-position-horizontal-relative:char;mso-position-vertical-relative:line" coordorigin="0,0" coordsize="939,351">
                  <v:group style="position:absolute;left:0;top:0;width:939;height:351" coordorigin="0,0" coordsize="939,351">
                    <v:shape style="position:absolute;left:0;top:0;width:939;height:351" coordorigin="0,0" coordsize="939,351" path="m0,351l939,351,939,0,0,0,0,351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5.132996pt;margin-top:462.889984pt;width:91.25pt;height:124.85pt;mso-position-horizontal-relative:page;mso-position-vertical-relative:page;z-index:-889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经济实体、</w:t>
                  </w:r>
                </w:p>
              </w:txbxContent>
            </v:textbox>
            <w10:wrap type="none"/>
          </v:shape>
        </w:pict>
      </w:r>
      <w:r>
        <w:rPr/>
        <w:pict>
          <v:group style="position:absolute;margin-left:397.269989pt;margin-top:462.889984pt;width:49.15pt;height:124.85pt;mso-position-horizontal-relative:page;mso-position-vertical-relative:page;z-index:-889120" coordorigin="7945,9258" coordsize="983,2497">
            <v:shape style="position:absolute;left:7945;top:9258;width:983;height:2497" coordorigin="7945,9258" coordsize="983,2497" path="m7945,11754l8927,11754,8927,9258,7945,9258,7945,1175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778"/>
      </w:tblGrid>
      <w:tr>
        <w:trPr>
          <w:trHeight w:val="31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行为将通过竞价交易以及大宗交易的方式进</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行。每次减持时，将提前三个交易日通知公司</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公告本次减持的数量、减持价格区间、减持时</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间区间等。</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本人将在所持股份锁定期满后两年内进行股份</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减持，每年减持数量不超过上一年末所持股份</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，减持价格不低于发行价。如自首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185"/>
              <w:jc w:val="left"/>
              <w:rPr>
                <w:rFonts w:ascii="宋体" w:hAnsi="宋体" w:cs="宋体" w:eastAsia="宋体" w:hint="default"/>
                <w:sz w:val="18"/>
                <w:szCs w:val="18"/>
              </w:rPr>
            </w:pP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徐 连平</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8"/>
              <w:jc w:val="both"/>
              <w:rPr>
                <w:rFonts w:ascii="宋体" w:hAnsi="宋体" w:cs="宋体" w:eastAsia="宋体" w:hint="default"/>
                <w:sz w:val="18"/>
                <w:szCs w:val="18"/>
              </w:rPr>
            </w:pPr>
            <w:r>
              <w:rPr>
                <w:rFonts w:ascii="宋体" w:hAnsi="宋体" w:cs="宋体" w:eastAsia="宋体" w:hint="default"/>
                <w:sz w:val="18"/>
                <w:szCs w:val="18"/>
              </w:rPr>
              <w:t>次公开发行股票至上述减持公告之日公司发生 过除权除息等事项的，发行价格相应调整。减 持行为将通过竞价交易以及大宗交易的方式进</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行。每次减持时，将提前三个交易日通知公司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公告本次减持的数量、减持价格区间、减持时</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间区间等。</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自新晨科技首次公开发行股票并上市之日起</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十二个月后，在任职期间每年转让的股份不超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85"/>
              <w:jc w:val="both"/>
              <w:rPr>
                <w:rFonts w:ascii="宋体" w:hAnsi="宋体" w:cs="宋体" w:eastAsia="宋体" w:hint="default"/>
                <w:sz w:val="18"/>
                <w:szCs w:val="18"/>
              </w:rPr>
            </w:pPr>
            <w:r>
              <w:rPr>
                <w:rFonts w:ascii="宋体" w:hAnsi="宋体" w:cs="宋体" w:eastAsia="宋体" w:hint="default"/>
                <w:sz w:val="18"/>
                <w:szCs w:val="18"/>
              </w:rPr>
              <w:t>唐若梅</w:t>
            </w:r>
            <w:r>
              <w:rPr>
                <w:rFonts w:ascii="Times New Roman" w:hAnsi="Times New Roman" w:cs="Times New Roman" w:eastAsia="Times New Roman" w:hint="default"/>
                <w:sz w:val="18"/>
                <w:szCs w:val="18"/>
              </w:rPr>
              <w:t>;</w:t>
            </w:r>
            <w:r>
              <w:rPr>
                <w:rFonts w:ascii="宋体" w:hAnsi="宋体" w:cs="宋体" w:eastAsia="宋体" w:hint="default"/>
                <w:sz w:val="18"/>
                <w:szCs w:val="18"/>
              </w:rPr>
              <w:t>杨 汉杰</w:t>
            </w:r>
            <w:r>
              <w:rPr>
                <w:rFonts w:ascii="Times New Roman" w:hAnsi="Times New Roman" w:cs="Times New Roman" w:eastAsia="Times New Roman" w:hint="default"/>
                <w:sz w:val="18"/>
                <w:szCs w:val="18"/>
              </w:rPr>
              <w:t>;</w:t>
            </w:r>
            <w:r>
              <w:rPr>
                <w:rFonts w:ascii="宋体" w:hAnsi="宋体" w:cs="宋体" w:eastAsia="宋体" w:hint="default"/>
                <w:sz w:val="18"/>
                <w:szCs w:val="18"/>
              </w:rPr>
              <w:t>余克 俭</w:t>
            </w:r>
            <w:r>
              <w:rPr>
                <w:rFonts w:ascii="Times New Roman" w:hAnsi="Times New Roman" w:cs="Times New Roman" w:eastAsia="Times New Roman" w:hint="default"/>
                <w:sz w:val="18"/>
                <w:szCs w:val="18"/>
              </w:rPr>
              <w:t>;</w:t>
            </w:r>
            <w:r>
              <w:rPr>
                <w:rFonts w:ascii="宋体" w:hAnsi="宋体" w:cs="宋体" w:eastAsia="宋体" w:hint="default"/>
                <w:sz w:val="18"/>
                <w:szCs w:val="18"/>
              </w:rPr>
              <w:t>张大新</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过本人所持有新晨科技股份总数的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人所持有的公司股份在锁定期满后两年内依法 减持的，减持价格不低于发行价。如自首次公</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开发行股票至上述减持公告之日公司发生过除</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权除息等事项的，发行价格相应调整。</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本人在新晨科技首次公开发行股票并上市之日</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李亮</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起第七个月至第十二个月之间申报离职的，自 申报离职之日起十二个月内不转让所持有的新</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53"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晨科技股份。</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关于避免与新晨科技股份有限公司同业竞争的</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、不会以任何形式（直接或间接）在中</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国境内或境外从事或参与任何与新晨科技相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同、相似或在商业上构成任何竞争的业务或活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动，若本人在中国境内或境外任何地方参与或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进行上述业务或活动，本人将立即终止；</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、不</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会以任何形式（直接或间接）在中国境内或境</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康</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竞争、关</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外支持除新晨科技以外的任何个人、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35"/>
              <w:jc w:val="left"/>
              <w:rPr>
                <w:rFonts w:ascii="宋体" w:hAnsi="宋体" w:cs="宋体" w:eastAsia="宋体" w:hint="default"/>
                <w:sz w:val="18"/>
                <w:szCs w:val="18"/>
              </w:rPr>
            </w:pPr>
            <w:r>
              <w:rPr>
                <w:rFonts w:ascii="宋体" w:hAnsi="宋体" w:cs="宋体" w:eastAsia="宋体" w:hint="default"/>
                <w:sz w:val="18"/>
                <w:szCs w:val="18"/>
              </w:rPr>
              <w:t>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李福华</w:t>
            </w:r>
            <w:r>
              <w:rPr>
                <w:rFonts w:ascii="Times New Roman" w:hAnsi="Times New Roman" w:cs="Times New Roman" w:eastAsia="Times New Roman" w:hint="default"/>
                <w:sz w:val="18"/>
                <w:szCs w:val="18"/>
              </w:rPr>
              <w:t>; </w:t>
            </w:r>
            <w:r>
              <w:rPr>
                <w:rFonts w:ascii="宋体" w:hAnsi="宋体" w:cs="宋体" w:eastAsia="宋体" w:hint="default"/>
                <w:sz w:val="18"/>
                <w:szCs w:val="18"/>
              </w:rPr>
              <w:t>徐连平</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8"/>
              <w:jc w:val="left"/>
              <w:rPr>
                <w:rFonts w:ascii="宋体" w:hAnsi="宋体" w:cs="宋体" w:eastAsia="宋体" w:hint="default"/>
                <w:sz w:val="18"/>
                <w:szCs w:val="18"/>
              </w:rPr>
            </w:pPr>
            <w:r>
              <w:rPr>
                <w:rFonts w:ascii="宋体" w:hAnsi="宋体" w:cs="宋体" w:eastAsia="宋体" w:hint="default"/>
                <w:sz w:val="18"/>
                <w:szCs w:val="18"/>
              </w:rPr>
              <w:t>联交易、 资金占用</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9"/>
              <w:jc w:val="left"/>
              <w:rPr>
                <w:rFonts w:ascii="宋体" w:hAnsi="宋体" w:cs="宋体" w:eastAsia="宋体" w:hint="default"/>
                <w:sz w:val="18"/>
                <w:szCs w:val="18"/>
              </w:rPr>
            </w:pPr>
            <w:r>
              <w:rPr>
                <w:rFonts w:ascii="宋体" w:hAnsi="宋体" w:cs="宋体" w:eastAsia="宋体" w:hint="default"/>
                <w:sz w:val="18"/>
                <w:szCs w:val="18"/>
              </w:rPr>
              <w:t>机构、经济组织从事与新晨科技主营业务构成 </w:t>
            </w:r>
            <w:r>
              <w:rPr>
                <w:rFonts w:ascii="宋体" w:hAnsi="宋体" w:cs="宋体" w:eastAsia="宋体" w:hint="default"/>
                <w:spacing w:val="-3"/>
                <w:sz w:val="18"/>
                <w:szCs w:val="18"/>
              </w:rPr>
              <w:t>竞争或可能构成竞争的业务或活动；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、不会以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燕生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任何形式（直接或间接）取得或持有与新晨科</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技存在竞争关系的任何经济实体、机构、经济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组织的控制权，也不会拥有该等经济实体、机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构、经济组织的任何其他权益；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、不会在与新</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晨科技存在竞争关系的任何经济实体、机构、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经济组织中担任高级管理人员或核心技术人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员。在本人及本人控制的公司与新晨科技存在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关联关系期间，本承诺函为持续有效之承诺。</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新晨科技股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、稳定公司股价预案。为维护公司上市后股价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8.121002pt;margin-top:90.115982pt;width:118.3pt;height:668.9pt;mso-position-horizontal-relative:page;mso-position-vertical-relative:page;z-index:-889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股票的启动时点。</w:t>
                  </w:r>
                </w:p>
              </w:txbxContent>
            </v:textbox>
            <w10:wrap type="none"/>
          </v:shape>
        </w:pict>
      </w:r>
      <w:r>
        <w:rPr/>
        <w:pict>
          <v:group style="position:absolute;margin-left:397.269989pt;margin-top:90.115982pt;width:49.15pt;height:668.9pt;mso-position-horizontal-relative:page;mso-position-vertical-relative:page;z-index:-889072" coordorigin="7945,1802" coordsize="983,13378">
            <v:shape style="position:absolute;left:7945;top:1802;width:983;height:13378" coordorigin="7945,1802" coordsize="983,13378" path="m7945,15180l8927,15180,8927,1802,7945,1802,7945,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778"/>
      </w:tblGrid>
      <w:tr>
        <w:trPr>
          <w:trHeight w:val="32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份有限公</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股价承诺</w:t>
            </w: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的稳定，保护广大投资者尤其是中小投资者的</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2"/>
                <w:sz w:val="18"/>
                <w:szCs w:val="18"/>
              </w:rPr>
              <w:t>利益，公司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福华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过了《关于新晨科技股份有限公司上市后三年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杨汉杰</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内公司股价低于每股净资产时稳定公司股价的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余克俭</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预案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主要内容如下</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0"/>
                <w:sz w:val="18"/>
                <w:szCs w:val="18"/>
              </w:rPr>
              <w:t>）</w:t>
            </w:r>
            <w:r>
              <w:rPr>
                <w:rFonts w:ascii="宋体" w:hAnsi="宋体" w:cs="宋体" w:eastAsia="宋体" w:hint="default"/>
                <w:spacing w:val="-3"/>
                <w:sz w:val="18"/>
                <w:szCs w:val="18"/>
              </w:rPr>
              <w:t>触</w:t>
            </w:r>
            <w:r>
              <w:rPr>
                <w:rFonts w:ascii="宋体" w:hAnsi="宋体" w:cs="宋体" w:eastAsia="宋体" w:hint="default"/>
                <w:sz w:val="18"/>
                <w:szCs w:val="18"/>
              </w:rPr>
              <w:t>发和停止股价稳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大新</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定预案的条件。公司首次公开发行并上市后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36</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7"/>
                <w:sz w:val="18"/>
                <w:szCs w:val="18"/>
              </w:rPr>
              <w:t>个月内，如出现连续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个交易日收盘价低于最</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近一期经审计每股净资产时，触发股价稳定预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案。自股价稳定预案触发之日起，公司董事会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日内召开董事会会议并告知稳定预案履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行义务人。董事会公告后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个交易日内，相关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履行义务人将按顺序启动股价稳定预案。如触</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发股价稳定预案时点至股价稳定预案尚未正式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实施前或股价稳定预案实施后，某日收盘价高</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于最近一期经审计每股净资产时，则停止实施</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本阶段股价稳定预案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）股价稳定预案的具</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体措施。</w:t>
            </w:r>
            <w:r>
              <w:rPr>
                <w:rFonts w:ascii="Times New Roman" w:hAnsi="Times New Roman" w:cs="Times New Roman" w:eastAsia="Times New Roman" w:hint="default"/>
                <w:sz w:val="18"/>
                <w:szCs w:val="18"/>
              </w:rPr>
              <w:t>A</w:t>
            </w:r>
            <w:r>
              <w:rPr>
                <w:rFonts w:ascii="宋体" w:hAnsi="宋体" w:cs="宋体" w:eastAsia="宋体" w:hint="default"/>
                <w:sz w:val="18"/>
                <w:szCs w:val="18"/>
              </w:rPr>
              <w:t>、实际控制人增持公司股票。实际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控制人以自有资金在二级市场增持公司流通股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份。</w:t>
            </w:r>
            <w:r>
              <w:rPr>
                <w:rFonts w:ascii="Times New Roman" w:hAnsi="Times New Roman" w:cs="Times New Roman" w:eastAsia="Times New Roman" w:hint="default"/>
                <w:spacing w:val="-4"/>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个月内增持数量最大限额为本次发行前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持股数量的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增持价格不超过最近一期经审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计每股净资产。</w:t>
            </w:r>
            <w:r>
              <w:rPr>
                <w:rFonts w:ascii="Times New Roman" w:hAnsi="Times New Roman" w:cs="Times New Roman" w:eastAsia="Times New Roman" w:hint="default"/>
                <w:sz w:val="18"/>
                <w:szCs w:val="18"/>
              </w:rPr>
              <w:t>B</w:t>
            </w:r>
            <w:r>
              <w:rPr>
                <w:rFonts w:ascii="宋体" w:hAnsi="宋体" w:cs="宋体" w:eastAsia="宋体" w:hint="default"/>
                <w:sz w:val="18"/>
                <w:szCs w:val="18"/>
              </w:rPr>
              <w:t>、发行人回购公司股票。公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司以自有资金在二级市场回购公司流通股份。</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个月内回购资金最大限额为本次发行新股募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集资金净额的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，回购价格不超过最近一期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经审计每股净资产。公司回购股份预案经二分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之一以上独立董事及监事会审核同意，并经董</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事会审议通过后提请股东大会审议，由参加股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东大会的股东所持有表决权股份总数的三分之</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二通过后实施。</w:t>
            </w:r>
            <w:r>
              <w:rPr>
                <w:rFonts w:ascii="Times New Roman" w:hAnsi="Times New Roman" w:cs="Times New Roman" w:eastAsia="Times New Roman" w:hint="default"/>
                <w:spacing w:val="-1"/>
                <w:sz w:val="18"/>
                <w:szCs w:val="18"/>
              </w:rPr>
              <w:t>C</w:t>
            </w:r>
            <w:r>
              <w:rPr>
                <w:rFonts w:ascii="宋体" w:hAnsi="宋体" w:cs="宋体" w:eastAsia="宋体" w:hint="default"/>
                <w:sz w:val="18"/>
                <w:szCs w:val="18"/>
              </w:rPr>
              <w:t>、董事（独立董事除外</w:t>
            </w:r>
            <w:r>
              <w:rPr>
                <w:rFonts w:ascii="宋体" w:hAnsi="宋体" w:cs="宋体" w:eastAsia="宋体" w:hint="default"/>
                <w:spacing w:val="-92"/>
                <w:sz w:val="18"/>
                <w:szCs w:val="18"/>
              </w:rPr>
              <w:t>）</w:t>
            </w:r>
            <w:r>
              <w:rPr>
                <w:rFonts w:ascii="宋体" w:hAnsi="宋体" w:cs="宋体" w:eastAsia="宋体" w:hint="default"/>
                <w:sz w:val="18"/>
                <w:szCs w:val="18"/>
              </w:rPr>
              <w:t>、高</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级管理人员增持公司股票。公司董事（独立董</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高级管理人员以不低于股价稳定预案</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启动时上一年度从发行人处领取的薪酬在二级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市场增持公司流通股份，增持价格不超过最近</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一期经审计每股净资产。公司上市后新当选的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董事、高级管理人员须履行该项义务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持或回购股票的限定条件。公司股价稳定预案</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的任何措施都以不影响《深圳证券交易所创业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板股票上市规则》中对于上市公司股权分布的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要求为前提</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32"/>
                <w:sz w:val="18"/>
                <w:szCs w:val="18"/>
              </w:rPr>
              <w:t>）</w:t>
            </w:r>
            <w:r>
              <w:rPr>
                <w:rFonts w:ascii="宋体" w:hAnsi="宋体" w:cs="宋体" w:eastAsia="宋体" w:hint="default"/>
                <w:sz w:val="18"/>
                <w:szCs w:val="18"/>
              </w:rPr>
              <w:t>增持或回购</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自股价稳定预案触发之日起，公司董事会应在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个交易日内告知实际控制人制定增持方案，</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在完成相关审批、披露程序之后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实际控制人启动股票增持措施；如实际控制人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按规定增持股份后公司股价仍未达到停止股价</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6.132996pt;margin-top:72.47998pt;width:100.25pt;height:610.550pt;mso-position-horizontal-relative:page;mso-position-vertical-relative:page;z-index:-889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1"/>
                      <w:szCs w:val="21"/>
                    </w:rPr>
                  </w:pPr>
                </w:p>
                <w:p>
                  <w:pPr>
                    <w:pStyle w:val="BodyText"/>
                    <w:spacing w:line="240" w:lineRule="auto"/>
                    <w:ind w:left="0" w:right="0"/>
                    <w:jc w:val="left"/>
                  </w:pPr>
                  <w:r>
                    <w:rPr/>
                    <w:t>可自愿增持。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778"/>
      </w:tblGrid>
      <w:tr>
        <w:trPr>
          <w:trHeight w:val="31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稳定预案条件的或实际控制人无法实施增持</w:t>
            </w:r>
          </w:p>
        </w:tc>
        <w:tc>
          <w:tcPr>
            <w:tcW w:w="994" w:type="dxa"/>
            <w:vMerge w:val="restart"/>
            <w:tcBorders>
              <w:top w:val="single" w:sz="4" w:space="0" w:color="000000"/>
              <w:left w:val="single" w:sz="4" w:space="0" w:color="000000"/>
              <w:right w:val="single" w:sz="4" w:space="0" w:color="000000"/>
            </w:tcBorders>
          </w:tcPr>
          <w:p>
            <w:pPr>
              <w:pStyle w:val="TableParagraph"/>
              <w:spacing w:line="1221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3"/>
                <w:sz w:val="20"/>
                <w:szCs w:val="20"/>
              </w:rPr>
              <w:pict>
                <v:group style="width:49.15pt;height:610.550pt;mso-position-horizontal-relative:char;mso-position-vertical-relative:line" coordorigin="0,0" coordsize="983,12211">
                  <v:group style="position:absolute;left:0;top:0;width:983;height:12211" coordorigin="0,0" coordsize="983,12211">
                    <v:shape style="position:absolute;left:0;top:0;width:983;height:12211" coordorigin="0,0" coordsize="983,12211" path="m0,12211l982,12211,982,0,0,0,0,12211xe" filled="true" fillcolor="#ffffff" stroked="false">
                      <v:path arrowok="t"/>
                      <v:fill type="solid"/>
                    </v:shape>
                  </v:group>
                </v:group>
              </w:pict>
            </w:r>
            <w:r>
              <w:rPr>
                <w:rFonts w:ascii="Times New Roman" w:hAnsi="Times New Roman" w:cs="Times New Roman" w:eastAsia="Times New Roman" w:hint="default"/>
                <w:position w:val="-243"/>
                <w:sz w:val="20"/>
                <w:szCs w:val="20"/>
              </w:rPr>
            </w:r>
          </w:p>
        </w:tc>
        <w:tc>
          <w:tcPr>
            <w:tcW w:w="99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时，公司董事会应在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日内召开董事会会议，</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审议公司回购股票预案，在股东大会决议公告</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个交易日内开始实施股票回购措施；如公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司按规定回购后股价仍未达到停止股价稳定预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案条件的或公司无法实施回购时</w:t>
            </w:r>
            <w:r>
              <w:rPr>
                <w:rFonts w:ascii="宋体" w:hAnsi="宋体" w:cs="宋体" w:eastAsia="宋体" w:hint="default"/>
                <w:spacing w:val="-75"/>
                <w:sz w:val="18"/>
                <w:szCs w:val="18"/>
              </w:rPr>
              <w:t>，</w:t>
            </w:r>
            <w:r>
              <w:rPr>
                <w:rFonts w:ascii="宋体" w:hAnsi="宋体" w:cs="宋体" w:eastAsia="宋体" w:hint="default"/>
                <w:sz w:val="18"/>
                <w:szCs w:val="18"/>
              </w:rPr>
              <w:t>公司董</w:t>
            </w:r>
            <w:r>
              <w:rPr>
                <w:rFonts w:ascii="宋体" w:hAnsi="宋体" w:cs="宋体" w:eastAsia="宋体" w:hint="default"/>
                <w:spacing w:val="-75"/>
                <w:sz w:val="18"/>
                <w:szCs w:val="18"/>
              </w:rPr>
              <w:t>事</w:t>
            </w:r>
            <w:r>
              <w:rPr>
                <w:rFonts w:ascii="宋体" w:hAnsi="宋体" w:cs="宋体" w:eastAsia="宋体" w:hint="default"/>
                <w:sz w:val="18"/>
                <w:szCs w:val="18"/>
              </w:rPr>
              <w:t>（独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立董事除外</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高级管理人员应制定增持方案并</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在公司披露方案后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个交易日内启动股票增持</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措施。公司及相关责任人在执行股价稳定预案</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时不得违反中国证监会及深圳证券交易所关于</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增持或回购股票的时点限制</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）股价稳定预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案的优先顺序。触发股价稳定预案时，实际控</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制人增持股票为第一顺位，公司回购公司股票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为第二顺位，董事（独立董事除外）和高级管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理人员增持股票为第三顺位。实际控制人增持</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到承诺的最大数量后，公司股价仍未达到停止</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股价稳定预案条件的，则由发行人实施回购；</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发行人用尽最大回购资金后，公司股价仍未达</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到停止股价稳定预案条件的，则由董事（独立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、高级管理人员承</w:t>
            </w:r>
            <w:r>
              <w:rPr>
                <w:rFonts w:ascii="宋体" w:hAnsi="宋体" w:cs="宋体" w:eastAsia="宋体" w:hint="default"/>
                <w:spacing w:val="2"/>
                <w:sz w:val="18"/>
                <w:szCs w:val="18"/>
              </w:rPr>
              <w:t>担</w:t>
            </w:r>
            <w:r>
              <w:rPr>
                <w:rFonts w:ascii="宋体" w:hAnsi="宋体" w:cs="宋体" w:eastAsia="宋体" w:hint="default"/>
                <w:sz w:val="18"/>
                <w:szCs w:val="18"/>
              </w:rPr>
              <w:t>增持义务。</w:t>
            </w:r>
            <w:r>
              <w:rPr>
                <w:rFonts w:ascii="宋体" w:hAnsi="宋体" w:cs="宋体" w:eastAsia="宋体" w:hint="default"/>
                <w:spacing w:val="1"/>
                <w:sz w:val="18"/>
                <w:szCs w:val="18"/>
              </w:rPr>
              <w:t> </w:t>
            </w:r>
            <w:r>
              <w:rPr>
                <w:rFonts w:ascii="宋体" w:hAnsi="宋体" w:cs="宋体" w:eastAsia="宋体" w:hint="default"/>
                <w:sz w:val="18"/>
                <w:szCs w:val="18"/>
              </w:rPr>
              <w:t>实</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际控制人履行完强制增持义务后，</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实际控制人李福华、康路、张燕生承诺：本人</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将在本次发行前持股数量的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以内承</w:t>
            </w:r>
            <w:r>
              <w:rPr>
                <w:rFonts w:ascii="宋体" w:hAnsi="宋体" w:cs="宋体" w:eastAsia="宋体" w:hint="default"/>
                <w:spacing w:val="-77"/>
                <w:sz w:val="18"/>
                <w:szCs w:val="18"/>
              </w:rPr>
              <w:t>担</w:t>
            </w:r>
            <w:r>
              <w:rPr>
                <w:rFonts w:ascii="宋体" w:hAnsi="宋体" w:cs="宋体" w:eastAsia="宋体" w:hint="default"/>
                <w:sz w:val="18"/>
                <w:szCs w:val="18"/>
              </w:rPr>
              <w:t>《关于</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新晨科技股份有限公司上市后三年内公司股价</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低于每股净资产时稳定公司股价的预案》中所</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述增持义务，本人不履行上述义务的，在三年</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限售期满解禁时由公司零元回购上述数量的股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票并注销。</w:t>
            </w:r>
            <w:r>
              <w:rPr>
                <w:rFonts w:ascii="宋体" w:hAnsi="宋体" w:cs="宋体" w:eastAsia="宋体" w:hint="default"/>
                <w:spacing w:val="-17"/>
                <w:sz w:val="18"/>
                <w:szCs w:val="18"/>
              </w:rPr>
              <w:t> </w:t>
            </w:r>
            <w:r>
              <w:rPr>
                <w:rFonts w:ascii="宋体" w:hAnsi="宋体" w:cs="宋体" w:eastAsia="宋体" w:hint="default"/>
                <w:spacing w:val="-3"/>
                <w:sz w:val="18"/>
                <w:szCs w:val="18"/>
              </w:rPr>
              <w:t>公司承诺：本公司将在本次募集资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金净额的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以内承担《关于新晨科技股份有</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限公司上市后三年内公司股价低于每股净资产</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时稳定公司股价的预案》中所述回购义务，公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司不履行上述义务的，以其承诺的最大回购金</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额为限对流通股东承担赔偿责任。</w:t>
            </w:r>
            <w:r>
              <w:rPr>
                <w:rFonts w:ascii="宋体" w:hAnsi="宋体" w:cs="宋体" w:eastAsia="宋体" w:hint="default"/>
                <w:spacing w:val="1"/>
                <w:sz w:val="18"/>
                <w:szCs w:val="18"/>
              </w:rPr>
              <w:t> </w:t>
            </w:r>
            <w:r>
              <w:rPr>
                <w:rFonts w:ascii="宋体" w:hAnsi="宋体" w:cs="宋体" w:eastAsia="宋体" w:hint="default"/>
                <w:sz w:val="18"/>
                <w:szCs w:val="18"/>
              </w:rPr>
              <w:t>公司董事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（独立董事除外</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高级管理</w:t>
            </w:r>
            <w:r>
              <w:rPr>
                <w:rFonts w:ascii="宋体" w:hAnsi="宋体" w:cs="宋体" w:eastAsia="宋体" w:hint="default"/>
                <w:spacing w:val="2"/>
                <w:sz w:val="18"/>
                <w:szCs w:val="18"/>
              </w:rPr>
              <w:t>人</w:t>
            </w:r>
            <w:r>
              <w:rPr>
                <w:rFonts w:ascii="宋体" w:hAnsi="宋体" w:cs="宋体" w:eastAsia="宋体" w:hint="default"/>
                <w:sz w:val="18"/>
                <w:szCs w:val="18"/>
              </w:rPr>
              <w:t>员承诺</w:t>
            </w:r>
            <w:r>
              <w:rPr>
                <w:rFonts w:ascii="宋体" w:hAnsi="宋体" w:cs="宋体" w:eastAsia="宋体" w:hint="default"/>
                <w:spacing w:val="-32"/>
                <w:sz w:val="18"/>
                <w:szCs w:val="18"/>
              </w:rPr>
              <w:t>：</w:t>
            </w:r>
            <w:r>
              <w:rPr>
                <w:rFonts w:ascii="宋体" w:hAnsi="宋体" w:cs="宋体" w:eastAsia="宋体" w:hint="default"/>
                <w:sz w:val="18"/>
                <w:szCs w:val="18"/>
              </w:rPr>
              <w:t>本人将</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承担《关于新晨科技股份有限公司上市后三年</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内公司股价低于每股净资产时稳定公司股价的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预案》中所述增持义务，本人不履行上述义务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的，公司可从本人未来的薪酬中扣除其承诺的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最大增持金额。</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新晨科技股</w:t>
            </w: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关于依法赔偿投资者损失的承诺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公司首次公</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45"/>
              <w:jc w:val="left"/>
              <w:rPr>
                <w:rFonts w:ascii="宋体" w:hAnsi="宋体" w:cs="宋体" w:eastAsia="宋体" w:hint="default"/>
                <w:sz w:val="18"/>
                <w:szCs w:val="18"/>
              </w:rPr>
            </w:pPr>
            <w:r>
              <w:rPr>
                <w:rFonts w:ascii="宋体" w:hAnsi="宋体" w:cs="宋体" w:eastAsia="宋体" w:hint="default"/>
                <w:sz w:val="18"/>
                <w:szCs w:val="18"/>
              </w:rPr>
              <w:t>份有限公 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李福华</w:t>
            </w:r>
            <w:r>
              <w:rPr>
                <w:rFonts w:ascii="Times New Roman" w:hAnsi="Times New Roman" w:cs="Times New Roman" w:eastAsia="Times New Roman" w:hint="default"/>
                <w:sz w:val="18"/>
                <w:szCs w:val="18"/>
              </w:rPr>
              <w:t>; </w:t>
            </w:r>
            <w:r>
              <w:rPr>
                <w:rFonts w:ascii="宋体" w:hAnsi="宋体" w:cs="宋体" w:eastAsia="宋体" w:hint="default"/>
                <w:sz w:val="18"/>
                <w:szCs w:val="18"/>
              </w:rPr>
              <w:t>康路</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张燕</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8"/>
              <w:jc w:val="both"/>
              <w:rPr>
                <w:rFonts w:ascii="宋体" w:hAnsi="宋体" w:cs="宋体" w:eastAsia="宋体" w:hint="default"/>
                <w:sz w:val="18"/>
                <w:szCs w:val="18"/>
              </w:rPr>
            </w:pPr>
            <w:r>
              <w:rPr>
                <w:rFonts w:ascii="宋体" w:hAnsi="宋体" w:cs="宋体" w:eastAsia="宋体" w:hint="default"/>
                <w:sz w:val="18"/>
                <w:szCs w:val="18"/>
              </w:rPr>
              <w:t>开发行股票并在创业板上市的《招股说明书》 及相关申请材料真实、准确、完整、及时，不 存在虚假记载、误导性陈述或重大遗漏。公司</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4" w:lineRule="auto" w:before="142"/>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4"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杨汉杰</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《招股说明书》若有虚假记载、误导性陈述或</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269989pt;margin-top:168.61998pt;width:55.15pt;height:109.2pt;mso-position-horizontal-relative:page;mso-position-vertical-relative:page;z-index:-889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group style="position:absolute;margin-left:397.269989pt;margin-top:168.61998pt;width:49.15pt;height:126.9pt;mso-position-horizontal-relative:page;mso-position-vertical-relative:page;z-index:-888976" coordorigin="7945,3372" coordsize="983,2538">
            <v:group style="position:absolute;left:7945;top:3372;width:983;height:2184" coordorigin="7945,3372" coordsize="983,2184">
              <v:shape style="position:absolute;left:7945;top:3372;width:983;height:2184" coordorigin="7945,3372" coordsize="983,2184" path="m7945,5556l8927,5556,8927,3372,7945,3372,7945,5556xe" filled="true" fillcolor="#ffffff" stroked="false">
                <v:path arrowok="t"/>
                <v:fill type="solid"/>
              </v:shape>
            </v:group>
            <v:group style="position:absolute;left:7967;top:5557;width:939;height:354" coordorigin="7967,5557" coordsize="939,354">
              <v:shape style="position:absolute;left:7967;top:5557;width:939;height:354" coordorigin="7967,5557" coordsize="939,354" path="m7967,5910l8906,5910,8906,5557,7967,5557,7967,591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778"/>
      </w:tblGrid>
      <w:tr>
        <w:trPr>
          <w:trHeight w:val="32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高冠江</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罗</w:t>
            </w: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者重大遗漏，致使投资者在证券交易中遭受损</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炜</w:t>
            </w:r>
            <w:r>
              <w:rPr>
                <w:rFonts w:ascii="Times New Roman" w:hAnsi="Times New Roman" w:cs="Times New Roman" w:eastAsia="Times New Roman" w:hint="default"/>
                <w:sz w:val="18"/>
                <w:szCs w:val="18"/>
              </w:rPr>
              <w:t>;</w:t>
            </w:r>
            <w:r>
              <w:rPr>
                <w:rFonts w:ascii="宋体" w:hAnsi="宋体" w:cs="宋体" w:eastAsia="宋体" w:hint="default"/>
                <w:sz w:val="18"/>
                <w:szCs w:val="18"/>
              </w:rPr>
              <w:t>汤金资</w:t>
            </w:r>
            <w:r>
              <w:rPr>
                <w:rFonts w:ascii="Times New Roman" w:hAnsi="Times New Roman" w:cs="Times New Roman" w:eastAsia="Times New Roman" w:hint="default"/>
                <w:sz w:val="18"/>
                <w:szCs w:val="18"/>
              </w:rPr>
              <w:t>;</w:t>
            </w: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失的，全体董事、监事和高级管理人员将依法</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余克俭</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赔偿投资者损失。</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大新</w:t>
            </w:r>
            <w:r>
              <w:rPr>
                <w:rFonts w:ascii="Times New Roman" w:hAnsi="Times New Roman" w:cs="Times New Roman" w:eastAsia="Times New Roman" w:hint="default"/>
                <w:sz w:val="18"/>
                <w:szCs w:val="18"/>
              </w:rPr>
              <w:t>;</w:t>
            </w:r>
            <w:r>
              <w:rPr>
                <w:rFonts w:ascii="宋体" w:hAnsi="宋体" w:cs="宋体" w:eastAsia="宋体" w:hint="default"/>
                <w:sz w:val="18"/>
                <w:szCs w:val="18"/>
              </w:rPr>
              <w:t>何育</w:t>
            </w: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松</w:t>
            </w:r>
            <w:r>
              <w:rPr>
                <w:rFonts w:ascii="Times New Roman" w:hAnsi="Times New Roman" w:cs="Times New Roman" w:eastAsia="Times New Roman" w:hint="default"/>
                <w:sz w:val="18"/>
                <w:szCs w:val="18"/>
              </w:rPr>
              <w:t>;</w:t>
            </w:r>
            <w:r>
              <w:rPr>
                <w:rFonts w:ascii="宋体" w:hAnsi="宋体" w:cs="宋体" w:eastAsia="宋体" w:hint="default"/>
                <w:sz w:val="18"/>
                <w:szCs w:val="18"/>
              </w:rPr>
              <w:t>李亮</w:t>
            </w:r>
            <w:r>
              <w:rPr>
                <w:rFonts w:ascii="Times New Roman" w:hAnsi="Times New Roman" w:cs="Times New Roman" w:eastAsia="Times New Roman" w:hint="default"/>
                <w:sz w:val="18"/>
                <w:szCs w:val="18"/>
              </w:rPr>
              <w:t>;</w:t>
            </w:r>
            <w:r>
              <w:rPr>
                <w:rFonts w:ascii="宋体" w:hAnsi="宋体" w:cs="宋体" w:eastAsia="宋体" w:hint="default"/>
                <w:sz w:val="18"/>
                <w:szCs w:val="18"/>
              </w:rPr>
              <w:t>周</w:t>
            </w: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嘉嘉</w:t>
            </w: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关于公司首次公开发行摊薄即期回报采取填补</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措施的承诺：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、不无偿或以不公平条件向其他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单位或者个人输送利益，也不采用其他方式损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、对职务消费行为进行约束；</w:t>
            </w:r>
            <w:r>
              <w:rPr>
                <w:rFonts w:ascii="Times New Roman" w:hAnsi="Times New Roman" w:cs="Times New Roman" w:eastAsia="Times New Roman" w:hint="default"/>
                <w:spacing w:val="-3"/>
                <w:sz w:val="18"/>
                <w:szCs w:val="18"/>
              </w:rPr>
              <w:t>3</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9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李福华</w:t>
            </w:r>
            <w:r>
              <w:rPr>
                <w:rFonts w:ascii="Times New Roman" w:hAnsi="Times New Roman" w:cs="Times New Roman" w:eastAsia="Times New Roman" w:hint="default"/>
                <w:sz w:val="18"/>
                <w:szCs w:val="18"/>
              </w:rPr>
              <w:t>;</w:t>
            </w:r>
            <w:r>
              <w:rPr>
                <w:rFonts w:ascii="宋体" w:hAnsi="宋体" w:cs="宋体" w:eastAsia="宋体" w:hint="default"/>
                <w:sz w:val="18"/>
                <w:szCs w:val="18"/>
              </w:rPr>
              <w:t>康 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张燕生</w:t>
            </w:r>
            <w:r>
              <w:rPr>
                <w:rFonts w:ascii="Times New Roman" w:hAnsi="Times New Roman" w:cs="Times New Roman" w:eastAsia="Times New Roman" w:hint="default"/>
                <w:sz w:val="18"/>
                <w:szCs w:val="18"/>
              </w:rPr>
              <w:t>; </w:t>
            </w:r>
            <w:r>
              <w:rPr>
                <w:rFonts w:ascii="宋体" w:hAnsi="宋体" w:cs="宋体" w:eastAsia="宋体" w:hint="default"/>
                <w:sz w:val="18"/>
                <w:szCs w:val="18"/>
              </w:rPr>
              <w:t>杨汉杰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 冠江</w:t>
            </w:r>
            <w:r>
              <w:rPr>
                <w:rFonts w:ascii="Times New Roman" w:hAnsi="Times New Roman" w:cs="Times New Roman" w:eastAsia="Times New Roman" w:hint="default"/>
                <w:sz w:val="18"/>
                <w:szCs w:val="18"/>
              </w:rPr>
              <w:t>;</w:t>
            </w:r>
            <w:r>
              <w:rPr>
                <w:rFonts w:ascii="宋体" w:hAnsi="宋体" w:cs="宋体" w:eastAsia="宋体" w:hint="default"/>
                <w:sz w:val="18"/>
                <w:szCs w:val="18"/>
              </w:rPr>
              <w:t>罗炜</w:t>
            </w:r>
            <w:r>
              <w:rPr>
                <w:rFonts w:ascii="Times New Roman" w:hAnsi="Times New Roman" w:cs="Times New Roman" w:eastAsia="Times New Roman" w:hint="default"/>
                <w:sz w:val="18"/>
                <w:szCs w:val="18"/>
              </w:rPr>
              <w:t>; </w:t>
            </w:r>
            <w:r>
              <w:rPr>
                <w:rFonts w:ascii="宋体" w:hAnsi="宋体" w:cs="宋体" w:eastAsia="宋体" w:hint="default"/>
                <w:sz w:val="18"/>
                <w:szCs w:val="18"/>
              </w:rPr>
              <w:t>汤金资</w:t>
            </w:r>
            <w:r>
              <w:rPr>
                <w:rFonts w:ascii="Times New Roman" w:hAnsi="Times New Roman" w:cs="Times New Roman" w:eastAsia="Times New Roman" w:hint="default"/>
                <w:sz w:val="18"/>
                <w:szCs w:val="18"/>
              </w:rPr>
              <w:t>;</w:t>
            </w:r>
            <w:r>
              <w:rPr>
                <w:rFonts w:ascii="宋体" w:hAnsi="宋体" w:cs="宋体" w:eastAsia="宋体" w:hint="default"/>
                <w:sz w:val="18"/>
                <w:szCs w:val="18"/>
              </w:rPr>
              <w:t>余 克俭</w:t>
            </w:r>
            <w:r>
              <w:rPr>
                <w:rFonts w:ascii="Times New Roman" w:hAnsi="Times New Roman" w:cs="Times New Roman" w:eastAsia="Times New Roman" w:hint="default"/>
                <w:sz w:val="18"/>
                <w:szCs w:val="18"/>
              </w:rPr>
              <w:t>;</w:t>
            </w:r>
            <w:r>
              <w:rPr>
                <w:rFonts w:ascii="宋体" w:hAnsi="宋体" w:cs="宋体" w:eastAsia="宋体" w:hint="default"/>
                <w:sz w:val="18"/>
                <w:szCs w:val="18"/>
              </w:rPr>
              <w:t>张大 新</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13" w:space="0" w:color="FFFFFF"/>
            </w:tcBorders>
          </w:tcPr>
          <w:p>
            <w:pPr>
              <w:pStyle w:val="TableParagraph"/>
              <w:spacing w:line="309" w:lineRule="auto" w:before="5"/>
              <w:ind w:left="23" w:right="-46"/>
              <w:jc w:val="left"/>
              <w:rPr>
                <w:rFonts w:ascii="宋体" w:hAnsi="宋体" w:cs="宋体" w:eastAsia="宋体" w:hint="default"/>
                <w:sz w:val="18"/>
                <w:szCs w:val="18"/>
              </w:rPr>
            </w:pPr>
            <w:r>
              <w:rPr>
                <w:rFonts w:ascii="宋体" w:hAnsi="宋体" w:cs="宋体" w:eastAsia="宋体" w:hint="default"/>
                <w:sz w:val="18"/>
                <w:szCs w:val="18"/>
              </w:rPr>
              <w:t>不动用公司资产从事与其履行职责无关的投 </w:t>
            </w:r>
            <w:r>
              <w:rPr>
                <w:rFonts w:ascii="宋体" w:hAnsi="宋体" w:cs="宋体" w:eastAsia="宋体" w:hint="default"/>
                <w:spacing w:val="-4"/>
                <w:sz w:val="18"/>
                <w:szCs w:val="18"/>
              </w:rPr>
              <w:t>资、消费活动；</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、由董事会或薪酬与考核委员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会制定的薪酬制度与公司填补回报措施的执行 </w:t>
            </w:r>
            <w:r>
              <w:rPr>
                <w:rFonts w:ascii="宋体" w:hAnsi="宋体" w:cs="宋体" w:eastAsia="宋体" w:hint="default"/>
                <w:spacing w:val="-9"/>
                <w:sz w:val="18"/>
                <w:szCs w:val="18"/>
              </w:rPr>
              <w:t>情况相挂钩；</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、若公司后续推出股权激励政策，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承诺拟公布的公司股权激励的行权条件与公司</w:t>
            </w:r>
            <w:r>
              <w:rPr>
                <w:rFonts w:ascii="宋体" w:hAnsi="宋体" w:cs="宋体" w:eastAsia="宋体" w:hint="default"/>
                <w:sz w:val="18"/>
                <w:szCs w:val="18"/>
              </w:rPr>
              <w:t> </w:t>
            </w:r>
            <w:r>
              <w:rPr>
                <w:rFonts w:ascii="宋体" w:hAnsi="宋体" w:cs="宋体" w:eastAsia="宋体" w:hint="default"/>
                <w:spacing w:val="-3"/>
                <w:sz w:val="18"/>
                <w:szCs w:val="18"/>
              </w:rPr>
              <w:t>填补回报措施的执行情况相挂钩；</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、承诺切实</w:t>
            </w:r>
            <w:r>
              <w:rPr>
                <w:rFonts w:ascii="宋体" w:hAnsi="宋体" w:cs="宋体" w:eastAsia="宋体" w:hint="default"/>
                <w:sz w:val="18"/>
                <w:szCs w:val="18"/>
              </w:rPr>
              <w:t> 履行所作出的上述承诺事项，确保公司填补回 报措施能够得到切实履行；若违反该等承诺或</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拒不履行承诺，自愿接受中国证监会、深圳证</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券交易所等证券监管机构依法作出的监管措</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施；若违反该等承诺并给公司或者股东造成损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失的，愿意依法承担补偿责任。</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关于未履行承诺的约束措施：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本公司确认所</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作出的或公开披露的承诺事项真实、有效，将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严格履行公司就首次公开发行股票并在创业板</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上市所作出的所有公开承诺事项，积极接受社</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会监督。如本公司在招股说明书中作出的相关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承诺未能履行、确已无法履行或无法按期履行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的（因相关法律法规、政策变化、自然灾害及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其他不可抗力等公司无法控制的客观原因导致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的除外</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公司自愿承担相应的法律后果和民事</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赔偿责任，并采取以下措施</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）及时、充分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48"/>
              <w:jc w:val="left"/>
              <w:rPr>
                <w:rFonts w:ascii="宋体" w:hAnsi="宋体" w:cs="宋体" w:eastAsia="宋体" w:hint="default"/>
                <w:sz w:val="18"/>
                <w:szCs w:val="18"/>
              </w:rPr>
            </w:pPr>
            <w:r>
              <w:rPr>
                <w:rFonts w:ascii="宋体" w:hAnsi="宋体" w:cs="宋体" w:eastAsia="宋体" w:hint="default"/>
                <w:sz w:val="18"/>
                <w:szCs w:val="18"/>
              </w:rPr>
              <w:t>披露公司承诺未能履行、无法履行或无法按期 </w:t>
            </w:r>
            <w:r>
              <w:rPr>
                <w:rFonts w:ascii="宋体" w:hAnsi="宋体" w:cs="宋体" w:eastAsia="宋体" w:hint="default"/>
                <w:spacing w:val="-5"/>
                <w:sz w:val="18"/>
                <w:szCs w:val="18"/>
              </w:rPr>
              <w:t>履行的具体原因；（</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）向投资者提出补充承诺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或替代承诺，以尽可能保护公司及其投资者的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权益，并将上述补充承诺或替代承诺提交公司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股东大会审议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）在股东大会及中国证监会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指定的披露媒体上公开说明未履行承诺的具体</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原因，并向投资者道歉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）公司因违反公司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承诺给投资者造成损失的，将依法对投资者进</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行赔偿。</w:t>
            </w:r>
            <w:r>
              <w:rPr>
                <w:rFonts w:ascii="Times New Roman" w:hAnsi="Times New Roman" w:cs="Times New Roman" w:eastAsia="Times New Roman" w:hint="default"/>
                <w:sz w:val="18"/>
                <w:szCs w:val="18"/>
              </w:rPr>
              <w:t>2.</w:t>
            </w:r>
            <w:r>
              <w:rPr>
                <w:rFonts w:ascii="宋体" w:hAnsi="宋体" w:cs="宋体" w:eastAsia="宋体" w:hint="default"/>
                <w:sz w:val="18"/>
                <w:szCs w:val="18"/>
              </w:rPr>
              <w:t>如因相关法律法规、政策变化、自</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然灾害及其他不可抗力等本公司无法控制的客</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观原因导致本公司的承诺未能履行、确已无法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履行或无法按期履行的，本公司将采取以下措</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8.127014pt;margin-top:72.475983pt;width:118.25pt;height:64.5pt;mso-position-horizontal-relative:page;mso-position-vertical-relative:page;z-index:-888952" type="#_x0000_t202" filled="false" stroked="false">
            <v:textbox inset="0,0,0,0">
              <w:txbxContent>
                <w:p>
                  <w:pPr>
                    <w:pStyle w:val="BodyText"/>
                    <w:spacing w:line="240" w:lineRule="auto" w:before="8"/>
                    <w:ind w:left="0" w:right="0"/>
                    <w:jc w:val="left"/>
                  </w:pPr>
                  <w:r>
                    <w:rPr/>
                    <w:t>司承诺未能履行、</w:t>
                  </w:r>
                </w:p>
              </w:txbxContent>
            </v:textbox>
            <w10:wrap type="none"/>
          </v:shape>
        </w:pict>
      </w:r>
      <w:r>
        <w:rPr/>
        <w:pict>
          <v:shape style="position:absolute;margin-left:337.149994pt;margin-top:137.429977pt;width:109.25pt;height:234.05pt;mso-position-horizontal-relative:page;mso-position-vertical-relative:page;z-index:-888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通过公司及时、</w:t>
                  </w:r>
                </w:p>
              </w:txbxContent>
            </v:textbox>
            <w10:wrap type="none"/>
          </v:shape>
        </w:pict>
      </w:r>
      <w:r>
        <w:rPr/>
        <w:pict>
          <v:shape style="position:absolute;margin-left:247.132996pt;margin-top:406.609985pt;width:199.25pt;height:234.05pt;mso-position-horizontal-relative:page;mso-position-vertical-relative:page;z-index:-888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7"/>
                      <w:szCs w:val="17"/>
                    </w:rPr>
                  </w:pPr>
                </w:p>
                <w:p>
                  <w:pPr>
                    <w:pStyle w:val="BodyText"/>
                    <w:spacing w:line="240" w:lineRule="auto"/>
                    <w:ind w:left="0" w:right="0"/>
                    <w:jc w:val="left"/>
                  </w:pPr>
                  <w:r>
                    <w:rPr/>
                    <w:t>以尽可能保护公司及其投资者的权益。</w:t>
                  </w:r>
                </w:p>
              </w:txbxContent>
            </v:textbox>
            <w10:wrap type="none"/>
          </v:shape>
        </w:pict>
      </w:r>
      <w:r>
        <w:rPr/>
        <w:pict>
          <v:group style="position:absolute;margin-left:397.269989pt;margin-top:72.475983pt;width:49.15pt;height:299pt;mso-position-horizontal-relative:page;mso-position-vertical-relative:page;z-index:-888880" coordorigin="7945,1450" coordsize="983,5980">
            <v:group style="position:absolute;left:7945;top:1450;width:983;height:1290" coordorigin="7945,1450" coordsize="983,1290">
              <v:shape style="position:absolute;left:7945;top:1450;width:983;height:1290" coordorigin="7945,1450" coordsize="983,1290" path="m7945,2739l8927,2739,8927,1450,7945,1450,7945,2739xe" filled="true" fillcolor="#ffffff" stroked="false">
                <v:path arrowok="t"/>
                <v:fill type="solid"/>
              </v:shape>
            </v:group>
            <v:group style="position:absolute;left:7945;top:2749;width:983;height:4681" coordorigin="7945,2749" coordsize="983,4681">
              <v:shape style="position:absolute;left:7945;top:2749;width:983;height:4681" coordorigin="7945,2749" coordsize="983,4681" path="m7945,7429l8927,7429,8927,2749,7945,2749,7945,7429xe" filled="true" fillcolor="#ffffff" stroked="false">
                <v:path arrowok="t"/>
                <v:fill type="solid"/>
              </v:shape>
            </v:group>
            <w10:wrap type="none"/>
          </v:group>
        </w:pict>
      </w:r>
      <w:r>
        <w:rPr/>
        <w:pict>
          <v:group style="position:absolute;margin-left:397.269989pt;margin-top:406.609985pt;width:49.15pt;height:234.05pt;mso-position-horizontal-relative:page;mso-position-vertical-relative:page;z-index:-888856" coordorigin="7945,8132" coordsize="983,4681">
            <v:shape style="position:absolute;left:7945;top:8132;width:983;height:4681" coordorigin="7945,8132" coordsize="983,4681" path="m7945,12813l8927,12813,8927,8132,7945,8132,7945,12813xe" filled="true" fillcolor="#ffffff" stroked="false">
              <v:path arrowok="t"/>
              <v:fill type="solid"/>
            </v:shape>
            <w10:wrap type="none"/>
          </v:group>
        </w:pict>
      </w:r>
      <w:r>
        <w:rPr/>
        <w:pict>
          <v:group style="position:absolute;margin-left:398.350006pt;margin-top:704.619995pt;width:46.95pt;height:17.55pt;mso-position-horizontal-relative:page;mso-position-vertical-relative:page;z-index:-888832" coordorigin="7967,14092" coordsize="939,351">
            <v:shape style="position:absolute;left:7967;top:14092;width:939;height:351" coordorigin="7967,14092" coordsize="939,351" path="m7967,14443l8906,14443,8906,14092,7967,14092,7967,1444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778"/>
      </w:tblGrid>
      <w:tr>
        <w:trPr>
          <w:trHeight w:val="32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施</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0"/>
                <w:sz w:val="18"/>
                <w:szCs w:val="18"/>
              </w:rPr>
              <w:t>）</w:t>
            </w:r>
            <w:r>
              <w:rPr>
                <w:rFonts w:ascii="宋体" w:hAnsi="宋体" w:cs="宋体" w:eastAsia="宋体" w:hint="default"/>
                <w:sz w:val="18"/>
                <w:szCs w:val="18"/>
              </w:rPr>
              <w:t>及时</w:t>
            </w:r>
            <w:r>
              <w:rPr>
                <w:rFonts w:ascii="宋体" w:hAnsi="宋体" w:cs="宋体" w:eastAsia="宋体" w:hint="default"/>
                <w:spacing w:val="-20"/>
                <w:sz w:val="18"/>
                <w:szCs w:val="18"/>
              </w:rPr>
              <w:t>、</w:t>
            </w:r>
            <w:r>
              <w:rPr>
                <w:rFonts w:ascii="宋体" w:hAnsi="宋体" w:cs="宋体" w:eastAsia="宋体" w:hint="default"/>
                <w:sz w:val="18"/>
                <w:szCs w:val="18"/>
              </w:rPr>
              <w:t>充分披露本公</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无法履行或无法按期履行的具体原因</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）向</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投资者提出补充承诺或替代承诺，以尽可能保</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护公司及其投资者的权益。</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关于未履行承诺的约束措施：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如本人承诺未</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能履行、确已无法履行或无法按期履行的（因</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相关法律法规、政策变化、自然灾害及其他不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可抗力等本人无法控制的客观原因导致的除</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本人将采取以下措施</w:t>
            </w:r>
            <w:r>
              <w:rPr>
                <w:rFonts w:ascii="宋体" w:hAnsi="宋体" w:cs="宋体" w:eastAsia="宋体" w:hint="default"/>
                <w:spacing w:val="-14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充分披露本人承诺未能履行、无法履行或无法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按期履行的具体原因</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）向公司及其投资者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提出补充承诺或替代承诺，以尽可能保护公司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及其投资者的权益，并将上述补充承诺或替代</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承诺提交公司股东大会审议</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）在股东大会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及中国证监会指定的披露媒体上公开说明未履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行承诺的具体原因，并向投资者道歉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人违反本人承诺所得收益将归属于公司，因此</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给公司或投资者造成损失的，将依法对公司或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投资者进行赔偿</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）本人同意公司调减向本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8"/>
              <w:jc w:val="left"/>
              <w:rPr>
                <w:rFonts w:ascii="宋体" w:hAnsi="宋体" w:cs="宋体" w:eastAsia="宋体" w:hint="default"/>
                <w:sz w:val="18"/>
                <w:szCs w:val="18"/>
              </w:rPr>
            </w:pPr>
            <w:r>
              <w:rPr>
                <w:rFonts w:ascii="宋体" w:hAnsi="宋体" w:cs="宋体" w:eastAsia="宋体" w:hint="default"/>
                <w:sz w:val="18"/>
                <w:szCs w:val="18"/>
              </w:rPr>
              <w:t>人发放工资、奖金和津贴，同意公司将本人应 得的现金分红留置于公司，并将此直接用于执</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行未履行的承诺或用于赔偿因未履行承诺而给</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公司或投资者带来的损失</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）如因未履行承</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诺给公司或投资者造成损失的，本人将向公司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或投资者依法承担赔偿责任；如本人未承担前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述赔偿责任，则本人持有的发行人首次公开发</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行股票前股份（扣除发行人首次公开发行股票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时老股发售股份）在本人履行完毕前述赔偿责</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任之前不得转让。</w:t>
            </w:r>
            <w:r>
              <w:rPr>
                <w:rFonts w:ascii="Times New Roman" w:hAnsi="Times New Roman" w:cs="Times New Roman" w:eastAsia="Times New Roman" w:hint="default"/>
                <w:sz w:val="18"/>
                <w:szCs w:val="18"/>
              </w:rPr>
              <w:t>2.</w:t>
            </w:r>
            <w:r>
              <w:rPr>
                <w:rFonts w:ascii="宋体" w:hAnsi="宋体" w:cs="宋体" w:eastAsia="宋体" w:hint="default"/>
                <w:sz w:val="18"/>
                <w:szCs w:val="18"/>
              </w:rPr>
              <w:t>如因相关法律法规、政策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变化、自然灾害及其他不可抗力等本人无法控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制的客观原因导致本人的承诺未能履行、确已</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无法履行或无法按期履行的，本人将采取以下</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）通过公司及时、充分披露本人承诺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未能履行、无法履行或无法按期履行的具体原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）向公司及其投资者提出补充承诺或替</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代承诺，</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254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0" w:lineRule="auto"/>
              <w:ind w:left="23" w:right="134"/>
              <w:jc w:val="both"/>
              <w:rPr>
                <w:rFonts w:ascii="宋体" w:hAnsi="宋体" w:cs="宋体" w:eastAsia="宋体" w:hint="default"/>
                <w:sz w:val="18"/>
                <w:szCs w:val="18"/>
              </w:rPr>
            </w:pPr>
            <w:r>
              <w:rPr>
                <w:rFonts w:ascii="宋体" w:hAnsi="宋体" w:cs="宋体" w:eastAsia="宋体" w:hint="default"/>
                <w:sz w:val="18"/>
                <w:szCs w:val="18"/>
              </w:rPr>
              <w:t>李亮</w:t>
            </w:r>
            <w:r>
              <w:rPr>
                <w:rFonts w:ascii="Times New Roman" w:hAnsi="Times New Roman" w:cs="Times New Roman" w:eastAsia="Times New Roman" w:hint="default"/>
                <w:sz w:val="18"/>
                <w:szCs w:val="18"/>
              </w:rPr>
              <w:t>;</w:t>
            </w:r>
            <w:r>
              <w:rPr>
                <w:rFonts w:ascii="宋体" w:hAnsi="宋体" w:cs="宋体" w:eastAsia="宋体" w:hint="default"/>
                <w:sz w:val="18"/>
                <w:szCs w:val="18"/>
              </w:rPr>
              <w:t>杨汉 杰</w:t>
            </w:r>
            <w:r>
              <w:rPr>
                <w:rFonts w:ascii="Times New Roman" w:hAnsi="Times New Roman" w:cs="Times New Roman" w:eastAsia="Times New Roman" w:hint="default"/>
                <w:sz w:val="18"/>
                <w:szCs w:val="18"/>
              </w:rPr>
              <w:t>;</w:t>
            </w:r>
            <w:r>
              <w:rPr>
                <w:rFonts w:ascii="宋体" w:hAnsi="宋体" w:cs="宋体" w:eastAsia="宋体" w:hint="default"/>
                <w:sz w:val="18"/>
                <w:szCs w:val="18"/>
              </w:rPr>
              <w:t>余克俭</w:t>
            </w:r>
            <w:r>
              <w:rPr>
                <w:rFonts w:ascii="Times New Roman" w:hAnsi="Times New Roman" w:cs="Times New Roman" w:eastAsia="Times New Roman" w:hint="default"/>
                <w:sz w:val="18"/>
                <w:szCs w:val="18"/>
              </w:rPr>
              <w:t>; </w:t>
            </w:r>
            <w:r>
              <w:rPr>
                <w:rFonts w:ascii="宋体" w:hAnsi="宋体" w:cs="宋体" w:eastAsia="宋体" w:hint="default"/>
                <w:sz w:val="18"/>
                <w:szCs w:val="18"/>
              </w:rPr>
              <w:t>张大新</w:t>
            </w:r>
            <w:r>
              <w:rPr>
                <w:rFonts w:ascii="Times New Roman" w:hAnsi="Times New Roman" w:cs="Times New Roman" w:eastAsia="Times New Roman" w:hint="default"/>
                <w:sz w:val="18"/>
                <w:szCs w:val="18"/>
              </w:rPr>
              <w:t>;</w:t>
            </w:r>
            <w:r>
              <w:rPr>
                <w:rFonts w:ascii="宋体" w:hAnsi="宋体" w:cs="宋体" w:eastAsia="宋体" w:hint="default"/>
                <w:sz w:val="18"/>
                <w:szCs w:val="18"/>
              </w:rPr>
              <w:t>高 冠江</w:t>
            </w:r>
            <w:r>
              <w:rPr>
                <w:rFonts w:ascii="Times New Roman" w:hAnsi="Times New Roman" w:cs="Times New Roman" w:eastAsia="Times New Roman" w:hint="default"/>
                <w:sz w:val="18"/>
                <w:szCs w:val="18"/>
              </w:rPr>
              <w:t>;</w:t>
            </w:r>
            <w:r>
              <w:rPr>
                <w:rFonts w:ascii="宋体" w:hAnsi="宋体" w:cs="宋体" w:eastAsia="宋体" w:hint="default"/>
                <w:sz w:val="18"/>
                <w:szCs w:val="18"/>
              </w:rPr>
              <w:t>何育 松</w:t>
            </w:r>
            <w:r>
              <w:rPr>
                <w:rFonts w:ascii="Times New Roman" w:hAnsi="Times New Roman" w:cs="Times New Roman" w:eastAsia="Times New Roman" w:hint="default"/>
                <w:sz w:val="18"/>
                <w:szCs w:val="18"/>
              </w:rPr>
              <w:t>;</w:t>
            </w:r>
            <w:r>
              <w:rPr>
                <w:rFonts w:ascii="宋体" w:hAnsi="宋体" w:cs="宋体" w:eastAsia="宋体" w:hint="default"/>
                <w:sz w:val="18"/>
                <w:szCs w:val="18"/>
              </w:rPr>
              <w:t>罗炜</w:t>
            </w:r>
            <w:r>
              <w:rPr>
                <w:rFonts w:ascii="Times New Roman" w:hAnsi="Times New Roman" w:cs="Times New Roman" w:eastAsia="Times New Roman" w:hint="default"/>
                <w:sz w:val="18"/>
                <w:szCs w:val="18"/>
              </w:rPr>
              <w:t>;</w:t>
            </w:r>
            <w:r>
              <w:rPr>
                <w:rFonts w:ascii="宋体" w:hAnsi="宋体" w:cs="宋体" w:eastAsia="宋体" w:hint="default"/>
                <w:sz w:val="18"/>
                <w:szCs w:val="18"/>
              </w:rPr>
              <w:t>汤 金资</w:t>
            </w:r>
            <w:r>
              <w:rPr>
                <w:rFonts w:ascii="Times New Roman" w:hAnsi="Times New Roman" w:cs="Times New Roman" w:eastAsia="Times New Roman" w:hint="default"/>
                <w:sz w:val="18"/>
                <w:szCs w:val="18"/>
              </w:rPr>
              <w:t>;</w:t>
            </w:r>
            <w:r>
              <w:rPr>
                <w:rFonts w:ascii="宋体" w:hAnsi="宋体" w:cs="宋体" w:eastAsia="宋体" w:hint="default"/>
                <w:sz w:val="18"/>
                <w:szCs w:val="18"/>
              </w:rPr>
              <w:t>周嘉 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关于未履行承诺的约束措施：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如本人承诺未 能履行、确已无法履行或无法按期履行的（因 相关法律法规、政策变化、自然灾害及其他不 可抗力等本人无法控制的客观原因导致的除 </w:t>
            </w:r>
            <w:r>
              <w:rPr>
                <w:rFonts w:ascii="宋体" w:hAnsi="宋体" w:cs="宋体" w:eastAsia="宋体" w:hint="default"/>
                <w:spacing w:val="-17"/>
                <w:sz w:val="18"/>
                <w:szCs w:val="18"/>
              </w:rPr>
              <w:t>外），本人将采取以下措施：（</w:t>
            </w:r>
            <w:r>
              <w:rPr>
                <w:rFonts w:ascii="Times New Roman" w:hAnsi="Times New Roman" w:cs="Times New Roman" w:eastAsia="Times New Roman" w:hint="default"/>
                <w:spacing w:val="-17"/>
                <w:sz w:val="18"/>
                <w:szCs w:val="18"/>
              </w:rPr>
              <w:t>1</w:t>
            </w:r>
            <w:r>
              <w:rPr>
                <w:rFonts w:ascii="宋体" w:hAnsi="宋体" w:cs="宋体" w:eastAsia="宋体" w:hint="default"/>
                <w:spacing w:val="-17"/>
                <w:sz w:val="18"/>
                <w:szCs w:val="18"/>
              </w:rPr>
              <w:t>）通过公司及时、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充分披露本人承诺未能履行、无法履行或无法</w:t>
            </w:r>
            <w:r>
              <w:rPr>
                <w:rFonts w:ascii="宋体" w:hAnsi="宋体" w:cs="宋体" w:eastAsia="宋体" w:hint="default"/>
                <w:sz w:val="18"/>
                <w:szCs w:val="18"/>
              </w:rPr>
              <w:t> </w:t>
            </w:r>
            <w:r>
              <w:rPr>
                <w:rFonts w:ascii="宋体" w:hAnsi="宋体" w:cs="宋体" w:eastAsia="宋体" w:hint="default"/>
                <w:spacing w:val="-5"/>
                <w:sz w:val="18"/>
                <w:szCs w:val="18"/>
              </w:rPr>
              <w:t>按期履行的具体原因；（</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）向公司及其投资者</w:t>
            </w:r>
            <w:r>
              <w:rPr>
                <w:rFonts w:ascii="宋体" w:hAnsi="宋体" w:cs="宋体" w:eastAsia="宋体" w:hint="default"/>
                <w:spacing w:val="-76"/>
                <w:sz w:val="18"/>
                <w:szCs w:val="18"/>
              </w:rPr>
              <w:t> </w:t>
            </w:r>
            <w:r>
              <w:rPr>
                <w:rFonts w:ascii="宋体" w:hAnsi="宋体" w:cs="宋体" w:eastAsia="宋体" w:hint="default"/>
                <w:sz w:val="18"/>
                <w:szCs w:val="18"/>
              </w:rPr>
              <w:t>提出补充承诺或替代承诺，以尽可能保护公司</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778"/>
      </w:tblGrid>
      <w:tr>
        <w:trPr>
          <w:trHeight w:val="5979"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47"/>
              <w:jc w:val="both"/>
              <w:rPr>
                <w:rFonts w:ascii="宋体" w:hAnsi="宋体" w:cs="宋体" w:eastAsia="宋体" w:hint="default"/>
                <w:sz w:val="18"/>
                <w:szCs w:val="18"/>
              </w:rPr>
            </w:pPr>
            <w:r>
              <w:rPr>
                <w:rFonts w:ascii="宋体" w:hAnsi="宋体" w:cs="宋体" w:eastAsia="宋体" w:hint="default"/>
                <w:sz w:val="18"/>
                <w:szCs w:val="18"/>
              </w:rPr>
              <w:t>及其投资者的权益，并将上述补充承诺或替代 </w:t>
            </w:r>
            <w:r>
              <w:rPr>
                <w:rFonts w:ascii="宋体" w:hAnsi="宋体" w:cs="宋体" w:eastAsia="宋体" w:hint="default"/>
                <w:spacing w:val="-5"/>
                <w:sz w:val="18"/>
                <w:szCs w:val="18"/>
              </w:rPr>
              <w:t>承诺提交公司股东大会审议；（</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）在股东大会</w:t>
            </w:r>
            <w:r>
              <w:rPr>
                <w:rFonts w:ascii="宋体" w:hAnsi="宋体" w:cs="宋体" w:eastAsia="宋体" w:hint="default"/>
                <w:spacing w:val="-74"/>
                <w:sz w:val="18"/>
                <w:szCs w:val="18"/>
              </w:rPr>
              <w:t> </w:t>
            </w:r>
            <w:r>
              <w:rPr>
                <w:rFonts w:ascii="宋体" w:hAnsi="宋体" w:cs="宋体" w:eastAsia="宋体" w:hint="default"/>
                <w:sz w:val="18"/>
                <w:szCs w:val="18"/>
              </w:rPr>
              <w:t>及中国证监会指定的披露媒体上公开说明未履 </w:t>
            </w:r>
            <w:r>
              <w:rPr>
                <w:rFonts w:ascii="宋体" w:hAnsi="宋体" w:cs="宋体" w:eastAsia="宋体" w:hint="default"/>
                <w:spacing w:val="-5"/>
                <w:sz w:val="18"/>
                <w:szCs w:val="18"/>
              </w:rPr>
              <w:t>行承诺的具体原因，并向投资者道歉；（</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w:t>
            </w:r>
            <w:r>
              <w:rPr>
                <w:rFonts w:ascii="宋体" w:hAnsi="宋体" w:cs="宋体" w:eastAsia="宋体" w:hint="default"/>
                <w:spacing w:val="-76"/>
                <w:sz w:val="18"/>
                <w:szCs w:val="18"/>
              </w:rPr>
              <w:t> </w:t>
            </w:r>
            <w:r>
              <w:rPr>
                <w:rFonts w:ascii="宋体" w:hAnsi="宋体" w:cs="宋体" w:eastAsia="宋体" w:hint="default"/>
                <w:sz w:val="18"/>
                <w:szCs w:val="18"/>
              </w:rPr>
              <w:t>人违反本人承诺所得收益将归属于公司，因此 给公司或投资者造成损失的，将依法对公司或 </w:t>
            </w:r>
            <w:r>
              <w:rPr>
                <w:rFonts w:ascii="宋体" w:hAnsi="宋体" w:cs="宋体" w:eastAsia="宋体" w:hint="default"/>
                <w:spacing w:val="-5"/>
                <w:sz w:val="18"/>
                <w:szCs w:val="18"/>
              </w:rPr>
              <w:t>投资者进行赔偿；（</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）本人同意公司调减向本</w:t>
            </w:r>
            <w:r>
              <w:rPr>
                <w:rFonts w:ascii="宋体" w:hAnsi="宋体" w:cs="宋体" w:eastAsia="宋体" w:hint="default"/>
                <w:spacing w:val="-76"/>
                <w:sz w:val="18"/>
                <w:szCs w:val="18"/>
              </w:rPr>
              <w:t> </w:t>
            </w:r>
            <w:r>
              <w:rPr>
                <w:rFonts w:ascii="宋体" w:hAnsi="宋体" w:cs="宋体" w:eastAsia="宋体" w:hint="default"/>
                <w:sz w:val="18"/>
                <w:szCs w:val="18"/>
              </w:rPr>
              <w:t>人发放工资、奖金和津贴，同意公司将本人应 得的现金分红留置于公司，并将此直接用于执 行未履行的承诺或用于赔偿因未履行承诺而给 公司或投资者带来的损失。</w:t>
            </w:r>
            <w:r>
              <w:rPr>
                <w:rFonts w:ascii="Times New Roman" w:hAnsi="Times New Roman" w:cs="Times New Roman" w:eastAsia="Times New Roman" w:hint="default"/>
                <w:sz w:val="18"/>
                <w:szCs w:val="18"/>
              </w:rPr>
              <w:t>2.</w:t>
            </w:r>
            <w:r>
              <w:rPr>
                <w:rFonts w:ascii="宋体" w:hAnsi="宋体" w:cs="宋体" w:eastAsia="宋体" w:hint="default"/>
                <w:sz w:val="18"/>
                <w:szCs w:val="18"/>
              </w:rPr>
              <w:t>如因相关法律法 规、政策变化、自然灾害及其他不可抗力等本 人无法控制的客观原因导致本人的承诺未能履 行、确已无法履行或无法按期履行的，本人将 </w:t>
            </w:r>
            <w:r>
              <w:rPr>
                <w:rFonts w:ascii="宋体" w:hAnsi="宋体" w:cs="宋体" w:eastAsia="宋体" w:hint="default"/>
                <w:spacing w:val="-5"/>
                <w:sz w:val="18"/>
                <w:szCs w:val="18"/>
              </w:rPr>
              <w:t>采取以下措施：（</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）通过公司及时、充分披露</w:t>
            </w:r>
            <w:r>
              <w:rPr>
                <w:rFonts w:ascii="宋体" w:hAnsi="宋体" w:cs="宋体" w:eastAsia="宋体" w:hint="default"/>
                <w:spacing w:val="-76"/>
                <w:sz w:val="18"/>
                <w:szCs w:val="18"/>
              </w:rPr>
              <w:t> </w:t>
            </w:r>
            <w:r>
              <w:rPr>
                <w:rFonts w:ascii="宋体" w:hAnsi="宋体" w:cs="宋体" w:eastAsia="宋体" w:hint="default"/>
                <w:sz w:val="18"/>
                <w:szCs w:val="18"/>
              </w:rPr>
              <w:t>本人承诺未能履行、无法履行或无法按期履行 </w:t>
            </w:r>
            <w:r>
              <w:rPr>
                <w:rFonts w:ascii="宋体" w:hAnsi="宋体" w:cs="宋体" w:eastAsia="宋体" w:hint="default"/>
                <w:spacing w:val="-5"/>
                <w:sz w:val="18"/>
                <w:szCs w:val="18"/>
              </w:rPr>
              <w:t>的具体原因；（</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）向公司及其投资者提出补充</w:t>
            </w:r>
            <w:r>
              <w:rPr>
                <w:rFonts w:ascii="宋体" w:hAnsi="宋体" w:cs="宋体" w:eastAsia="宋体" w:hint="default"/>
                <w:spacing w:val="-76"/>
                <w:sz w:val="18"/>
                <w:szCs w:val="18"/>
              </w:rPr>
              <w:t> </w:t>
            </w:r>
            <w:r>
              <w:rPr>
                <w:rFonts w:ascii="宋体" w:hAnsi="宋体" w:cs="宋体" w:eastAsia="宋体" w:hint="default"/>
                <w:sz w:val="18"/>
                <w:szCs w:val="18"/>
              </w:rPr>
              <w:t>承诺或替代承诺，以尽可能保护公司及其投资 者的权益。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关于利润分配政策的承诺：为维护中小投资者 的利益，公司承诺将严格按照《新晨科技股份 </w:t>
            </w:r>
            <w:r>
              <w:rPr>
                <w:rFonts w:ascii="宋体" w:hAnsi="宋体" w:cs="宋体" w:eastAsia="宋体" w:hint="default"/>
                <w:spacing w:val="-16"/>
                <w:sz w:val="18"/>
                <w:szCs w:val="18"/>
              </w:rPr>
              <w:t>有限公司章程（草案）》规定的利润分配政策（包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括现金分红政策）履行利润分配决策程序，并 实施利润分配。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084"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0" w:lineRule="auto"/>
              <w:ind w:left="23" w:right="135"/>
              <w:jc w:val="both"/>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r>
              <w:rPr>
                <w:rFonts w:ascii="Times New Roman" w:hAnsi="Times New Roman" w:cs="Times New Roman" w:eastAsia="Times New Roman" w:hint="default"/>
                <w:sz w:val="18"/>
                <w:szCs w:val="18"/>
              </w:rPr>
              <w:t>; </w:t>
            </w: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徐 连平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关于利润分配政策的承诺：新晨科技股份有限 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309" w:lineRule="auto"/>
              <w:ind w:left="23" w:right="-29"/>
              <w:jc w:val="left"/>
              <w:rPr>
                <w:rFonts w:ascii="宋体" w:hAnsi="宋体" w:cs="宋体" w:eastAsia="宋体" w:hint="default"/>
                <w:sz w:val="18"/>
                <w:szCs w:val="18"/>
              </w:rPr>
            </w:pPr>
            <w:r>
              <w:rPr>
                <w:rFonts w:ascii="宋体" w:hAnsi="宋体" w:cs="宋体" w:eastAsia="宋体" w:hint="default"/>
                <w:sz w:val="18"/>
                <w:szCs w:val="18"/>
              </w:rPr>
              <w:t>日发布的《上市公司监管指引第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 </w:t>
            </w:r>
            <w:r>
              <w:rPr>
                <w:rFonts w:ascii="宋体" w:hAnsi="宋体" w:cs="宋体" w:eastAsia="宋体" w:hint="default"/>
                <w:spacing w:val="-4"/>
                <w:sz w:val="18"/>
                <w:szCs w:val="18"/>
              </w:rPr>
              <w:t>公司现金分红》（中国证监会公告</w:t>
            </w:r>
            <w:r>
              <w:rPr>
                <w:rFonts w:ascii="Times New Roman" w:hAnsi="Times New Roman" w:cs="Times New Roman" w:eastAsia="Times New Roman" w:hint="default"/>
                <w:spacing w:val="-4"/>
                <w:sz w:val="18"/>
                <w:szCs w:val="18"/>
              </w:rPr>
              <w:t>[2013]43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w:t>
            </w:r>
            <w:r>
              <w:rPr>
                <w:rFonts w:ascii="宋体" w:hAnsi="宋体" w:cs="宋体" w:eastAsia="宋体" w:hint="default"/>
                <w:spacing w:val="-8"/>
                <w:sz w:val="18"/>
                <w:szCs w:val="18"/>
              </w:rPr>
              <w:t>对《新晨科技股份有限公司章程（草案）》中的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利润分配政策（包括现金分红政策）进行了修 </w:t>
            </w:r>
            <w:r>
              <w:rPr>
                <w:rFonts w:ascii="宋体" w:hAnsi="宋体" w:cs="宋体" w:eastAsia="宋体" w:hint="default"/>
                <w:spacing w:val="-15"/>
                <w:sz w:val="18"/>
                <w:szCs w:val="18"/>
              </w:rPr>
              <w:t>改，并于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 了《关于修订公司首次公开发行人民币普通股 股票并在创业板上市后适用的</w:t>
            </w:r>
            <w:r>
              <w:rPr>
                <w:rFonts w:ascii="Times New Roman" w:hAnsi="Times New Roman" w:cs="Times New Roman" w:eastAsia="Times New Roman" w:hint="default"/>
                <w:sz w:val="18"/>
                <w:szCs w:val="18"/>
              </w:rPr>
              <w:t>&lt;</w:t>
            </w:r>
            <w:r>
              <w:rPr>
                <w:rFonts w:ascii="宋体" w:hAnsi="宋体" w:cs="宋体" w:eastAsia="宋体" w:hint="default"/>
                <w:sz w:val="18"/>
                <w:szCs w:val="18"/>
              </w:rPr>
              <w:t>新晨科技股份 </w:t>
            </w:r>
            <w:r>
              <w:rPr>
                <w:rFonts w:ascii="宋体" w:hAnsi="宋体" w:cs="宋体" w:eastAsia="宋体" w:hint="default"/>
                <w:spacing w:val="-5"/>
                <w:sz w:val="18"/>
                <w:szCs w:val="18"/>
              </w:rPr>
              <w:t>有限公司章程（草案）</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的议案》。作为公司的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实际控制人、持股</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以上的股东，本人承诺将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从维护中小投资者利益的角度，根据《新晨科 </w:t>
            </w:r>
            <w:r>
              <w:rPr>
                <w:rFonts w:ascii="宋体" w:hAnsi="宋体" w:cs="宋体" w:eastAsia="宋体" w:hint="default"/>
                <w:spacing w:val="-8"/>
                <w:sz w:val="18"/>
                <w:szCs w:val="18"/>
              </w:rPr>
              <w:t>技股份有限公司章程（草案）》中规定的利润分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配政策（包括现金分红政策）在相关股东大会 上进行投票表决，并督促公司根据相关决议实 施利润分配。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98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97" w:lineRule="auto"/>
              <w:ind w:left="23" w:right="185"/>
              <w:jc w:val="left"/>
              <w:rPr>
                <w:rFonts w:ascii="宋体" w:hAnsi="宋体" w:cs="宋体" w:eastAsia="宋体" w:hint="default"/>
                <w:sz w:val="18"/>
                <w:szCs w:val="18"/>
              </w:rPr>
            </w:pPr>
            <w:r>
              <w:rPr>
                <w:rFonts w:ascii="宋体" w:hAnsi="宋体" w:cs="宋体" w:eastAsia="宋体" w:hint="default"/>
                <w:sz w:val="18"/>
                <w:szCs w:val="18"/>
              </w:rPr>
              <w:t>高冠江</w:t>
            </w:r>
            <w:r>
              <w:rPr>
                <w:rFonts w:ascii="Times New Roman" w:hAnsi="Times New Roman" w:cs="Times New Roman" w:eastAsia="Times New Roman" w:hint="default"/>
                <w:sz w:val="18"/>
                <w:szCs w:val="18"/>
              </w:rPr>
              <w:t>;</w:t>
            </w:r>
            <w:r>
              <w:rPr>
                <w:rFonts w:ascii="宋体" w:hAnsi="宋体" w:cs="宋体" w:eastAsia="宋体" w:hint="default"/>
                <w:sz w:val="18"/>
                <w:szCs w:val="18"/>
              </w:rPr>
              <w:t>罗 炜</w:t>
            </w:r>
            <w:r>
              <w:rPr>
                <w:rFonts w:ascii="Times New Roman" w:hAnsi="Times New Roman" w:cs="Times New Roman" w:eastAsia="Times New Roman" w:hint="default"/>
                <w:sz w:val="18"/>
                <w:szCs w:val="18"/>
              </w:rPr>
              <w:t>;</w:t>
            </w:r>
            <w:r>
              <w:rPr>
                <w:rFonts w:ascii="宋体" w:hAnsi="宋体" w:cs="宋体" w:eastAsia="宋体" w:hint="default"/>
                <w:sz w:val="18"/>
                <w:szCs w:val="18"/>
              </w:rPr>
              <w:t>杨汉杰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关于利润分配政策的承诺：新晨科技股份有限 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日发布的《上市公司监管指引第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007019pt;margin-top:72.47998pt;width:55.4pt;height:173.7pt;mso-position-horizontal-relative:page;mso-position-vertical-relative:page;z-index:-888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shape style="position:absolute;margin-left:328.123993pt;margin-top:246.62999pt;width:118.25pt;height:202.85pt;mso-position-horizontal-relative:page;mso-position-vertical-relative:page;z-index:-888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关申请材料真实、</w:t>
                  </w:r>
                </w:p>
              </w:txbxContent>
            </v:textbox>
            <w10:wrap type="none"/>
          </v:shape>
        </w:pict>
      </w:r>
      <w:r>
        <w:rPr/>
        <w:pict>
          <v:group style="position:absolute;margin-left:397.269989pt;margin-top:72.47998pt;width:49.15pt;height:377pt;mso-position-horizontal-relative:page;mso-position-vertical-relative:page;z-index:-888760" coordorigin="7945,1450" coordsize="983,7540">
            <v:group style="position:absolute;left:7945;top:1450;width:983;height:3474" coordorigin="7945,1450" coordsize="983,3474">
              <v:shape style="position:absolute;left:7945;top:1450;width:983;height:3474" coordorigin="7945,1450" coordsize="983,3474" path="m7945,4923l8927,4923,8927,1450,7945,1450,7945,4923xe" filled="true" fillcolor="#ffffff" stroked="false">
                <v:path arrowok="t"/>
                <v:fill type="solid"/>
              </v:shape>
            </v:group>
            <v:group style="position:absolute;left:7945;top:4933;width:983;height:4057" coordorigin="7945,4933" coordsize="983,4057">
              <v:shape style="position:absolute;left:7945;top:4933;width:983;height:4057" coordorigin="7945,4933" coordsize="983,4057" path="m7945,8989l8927,8989,8927,4933,7945,4933,7945,8989xe" filled="true" fillcolor="#ffffff" stroked="false">
                <v:path arrowok="t"/>
                <v:fill type="solid"/>
              </v:shape>
            </v:group>
            <w10:wrap type="none"/>
          </v:group>
        </w:pict>
      </w:r>
      <w:r>
        <w:rPr/>
        <w:pict>
          <v:group style="position:absolute;margin-left:398.350006pt;margin-top:710.380005pt;width:46.95pt;height:35.2pt;mso-position-horizontal-relative:page;mso-position-vertical-relative:page;z-index:-888736" coordorigin="7967,14208" coordsize="939,704">
            <v:group style="position:absolute;left:7967;top:14208;width:939;height:353" coordorigin="7967,14208" coordsize="939,353">
              <v:shape style="position:absolute;left:7967;top:14208;width:939;height:353" coordorigin="7967,14208" coordsize="939,353" path="m7967,14560l8906,14560,8906,14208,7967,14208,7967,14560xe" filled="true" fillcolor="#ffffff" stroked="false">
                <v:path arrowok="t"/>
                <v:fill type="solid"/>
              </v:shape>
            </v:group>
            <v:group style="position:absolute;left:7967;top:14560;width:939;height:351" coordorigin="7967,14560" coordsize="939,351">
              <v:shape style="position:absolute;left:7967;top:14560;width:939;height:351" coordorigin="7967,14560" coordsize="939,351" path="m7967,14911l8906,14911,8906,14560,7967,14560,7967,149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778"/>
      </w:tblGrid>
      <w:tr>
        <w:trPr>
          <w:trHeight w:val="32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29"/>
              <w:jc w:val="left"/>
              <w:rPr>
                <w:rFonts w:ascii="宋体" w:hAnsi="宋体" w:cs="宋体" w:eastAsia="宋体" w:hint="default"/>
                <w:sz w:val="18"/>
                <w:szCs w:val="18"/>
              </w:rPr>
            </w:pPr>
            <w:r>
              <w:rPr>
                <w:rFonts w:ascii="宋体" w:hAnsi="宋体" w:cs="宋体" w:eastAsia="宋体" w:hint="default"/>
                <w:sz w:val="18"/>
                <w:szCs w:val="18"/>
              </w:rPr>
              <w:t>公司现金分红</w:t>
            </w:r>
            <w:r>
              <w:rPr>
                <w:rFonts w:ascii="宋体" w:hAnsi="宋体" w:cs="宋体" w:eastAsia="宋体" w:hint="default"/>
                <w:spacing w:val="-92"/>
                <w:sz w:val="18"/>
                <w:szCs w:val="18"/>
              </w:rPr>
              <w:t>》</w:t>
            </w:r>
            <w:r>
              <w:rPr>
                <w:rFonts w:ascii="宋体" w:hAnsi="宋体" w:cs="宋体" w:eastAsia="宋体" w:hint="default"/>
                <w:sz w:val="18"/>
                <w:szCs w:val="18"/>
              </w:rPr>
              <w:t>（中国证监会</w:t>
            </w:r>
            <w:r>
              <w:rPr>
                <w:rFonts w:ascii="宋体" w:hAnsi="宋体" w:cs="宋体" w:eastAsia="宋体" w:hint="default"/>
                <w:spacing w:val="2"/>
                <w:sz w:val="18"/>
                <w:szCs w:val="18"/>
              </w:rPr>
              <w:t>公</w:t>
            </w: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0"/>
                <w:sz w:val="18"/>
                <w:szCs w:val="18"/>
              </w:rPr>
              <w:t>对</w:t>
            </w:r>
            <w:r>
              <w:rPr>
                <w:rFonts w:ascii="宋体" w:hAnsi="宋体" w:cs="宋体" w:eastAsia="宋体" w:hint="default"/>
                <w:sz w:val="18"/>
                <w:szCs w:val="18"/>
              </w:rPr>
              <w:t>《新晨科技股份有限公司章</w:t>
            </w:r>
            <w:r>
              <w:rPr>
                <w:rFonts w:ascii="宋体" w:hAnsi="宋体" w:cs="宋体" w:eastAsia="宋体" w:hint="default"/>
                <w:spacing w:val="-20"/>
                <w:sz w:val="18"/>
                <w:szCs w:val="18"/>
              </w:rPr>
              <w:t>程</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中的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利润分配政策（包括现金分红政策）进行了修</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5"/>
                <w:sz w:val="18"/>
                <w:szCs w:val="18"/>
              </w:rPr>
              <w:t>改，并于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了《关于修订公司首次公开发行人民币普通股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股票并在创业板上市后适用的</w:t>
            </w:r>
            <w:r>
              <w:rPr>
                <w:rFonts w:ascii="Times New Roman" w:hAnsi="Times New Roman" w:cs="Times New Roman" w:eastAsia="Times New Roman" w:hint="default"/>
                <w:sz w:val="18"/>
                <w:szCs w:val="18"/>
              </w:rPr>
              <w:t>&lt;</w:t>
            </w:r>
            <w:r>
              <w:rPr>
                <w:rFonts w:ascii="宋体" w:hAnsi="宋体" w:cs="宋体" w:eastAsia="宋体" w:hint="default"/>
                <w:sz w:val="18"/>
                <w:szCs w:val="18"/>
              </w:rPr>
              <w:t>新晨科技股份</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有限公司章程（草案）</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。作为公司的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董事，本人承诺将从维护中小投资者利益的角</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度，根据《新晨科技股份有限公司章程（草案）</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中规定的利润分配政策（包括现金分红政策）</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在相关董事会上进行投票表决。</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关于回购首次公开发行股票及依法赔偿投资者</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损失的承诺：公司首次公开发行股票并在创业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板上市的《招股说明书》及相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准确、完整、及时，不存在虚假记载、误导性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陈述或重大遗漏。本公司招股说明书若有虚假</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记载、误导性陈述或者重大遗漏，对判断公司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是否符合法律规定的发行条件构成重大、实质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影响的，本公司董事会将在证券监管部门依法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对上述事实作出认定后五个工作日内，制订股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份回购方案并提交股东大会审议批准。股东大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会审议批准后三十个交易日内，公司将依法回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购首次公开发行的全部新股，回购价格为当时</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公司股票二级市场价格，且不低于公司股票首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次公开发行价格加上同期银行存款利息；若公 司股票停牌，则回购价格不低于公司股票停牌</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前一日的平均交易价格，且不低于公司股票首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次公开发行价格加上同期银行存款利息（若公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司股票有派息、送股、资本公积金转增股本等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除权、除息事项的，回购的股份包括首次公开</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发行的全部新股及其派生股份，发行价格将相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应进行除权</w:t>
            </w:r>
            <w:r>
              <w:rPr>
                <w:rFonts w:ascii="宋体" w:hAnsi="宋体" w:cs="宋体" w:eastAsia="宋体" w:hint="default"/>
                <w:spacing w:val="-32"/>
                <w:sz w:val="18"/>
                <w:szCs w:val="18"/>
              </w:rPr>
              <w:t>、</w:t>
            </w:r>
            <w:r>
              <w:rPr>
                <w:rFonts w:ascii="宋体" w:hAnsi="宋体" w:cs="宋体" w:eastAsia="宋体" w:hint="default"/>
                <w:sz w:val="18"/>
                <w:szCs w:val="18"/>
              </w:rPr>
              <w:t>除息调整</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对</w:t>
            </w:r>
            <w:r>
              <w:rPr>
                <w:rFonts w:ascii="宋体" w:hAnsi="宋体" w:cs="宋体" w:eastAsia="宋体" w:hint="default"/>
                <w:spacing w:val="2"/>
                <w:sz w:val="18"/>
                <w:szCs w:val="18"/>
              </w:rPr>
              <w:t>于</w:t>
            </w:r>
            <w:r>
              <w:rPr>
                <w:rFonts w:ascii="宋体" w:hAnsi="宋体" w:cs="宋体" w:eastAsia="宋体" w:hint="default"/>
                <w:sz w:val="18"/>
                <w:szCs w:val="18"/>
              </w:rPr>
              <w:t>首次公开发行股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票时公司股东发售的原限售股份，本公司将在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证券监管部门依法对上述事实作出认定后五个</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工作日内，要求公司实际控制人制订股份购回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方案并予以公告。本公司招股说明书若有虚假</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记载、误导性陈述或者重大遗漏，致使投资者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在证券交易中遭受损失的，本公司将依法赔偿</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投资者损失。</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关于回购首次公开发行股票及依法赔偿投资者</w:t>
            </w:r>
          </w:p>
        </w:tc>
        <w:tc>
          <w:tcPr>
            <w:tcW w:w="99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12" w:lineRule="exact"/>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149"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3" w:right="36"/>
              <w:jc w:val="left"/>
              <w:rPr>
                <w:rFonts w:ascii="宋体" w:hAnsi="宋体" w:cs="宋体" w:eastAsia="宋体" w:hint="default"/>
                <w:sz w:val="18"/>
                <w:szCs w:val="18"/>
              </w:rPr>
            </w:pPr>
            <w:r>
              <w:rPr>
                <w:rFonts w:ascii="宋体" w:hAnsi="宋体" w:cs="宋体" w:eastAsia="宋体" w:hint="default"/>
                <w:sz w:val="18"/>
                <w:szCs w:val="18"/>
              </w:rPr>
              <w:t>损失的承诺：公司首次公开发行股票并在创业 </w:t>
            </w:r>
            <w:r>
              <w:rPr>
                <w:rFonts w:ascii="宋体" w:hAnsi="宋体" w:cs="宋体" w:eastAsia="宋体" w:hint="default"/>
                <w:spacing w:val="-4"/>
                <w:sz w:val="18"/>
                <w:szCs w:val="18"/>
              </w:rPr>
              <w:t>板上市的《招股说明书》及相关申请材料真实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准确、完整、及时，不存在虚假记载、误导性</w:t>
            </w:r>
          </w:p>
        </w:tc>
        <w:tc>
          <w:tcPr>
            <w:tcW w:w="994" w:type="dxa"/>
            <w:vMerge/>
            <w:tcBorders>
              <w:left w:val="single" w:sz="9" w:space="0" w:color="FFFFFF"/>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陈述或重大遗漏。本公司招股说明书若有虚假</w:t>
            </w:r>
          </w:p>
        </w:tc>
        <w:tc>
          <w:tcPr>
            <w:tcW w:w="994" w:type="dxa"/>
            <w:vMerge/>
            <w:tcBorders>
              <w:left w:val="single" w:sz="9" w:space="0" w:color="FFFFFF"/>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778"/>
      </w:tblGrid>
      <w:tr>
        <w:trPr>
          <w:trHeight w:val="5979"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both"/>
              <w:rPr>
                <w:rFonts w:ascii="宋体" w:hAnsi="宋体" w:cs="宋体" w:eastAsia="宋体" w:hint="default"/>
                <w:sz w:val="18"/>
                <w:szCs w:val="18"/>
              </w:rPr>
            </w:pPr>
            <w:r>
              <w:rPr>
                <w:rFonts w:ascii="宋体" w:hAnsi="宋体" w:cs="宋体" w:eastAsia="宋体" w:hint="default"/>
                <w:sz w:val="18"/>
                <w:szCs w:val="18"/>
              </w:rPr>
              <w:t>记载、误导性陈述或者重大遗漏，对判断本公 司是否符合法律规定的发行条件构成重大、实 质影响的，本人将在证券监管部门依法对上述 事实作出认定后五个工作日内，制订股份购回 方案并予以公告，依法购回首次公开发行股票 时本人发售的原限售股份，购回价格为当时公 司股票二级市场价格，且不低于公司股票首次 公开发行价格加上同期银行存款利息；若公司 股票停牌，则购回价格不低于公司股票停牌前 一日的平均交易价格，且不低于公司股票首次 公开发行价格加上同期银行存款利息（若公司 股票有派息、送股、资本公积金转增股本等除 权、除息事项的，购回的股份包括原限售股份 及其派生股份，发行价格将相应进行除权、除 </w:t>
            </w:r>
            <w:r>
              <w:rPr>
                <w:rFonts w:ascii="宋体" w:hAnsi="宋体" w:cs="宋体" w:eastAsia="宋体" w:hint="default"/>
                <w:spacing w:val="-8"/>
                <w:sz w:val="18"/>
                <w:szCs w:val="18"/>
              </w:rPr>
              <w:t>息调整）。本人作为公司的实际控制人，将督促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本公司依法回购首次公开发行的全部新股。本 公司招股说明书若有虚假记载、误导性陈述或 者重大遗漏，致使投资者在证券交易中遭受损 失的，本人将依法赔偿投资者损失。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043" w:firstLine="360"/>
        <w:jc w:val="left"/>
      </w:pP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28</w:t>
      </w:r>
      <w:r>
        <w:rPr>
          <w:spacing w:val="-8"/>
        </w:rPr>
        <w:t>日，财政部印发《企业会计准则第</w:t>
      </w:r>
      <w:r>
        <w:rPr>
          <w:rFonts w:ascii="Times New Roman" w:hAnsi="Times New Roman" w:cs="Times New Roman" w:eastAsia="Times New Roman" w:hint="default"/>
          <w:spacing w:val="-8"/>
        </w:rPr>
        <w:t>42</w:t>
      </w:r>
      <w:r>
        <w:rPr>
          <w:spacing w:val="-8"/>
        </w:rPr>
        <w:t>号</w:t>
      </w:r>
      <w:r>
        <w:rPr>
          <w:rFonts w:ascii="Times New Roman" w:hAnsi="Times New Roman" w:cs="Times New Roman" w:eastAsia="Times New Roman" w:hint="default"/>
          <w:spacing w:val="-8"/>
        </w:rPr>
        <w:t>--</w:t>
      </w:r>
      <w:r>
        <w:rPr>
          <w:spacing w:val="-8"/>
        </w:rPr>
        <w:t>持有待售的非流动资产、处置组和终止经营》的通知（财会</w:t>
      </w:r>
      <w:r>
        <w:rPr>
          <w:rFonts w:ascii="Times New Roman" w:hAnsi="Times New Roman" w:cs="Times New Roman" w:eastAsia="Times New Roman" w:hint="default"/>
          <w:spacing w:val="-8"/>
        </w:rPr>
        <w:t>[2017]13</w:t>
      </w:r>
      <w:r>
        <w:rPr>
          <w:rFonts w:ascii="Times New Roman" w:hAnsi="Times New Roman" w:cs="Times New Roman" w:eastAsia="Times New Roman" w:hint="default"/>
        </w:rPr>
        <w:t> </w:t>
      </w:r>
      <w:r>
        <w:rPr>
          <w:spacing w:val="-2"/>
        </w:rPr>
        <w:t>号），自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日起施行，对于施行日存在的持有待售的非流动资产、处置组和终止经营，要求采用未来适用法处理。</w:t>
      </w:r>
      <w:r>
        <w:rPr>
          <w:spacing w:val="-61"/>
        </w:rPr>
        <w:t> </w:t>
      </w:r>
      <w:r>
        <w:rPr>
          <w:spacing w:val="-61"/>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日，财政部发布了《关于修订印发一般企业财务报表格式的通知》（财会</w:t>
      </w:r>
      <w:r>
        <w:rPr>
          <w:rFonts w:ascii="Times New Roman" w:hAnsi="Times New Roman" w:cs="Times New Roman" w:eastAsia="Times New Roman" w:hint="default"/>
        </w:rPr>
        <w:t>[2017]30</w:t>
      </w:r>
      <w:r>
        <w:rPr/>
        <w:t>号），对一般企业财务报表 </w:t>
      </w:r>
      <w:r>
        <w:rPr>
          <w:spacing w:val="-2"/>
        </w:rPr>
        <w:t>格式进行了修订，适用于</w:t>
      </w:r>
      <w:r>
        <w:rPr>
          <w:rFonts w:ascii="Times New Roman" w:hAnsi="Times New Roman" w:cs="Times New Roman" w:eastAsia="Times New Roman" w:hint="default"/>
          <w:spacing w:val="-2"/>
        </w:rPr>
        <w:t>2017</w:t>
      </w:r>
      <w:r>
        <w:rPr>
          <w:spacing w:val="-2"/>
        </w:rPr>
        <w:t>年度及以后期间的财务报表。根据上述企业会计准则及上述通知的规定和要求，公司调整了财</w:t>
      </w:r>
      <w:r>
        <w:rPr>
          <w:spacing w:val="-60"/>
        </w:rPr>
        <w:t> </w:t>
      </w:r>
      <w:r>
        <w:rPr>
          <w:spacing w:val="-60"/>
        </w:rPr>
      </w:r>
      <w:r>
        <w:rPr/>
        <w:t>务报表列表，该变更对公司财务状况、经营成果和现金流量无重大影响，不涉及以前年度的追溯调整。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 </w:t>
      </w:r>
      <w:r>
        <w:rPr>
          <w:spacing w:val="-2"/>
        </w:rPr>
        <w:t>司召开了第九届董事会第六次会议和第九届监事会第五次会议，审议通过了《关于公司</w:t>
      </w:r>
      <w:r>
        <w:rPr>
          <w:rFonts w:ascii="Times New Roman" w:hAnsi="Times New Roman" w:cs="Times New Roman" w:eastAsia="Times New Roman" w:hint="default"/>
          <w:spacing w:val="-2"/>
        </w:rPr>
        <w:t>2017</w:t>
      </w:r>
      <w:r>
        <w:rPr>
          <w:spacing w:val="-2"/>
        </w:rPr>
        <w:t>年度会计政策变更的议案》，独</w:t>
      </w:r>
      <w:r>
        <w:rPr>
          <w:spacing w:val="-64"/>
        </w:rPr>
        <w:t> </w:t>
      </w:r>
      <w:r>
        <w:rPr>
          <w:spacing w:val="-64"/>
        </w:rPr>
      </w:r>
      <w:r>
        <w:rPr>
          <w:spacing w:val="-2"/>
        </w:rPr>
        <w:t>立董事发表了同意的独立意见，具体内容详见公司于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）上刊登的《关</w:t>
      </w:r>
      <w:r>
        <w:rPr>
          <w:spacing w:val="-46"/>
        </w:rPr>
        <w:t> </w:t>
      </w:r>
      <w:r>
        <w:rPr>
          <w:spacing w:val="-46"/>
        </w:rPr>
      </w:r>
      <w:r>
        <w:rPr/>
        <w:t>于会计政策变更的公告》（</w:t>
      </w:r>
      <w:r>
        <w:rPr>
          <w:rFonts w:ascii="Times New Roman" w:hAnsi="Times New Roman" w:cs="Times New Roman" w:eastAsia="Times New Roman" w:hint="default"/>
        </w:rPr>
        <w:t>2018-026</w:t>
      </w:r>
      <w:r>
        <w:rPr/>
        <w:t>）。</w:t>
      </w:r>
    </w:p>
    <w:p>
      <w:pPr>
        <w:pStyle w:val="BodyText"/>
        <w:spacing w:line="307" w:lineRule="auto" w:before="13"/>
        <w:ind w:right="1129" w:firstLine="360"/>
        <w:jc w:val="both"/>
      </w:pPr>
      <w:r>
        <w:rPr>
          <w:rFonts w:ascii="Times New Roman" w:hAnsi="Times New Roman" w:cs="Times New Roman" w:eastAsia="Times New Roman" w:hint="default"/>
        </w:rPr>
        <w:t>2</w:t>
      </w:r>
      <w:r>
        <w:rPr/>
        <w:t>、根据《企业会计准则第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投资性房地产》、《企业会计准则第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会计政策、会计估计变更和差错更正》的相 </w:t>
      </w:r>
      <w:r>
        <w:rPr>
          <w:spacing w:val="-1"/>
        </w:rPr>
        <w:t>关规定，并结合公司实际情况，公司于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日对投资性房地产</w:t>
      </w:r>
      <w:r>
        <w:rPr>
          <w:rFonts w:ascii="Times New Roman" w:hAnsi="Times New Roman" w:cs="Times New Roman" w:eastAsia="Times New Roman" w:hint="default"/>
          <w:spacing w:val="-1"/>
        </w:rPr>
        <w:t>--</w:t>
      </w:r>
      <w:r>
        <w:rPr>
          <w:spacing w:val="-1"/>
        </w:rPr>
        <w:t>房屋及建筑物的折旧年限进行变更。本次会计估计变</w:t>
      </w:r>
      <w:r>
        <w:rPr>
          <w:spacing w:val="-58"/>
        </w:rPr>
        <w:t> </w:t>
      </w:r>
      <w:r>
        <w:rPr>
          <w:spacing w:val="-58"/>
        </w:rPr>
      </w:r>
      <w:r>
        <w:rPr>
          <w:spacing w:val="-2"/>
        </w:rPr>
        <w:t>更后，原有房产的折旧年限保持不变，仅新增房产按变更后的折旧年限执行。本次会计估计变更采用未来适用法进行会计处</w:t>
      </w:r>
      <w:r>
        <w:rPr>
          <w:spacing w:val="-62"/>
        </w:rPr>
        <w:t> </w:t>
      </w:r>
      <w:r>
        <w:rPr>
          <w:spacing w:val="-62"/>
        </w:rPr>
      </w:r>
      <w:r>
        <w:rPr>
          <w:spacing w:val="-2"/>
        </w:rPr>
        <w:t>理，不需追溯调整，不会对以前年度财务状况和经营成果产生影响，无需对已披露的财务报告进行追溯调整，不会对公司所</w:t>
      </w:r>
      <w:r>
        <w:rPr>
          <w:spacing w:val="-64"/>
        </w:rPr>
        <w:t> </w:t>
      </w:r>
      <w:r>
        <w:rPr>
          <w:spacing w:val="-64"/>
        </w:rPr>
      </w:r>
      <w:r>
        <w:rPr/>
        <w:t>有者权益、净利润等指标产生实质性影响。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日，公司召开了第九届董事会第七次会议和第九届监事会第六次会 议，审议通过了《关于公司会计估计变更的议案》，独立董事发表了同意的独立意见，具体内容详见公司于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 在巨潮资讯网（</w:t>
      </w:r>
      <w:hyperlink r:id="rId11">
        <w:r>
          <w:rPr>
            <w:rFonts w:ascii="Times New Roman" w:hAnsi="Times New Roman" w:cs="Times New Roman" w:eastAsia="Times New Roman" w:hint="default"/>
          </w:rPr>
          <w:t>http://www.cninfo.com.cn</w:t>
        </w:r>
      </w:hyperlink>
      <w:r>
        <w:rPr/>
        <w:t>）上刊登的《关于会计估计变更的公告》（</w:t>
      </w:r>
      <w:r>
        <w:rPr>
          <w:rFonts w:ascii="Times New Roman" w:hAnsi="Times New Roman" w:cs="Times New Roman" w:eastAsia="Times New Roman" w:hint="default"/>
        </w:rPr>
        <w:t>2018-037</w:t>
      </w:r>
      <w:r>
        <w:rPr/>
        <w:t>）。</w:t>
      </w:r>
    </w:p>
    <w:p>
      <w:pPr>
        <w:spacing w:line="240" w:lineRule="auto" w:before="12"/>
        <w:rPr>
          <w:rFonts w:ascii="宋体" w:hAnsi="宋体" w:cs="宋体" w:eastAsia="宋体" w:hint="default"/>
          <w:sz w:val="19"/>
          <w:szCs w:val="19"/>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133"/>
        <w:jc w:val="left"/>
      </w:pPr>
      <w:r>
        <w:rPr/>
        <w:t>（</w:t>
      </w:r>
      <w:r>
        <w:rPr>
          <w:rFonts w:ascii="Times New Roman" w:hAnsi="Times New Roman" w:cs="Times New Roman" w:eastAsia="Times New Roman" w:hint="default"/>
        </w:rPr>
        <w:t>1</w:t>
      </w:r>
      <w:r>
        <w:rPr/>
        <w:t>）本年发生的非同一控制下企业合并</w:t>
      </w:r>
    </w:p>
    <w:p>
      <w:pPr>
        <w:spacing w:line="240" w:lineRule="auto" w:before="8"/>
        <w:rPr>
          <w:rFonts w:ascii="宋体" w:hAnsi="宋体" w:cs="宋体" w:eastAsia="宋体" w:hint="default"/>
          <w:sz w:val="5"/>
          <w:szCs w:val="5"/>
        </w:rPr>
      </w:pPr>
    </w:p>
    <w:p>
      <w:pPr>
        <w:spacing w:line="2145" w:lineRule="exact"/>
        <w:ind w:left="153"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5905500" cy="13620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5905500" cy="1362075"/>
                    </a:xfrm>
                    <a:prstGeom prst="rect">
                      <a:avLst/>
                    </a:prstGeom>
                  </pic:spPr>
                </pic:pic>
              </a:graphicData>
            </a:graphic>
          </wp:inline>
        </w:drawing>
      </w:r>
      <w:r>
        <w:rPr>
          <w:rFonts w:ascii="宋体" w:hAnsi="宋体" w:cs="宋体" w:eastAsia="宋体" w:hint="default"/>
          <w:position w:val="-42"/>
          <w:sz w:val="20"/>
          <w:szCs w:val="20"/>
        </w:rPr>
      </w:r>
    </w:p>
    <w:p>
      <w:pPr>
        <w:pStyle w:val="BodyText"/>
        <w:spacing w:line="300" w:lineRule="auto" w:before="29"/>
        <w:ind w:right="0"/>
        <w:jc w:val="left"/>
      </w:pPr>
      <w:r>
        <w:rPr>
          <w:spacing w:val="-2"/>
        </w:rPr>
        <w:t>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日，公司第九届董事会第十四次会议审议通过了《关于新晨科技股份有限公司收购北京瑞得音信息技术有</w:t>
      </w:r>
      <w:r>
        <w:rPr>
          <w:spacing w:val="-61"/>
        </w:rPr>
        <w:t> </w:t>
      </w:r>
      <w:r>
        <w:rPr>
          <w:spacing w:val="-61"/>
        </w:rPr>
      </w:r>
      <w:r>
        <w:rPr>
          <w:spacing w:val="-2"/>
        </w:rPr>
        <w:t>限公司部分股权的议案》，决议以现金方式分别向薛震、杨蓓支付</w:t>
      </w:r>
      <w:r>
        <w:rPr>
          <w:rFonts w:ascii="Times New Roman" w:hAnsi="Times New Roman" w:cs="Times New Roman" w:eastAsia="Times New Roman" w:hint="default"/>
          <w:spacing w:val="-2"/>
        </w:rPr>
        <w:t>13,872</w:t>
      </w:r>
      <w:r>
        <w:rPr>
          <w:spacing w:val="-2"/>
        </w:rPr>
        <w:t>万元、</w:t>
      </w:r>
      <w:r>
        <w:rPr>
          <w:rFonts w:ascii="Times New Roman" w:hAnsi="Times New Roman" w:cs="Times New Roman" w:eastAsia="Times New Roman" w:hint="default"/>
          <w:spacing w:val="-2"/>
        </w:rPr>
        <w:t>2,448</w:t>
      </w:r>
      <w:r>
        <w:rPr>
          <w:spacing w:val="-2"/>
        </w:rPr>
        <w:t>万元，收购其持有的北京瑞得音信息技</w:t>
      </w:r>
      <w:r>
        <w:rPr>
          <w:spacing w:val="-58"/>
        </w:rPr>
        <w:t> </w:t>
      </w:r>
      <w:r>
        <w:rPr>
          <w:spacing w:val="-58"/>
        </w:rPr>
      </w:r>
      <w:r>
        <w:rPr/>
        <w:t>术有限公司</w:t>
      </w:r>
      <w:r>
        <w:rPr>
          <w:rFonts w:ascii="Times New Roman" w:hAnsi="Times New Roman" w:cs="Times New Roman" w:eastAsia="Times New Roman" w:hint="default"/>
        </w:rPr>
        <w:t>43.35%</w:t>
      </w:r>
      <w:r>
        <w:rPr/>
        <w:t>、</w:t>
      </w:r>
      <w:r>
        <w:rPr>
          <w:rFonts w:ascii="Times New Roman" w:hAnsi="Times New Roman" w:cs="Times New Roman" w:eastAsia="Times New Roman" w:hint="default"/>
        </w:rPr>
        <w:t>7.65%</w:t>
      </w:r>
      <w:r>
        <w:rPr/>
        <w:t>的股权。 </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月初按照协议约定支付了不低于</w:t>
      </w:r>
      <w:r>
        <w:rPr>
          <w:rFonts w:ascii="Times New Roman" w:hAnsi="Times New Roman" w:cs="Times New Roman" w:eastAsia="Times New Roman" w:hint="default"/>
          <w:spacing w:val="-4"/>
        </w:rPr>
        <w:t>50%</w:t>
      </w:r>
      <w:r>
        <w:rPr>
          <w:spacing w:val="-4"/>
        </w:rPr>
        <w:t>的收购款，并委派过半数董事，能够控制其经营和财务决策。公司将</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日确定为购买日。</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雷波涛、杨鸿博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90"/>
        <w:gridCol w:w="4779"/>
      </w:tblGrid>
      <w:tr>
        <w:trPr>
          <w:trHeight w:val="334" w:hRule="exact"/>
        </w:trPr>
        <w:tc>
          <w:tcPr>
            <w:tcW w:w="4790" w:type="dxa"/>
            <w:tcBorders>
              <w:top w:val="single" w:sz="6" w:space="0" w:color="000000"/>
              <w:left w:val="nil" w:sz="6" w:space="0" w:color="auto"/>
              <w:bottom w:val="single" w:sz="4" w:space="0" w:color="000000"/>
              <w:right w:val="nil" w:sz="6" w:space="0" w:color="auto"/>
            </w:tcBorders>
          </w:tcPr>
          <w:p>
            <w:pPr/>
          </w:p>
        </w:tc>
        <w:tc>
          <w:tcPr>
            <w:tcW w:w="4779" w:type="dxa"/>
            <w:tcBorders>
              <w:top w:val="single" w:sz="6" w:space="0" w:color="000000"/>
              <w:left w:val="nil" w:sz="6" w:space="0" w:color="auto"/>
              <w:bottom w:val="single" w:sz="4" w:space="0" w:color="000000"/>
              <w:right w:val="nil" w:sz="6" w:space="0" w:color="auto"/>
            </w:tcBorders>
          </w:tcPr>
          <w:p>
            <w:pP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left="112" w:right="8054"/>
        <w:jc w:val="left"/>
      </w:pPr>
      <w:r>
        <w:rPr/>
        <w:t>是否改聘会计师事务所</w:t>
      </w:r>
    </w:p>
    <w:p>
      <w:pPr>
        <w:pStyle w:val="BodyText"/>
        <w:spacing w:line="340" w:lineRule="auto" w:before="115"/>
        <w:ind w:left="112"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39"/>
        <w:ind w:left="112"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38" w:lineRule="auto" w:before="41"/>
        <w:ind w:left="112"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04" w:lineRule="auto" w:before="43"/>
        <w:ind w:left="112" w:right="1129" w:firstLine="360"/>
        <w:jc w:val="both"/>
      </w:pP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日召开第九届董事会第六次会议及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日召开</w:t>
      </w:r>
      <w:r>
        <w:rPr>
          <w:rFonts w:ascii="Times New Roman" w:hAnsi="Times New Roman" w:cs="Times New Roman" w:eastAsia="Times New Roman" w:hint="default"/>
          <w:spacing w:val="-2"/>
        </w:rPr>
        <w:t>2017</w:t>
      </w:r>
      <w:r>
        <w:rPr>
          <w:spacing w:val="-2"/>
        </w:rPr>
        <w:t>年年度股东大会，审议通过了《关于公司聘</w:t>
      </w:r>
      <w:r>
        <w:rPr/>
        <w:t> </w:t>
      </w:r>
      <w:r>
        <w:rPr>
          <w:spacing w:val="-2"/>
        </w:rPr>
        <w:t>请</w:t>
      </w:r>
      <w:r>
        <w:rPr>
          <w:rFonts w:ascii="Times New Roman" w:hAnsi="Times New Roman" w:cs="Times New Roman" w:eastAsia="Times New Roman" w:hint="default"/>
          <w:spacing w:val="-2"/>
        </w:rPr>
        <w:t>2018</w:t>
      </w:r>
      <w:r>
        <w:rPr>
          <w:spacing w:val="-2"/>
        </w:rPr>
        <w:t>年度会计师事务所的议案》。公司拟聘请瑞华会计师事务所（特殊普通合伙）担任公司</w:t>
      </w:r>
      <w:r>
        <w:rPr>
          <w:rFonts w:ascii="Times New Roman" w:hAnsi="Times New Roman" w:cs="Times New Roman" w:eastAsia="Times New Roman" w:hint="default"/>
          <w:spacing w:val="-2"/>
        </w:rPr>
        <w:t>2018</w:t>
      </w:r>
      <w:r>
        <w:rPr>
          <w:spacing w:val="-2"/>
        </w:rPr>
        <w:t>年度审计机构。公司原审</w:t>
      </w:r>
      <w:r>
        <w:rPr>
          <w:spacing w:val="-62"/>
        </w:rPr>
        <w:t> </w:t>
      </w:r>
      <w:r>
        <w:rPr>
          <w:spacing w:val="-62"/>
        </w:rPr>
      </w:r>
      <w:r>
        <w:rPr>
          <w:spacing w:val="-2"/>
        </w:rPr>
        <w:t>计机构大华会计师事务所（特殊普通合伙）与公司服务合同到期，且其审计团队已经连续多年为公司提供审计服务，为确保</w:t>
      </w:r>
      <w:r>
        <w:rPr>
          <w:spacing w:val="-65"/>
        </w:rPr>
        <w:t> </w:t>
      </w:r>
      <w:r>
        <w:rPr>
          <w:spacing w:val="-65"/>
        </w:rPr>
      </w:r>
      <w:r>
        <w:rPr>
          <w:spacing w:val="-2"/>
        </w:rPr>
        <w:t>公司审计工作的独立性与客观性，提议聘请瑞华会计师事务所（特殊普通合伙）为公司</w:t>
      </w:r>
      <w:r>
        <w:rPr>
          <w:rFonts w:ascii="Times New Roman" w:hAnsi="Times New Roman" w:cs="Times New Roman" w:eastAsia="Times New Roman" w:hint="default"/>
          <w:spacing w:val="-2"/>
        </w:rPr>
        <w:t>2018</w:t>
      </w:r>
      <w:r>
        <w:rPr>
          <w:spacing w:val="-2"/>
        </w:rPr>
        <w:t>年度审计机构，该事项符合《中</w:t>
      </w:r>
      <w:r>
        <w:rPr>
          <w:spacing w:val="-61"/>
        </w:rPr>
        <w:t> </w:t>
      </w:r>
      <w:r>
        <w:rPr>
          <w:spacing w:val="-61"/>
        </w:rPr>
      </w:r>
      <w:r>
        <w:rPr/>
        <w:t>国证监会关于上市公司聘用、更换会计师事务所（审计师事务所）有关问题的通知》的有关规定。</w:t>
      </w:r>
    </w:p>
    <w:p>
      <w:pPr>
        <w:pStyle w:val="BodyText"/>
        <w:spacing w:line="240" w:lineRule="auto" w:before="68"/>
        <w:ind w:left="112" w:right="0"/>
        <w:jc w:val="left"/>
      </w:pPr>
      <w:r>
        <w:rPr/>
        <w:t>聘请内部控制审计会计师事务所、财务顾问或保荐人情况</w:t>
      </w:r>
    </w:p>
    <w:p>
      <w:pPr>
        <w:pStyle w:val="BodyText"/>
        <w:spacing w:line="240" w:lineRule="auto" w:before="115"/>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8054"/>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1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left="112"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112"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left="112" w:right="8054"/>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112"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9"/>
        <w:rPr>
          <w:rFonts w:ascii="宋体" w:hAnsi="宋体" w:cs="宋体" w:eastAsia="宋体" w:hint="default"/>
          <w:sz w:val="19"/>
          <w:szCs w:val="19"/>
        </w:rPr>
      </w:pPr>
    </w:p>
    <w:p>
      <w:pPr>
        <w:pStyle w:val="Heading2"/>
        <w:spacing w:line="240" w:lineRule="auto"/>
        <w:ind w:left="112"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47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2017</w:t>
      </w:r>
      <w:r>
        <w:rPr/>
        <w:t>年年度股东大会审议通过了《新晨科技股份有限公司</w:t>
      </w:r>
      <w:r>
        <w:rPr>
          <w:rFonts w:ascii="Times New Roman" w:hAnsi="Times New Roman" w:cs="Times New Roman" w:eastAsia="Times New Roman" w:hint="default"/>
        </w:rPr>
        <w:t>2017</w:t>
      </w:r>
      <w:r>
        <w:rPr/>
        <w:t>年度利润分配及资本公积金转增股</w:t>
      </w:r>
    </w:p>
    <w:p>
      <w:pPr>
        <w:spacing w:after="0" w:line="240" w:lineRule="auto"/>
        <w:jc w:val="left"/>
        <w:sectPr>
          <w:pgSz w:w="11910" w:h="16840"/>
          <w:pgMar w:header="745"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300" w:lineRule="auto" w:before="44"/>
        <w:ind w:right="1128"/>
        <w:jc w:val="both"/>
      </w:pPr>
      <w:r>
        <w:rPr/>
        <w:t>本预案的议案》。公司</w:t>
      </w:r>
      <w:r>
        <w:rPr>
          <w:rFonts w:ascii="Times New Roman" w:hAnsi="Times New Roman" w:cs="Times New Roman" w:eastAsia="Times New Roman" w:hint="default"/>
        </w:rPr>
        <w:t>2017</w:t>
      </w:r>
      <w:r>
        <w:rPr/>
        <w:t>年年度权益分派方案为：以公司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91,191,500</w:t>
      </w:r>
      <w:r>
        <w:rPr/>
        <w:t>股为基数，向全体股东实施</w:t>
      </w:r>
      <w:r>
        <w:rPr>
          <w:spacing w:val="-86"/>
        </w:rPr>
        <w:t> </w:t>
      </w:r>
      <w:r>
        <w:rPr>
          <w:spacing w:val="-3"/>
        </w:rPr>
        <w:t>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0.80</w:t>
      </w:r>
      <w:r>
        <w:rPr>
          <w:spacing w:val="-3"/>
        </w:rPr>
        <w:t>元（含税），同时以资本公积金向全体股东每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股，剩余未分配利润结转至下一年度。</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日，公司</w:t>
      </w:r>
      <w:r>
        <w:rPr>
          <w:rFonts w:ascii="Times New Roman" w:hAnsi="Times New Roman" w:cs="Times New Roman" w:eastAsia="Times New Roman" w:hint="default"/>
          <w:spacing w:val="-2"/>
        </w:rPr>
        <w:t>2017</w:t>
      </w:r>
      <w:r>
        <w:rPr>
          <w:spacing w:val="-2"/>
        </w:rPr>
        <w:t>年年度权益方案实施完毕，公司</w:t>
      </w:r>
      <w:r>
        <w:rPr>
          <w:rFonts w:ascii="Times New Roman" w:hAnsi="Times New Roman" w:cs="Times New Roman" w:eastAsia="Times New Roman" w:hint="default"/>
          <w:spacing w:val="-2"/>
        </w:rPr>
        <w:t>2017</w:t>
      </w:r>
      <w:r>
        <w:rPr>
          <w:spacing w:val="-2"/>
        </w:rPr>
        <w:t>年限制性股票数量由</w:t>
      </w:r>
      <w:r>
        <w:rPr>
          <w:rFonts w:ascii="Times New Roman" w:hAnsi="Times New Roman" w:cs="Times New Roman" w:eastAsia="Times New Roman" w:hint="default"/>
          <w:spacing w:val="-2"/>
        </w:rPr>
        <w:t>1,041,500</w:t>
      </w:r>
      <w:r>
        <w:rPr>
          <w:spacing w:val="-2"/>
        </w:rPr>
        <w:t>股调整为</w:t>
      </w:r>
      <w:r>
        <w:rPr>
          <w:rFonts w:ascii="Times New Roman" w:hAnsi="Times New Roman" w:cs="Times New Roman" w:eastAsia="Times New Roman" w:hint="default"/>
          <w:spacing w:val="-2"/>
        </w:rPr>
        <w:t>1,770,550</w:t>
      </w:r>
      <w:r>
        <w:rPr>
          <w:spacing w:val="-2"/>
        </w:rPr>
        <w:t>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5"/>
        </w:rPr>
        <w:t> </w:t>
      </w:r>
      <w:r>
        <w:rPr>
          <w:spacing w:val="-2"/>
        </w:rPr>
        <w:t>日，公司第九届董事会第九次会议和第九届监事会第七次会议审议通过了《关于调整</w:t>
      </w:r>
      <w:r>
        <w:rPr>
          <w:rFonts w:ascii="Times New Roman" w:hAnsi="Times New Roman" w:cs="Times New Roman" w:eastAsia="Times New Roman" w:hint="default"/>
          <w:spacing w:val="-2"/>
        </w:rPr>
        <w:t>2017</w:t>
      </w:r>
      <w:r>
        <w:rPr>
          <w:spacing w:val="-2"/>
        </w:rPr>
        <w:t>年限制性股票激励计划股票数量及</w:t>
      </w:r>
      <w:r>
        <w:rPr>
          <w:spacing w:val="-60"/>
        </w:rPr>
        <w:t> </w:t>
      </w:r>
      <w:r>
        <w:rPr>
          <w:spacing w:val="-2"/>
        </w:rPr>
        <w:t>回购价格的议案》、《关于</w:t>
      </w:r>
      <w:r>
        <w:rPr>
          <w:rFonts w:ascii="Times New Roman" w:hAnsi="Times New Roman" w:cs="Times New Roman" w:eastAsia="Times New Roman" w:hint="default"/>
          <w:spacing w:val="-2"/>
        </w:rPr>
        <w:t>2017</w:t>
      </w:r>
      <w:r>
        <w:rPr>
          <w:spacing w:val="-2"/>
        </w:rPr>
        <w:t>年限制性股票激励计划第一个解除限售期解除限售条件成就的议案》，公司</w:t>
      </w:r>
      <w:r>
        <w:rPr>
          <w:rFonts w:ascii="Times New Roman" w:hAnsi="Times New Roman" w:cs="Times New Roman" w:eastAsia="Times New Roman" w:hint="default"/>
          <w:spacing w:val="-2"/>
        </w:rPr>
        <w:t>2017</w:t>
      </w:r>
      <w:r>
        <w:rPr>
          <w:spacing w:val="-2"/>
        </w:rPr>
        <w:t>年限制性股</w:t>
      </w:r>
      <w:r>
        <w:rPr>
          <w:spacing w:val="-59"/>
        </w:rPr>
        <w:t> </w:t>
      </w:r>
      <w:r>
        <w:rPr>
          <w:spacing w:val="-59"/>
        </w:rPr>
      </w:r>
      <w:r>
        <w:rPr/>
        <w:t>票回购价格由</w:t>
      </w:r>
      <w:r>
        <w:rPr>
          <w:rFonts w:ascii="Times New Roman" w:hAnsi="Times New Roman" w:cs="Times New Roman" w:eastAsia="Times New Roman" w:hint="default"/>
        </w:rPr>
        <w:t>23.29</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13.65</w:t>
      </w:r>
      <w:r>
        <w:rPr/>
        <w:t>元</w:t>
      </w:r>
      <w:r>
        <w:rPr>
          <w:rFonts w:ascii="Times New Roman" w:hAnsi="Times New Roman" w:cs="Times New Roman" w:eastAsia="Times New Roman" w:hint="default"/>
        </w:rPr>
        <w:t>/</w:t>
      </w:r>
      <w:r>
        <w:rPr/>
        <w:t>股。鉴于公司及激励对象的各项考核指标均已满足《新晨科技股份有限公</w:t>
      </w:r>
      <w:r>
        <w:rPr>
          <w:rFonts w:ascii="Times New Roman" w:hAnsi="Times New Roman" w:cs="Times New Roman" w:eastAsia="Times New Roman" w:hint="default"/>
        </w:rPr>
        <w:t>2017</w:t>
      </w:r>
      <w:r>
        <w:rPr/>
        <w:t>年限</w:t>
      </w:r>
      <w:r>
        <w:rPr>
          <w:spacing w:val="-14"/>
        </w:rPr>
        <w:t> </w:t>
      </w:r>
      <w:r>
        <w:rPr>
          <w:spacing w:val="-2"/>
        </w:rPr>
        <w:t>制性股票激励计划》规定的第一个解除限售期解除限售条件，根据公司</w:t>
      </w:r>
      <w:r>
        <w:rPr>
          <w:rFonts w:ascii="Times New Roman" w:hAnsi="Times New Roman" w:cs="Times New Roman" w:eastAsia="Times New Roman" w:hint="default"/>
          <w:spacing w:val="-2"/>
        </w:rPr>
        <w:t>2017</w:t>
      </w:r>
      <w:r>
        <w:rPr>
          <w:spacing w:val="-2"/>
        </w:rPr>
        <w:t>年第二次临时股东大会对董事会的授权，董事会</w:t>
      </w:r>
      <w:r>
        <w:rPr>
          <w:spacing w:val="-60"/>
        </w:rPr>
        <w:t> </w:t>
      </w:r>
      <w:r>
        <w:rPr>
          <w:spacing w:val="-60"/>
        </w:rPr>
      </w:r>
      <w:r>
        <w:rPr>
          <w:spacing w:val="-2"/>
        </w:rPr>
        <w:t>认为公司</w:t>
      </w:r>
      <w:r>
        <w:rPr>
          <w:rFonts w:ascii="Times New Roman" w:hAnsi="Times New Roman" w:cs="Times New Roman" w:eastAsia="Times New Roman" w:hint="default"/>
          <w:spacing w:val="-2"/>
        </w:rPr>
        <w:t>2017</w:t>
      </w:r>
      <w:r>
        <w:rPr>
          <w:spacing w:val="-2"/>
        </w:rPr>
        <w:t>年限制性股票激励计划第一个解除限售期解除限售条件已经成就，可以对</w:t>
      </w:r>
      <w:r>
        <w:rPr>
          <w:rFonts w:ascii="Times New Roman" w:hAnsi="Times New Roman" w:cs="Times New Roman" w:eastAsia="Times New Roman" w:hint="default"/>
          <w:spacing w:val="-2"/>
        </w:rPr>
        <w:t>61</w:t>
      </w:r>
      <w:r>
        <w:rPr>
          <w:spacing w:val="-2"/>
        </w:rPr>
        <w:t>名股权激励对象授予的限制性股票</w:t>
      </w:r>
      <w:r>
        <w:rPr>
          <w:spacing w:val="-61"/>
        </w:rPr>
        <w:t> </w:t>
      </w:r>
      <w:r>
        <w:rPr>
          <w:spacing w:val="-61"/>
        </w:rPr>
      </w:r>
      <w:r>
        <w:rPr/>
        <w:t>第一次申请解除限售，解除限售数量为</w:t>
      </w:r>
      <w:r>
        <w:rPr>
          <w:rFonts w:ascii="Times New Roman" w:hAnsi="Times New Roman" w:cs="Times New Roman" w:eastAsia="Times New Roman" w:hint="default"/>
        </w:rPr>
        <w:t>708,220</w:t>
      </w:r>
      <w:r>
        <w:rPr/>
        <w:t>股。本次限售股份可上市流通日为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日。具体内容分别详见公司在</w:t>
      </w:r>
      <w:r>
        <w:rPr>
          <w:spacing w:val="-47"/>
        </w:rPr>
        <w:t> </w:t>
      </w:r>
      <w:r>
        <w:rPr>
          <w:spacing w:val="-47"/>
        </w:rPr>
      </w:r>
      <w:r>
        <w:rPr/>
        <w:t>巨潮资讯网（</w:t>
      </w:r>
      <w:hyperlink r:id="rId11">
        <w:r>
          <w:rPr>
            <w:rFonts w:ascii="Times New Roman" w:hAnsi="Times New Roman" w:cs="Times New Roman" w:eastAsia="Times New Roman" w:hint="default"/>
          </w:rPr>
          <w:t>http://www.cninfo.com.cn</w:t>
        </w:r>
      </w:hyperlink>
      <w:r>
        <w:rPr/>
        <w:t>）上于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日刊登的《</w:t>
      </w:r>
      <w:r>
        <w:rPr>
          <w:rFonts w:ascii="Times New Roman" w:hAnsi="Times New Roman" w:cs="Times New Roman" w:eastAsia="Times New Roman" w:hint="default"/>
        </w:rPr>
        <w:t>2017</w:t>
      </w:r>
      <w:r>
        <w:rPr/>
        <w:t>年年度股东大会决议公告》（</w:t>
      </w:r>
      <w:r>
        <w:rPr>
          <w:rFonts w:ascii="Times New Roman" w:hAnsi="Times New Roman" w:cs="Times New Roman" w:eastAsia="Times New Roman" w:hint="default"/>
        </w:rPr>
        <w:t>2018-038</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日刊登的《关于调整</w:t>
      </w:r>
      <w:r>
        <w:rPr>
          <w:rFonts w:ascii="Times New Roman" w:hAnsi="Times New Roman" w:cs="Times New Roman" w:eastAsia="Times New Roman" w:hint="default"/>
        </w:rPr>
        <w:t>2017</w:t>
      </w:r>
      <w:r>
        <w:rPr/>
        <w:t>年限制性股票激励计划股票数量及回购价格的公告》（</w:t>
      </w:r>
      <w:r>
        <w:rPr>
          <w:rFonts w:ascii="Times New Roman" w:hAnsi="Times New Roman" w:cs="Times New Roman" w:eastAsia="Times New Roman" w:hint="default"/>
        </w:rPr>
        <w:t>2018-050</w:t>
      </w:r>
      <w:r>
        <w:rPr/>
        <w:t>）、《关于</w:t>
      </w:r>
      <w:r>
        <w:rPr>
          <w:rFonts w:ascii="Times New Roman" w:hAnsi="Times New Roman" w:cs="Times New Roman" w:eastAsia="Times New Roman" w:hint="default"/>
        </w:rPr>
        <w:t>2017</w:t>
      </w:r>
      <w:r>
        <w:rPr/>
        <w:t>年限制性</w:t>
      </w:r>
      <w:r>
        <w:rPr>
          <w:spacing w:val="-59"/>
        </w:rPr>
        <w:t> </w:t>
      </w:r>
      <w:r>
        <w:rPr/>
        <w:t>股票激励计划第一个解除限售期解除限售条件成就的公告》（</w:t>
      </w:r>
      <w:r>
        <w:rPr>
          <w:rFonts w:ascii="Times New Roman" w:hAnsi="Times New Roman" w:cs="Times New Roman" w:eastAsia="Times New Roman" w:hint="default"/>
        </w:rPr>
        <w:t>2018-051</w:t>
      </w:r>
      <w:r>
        <w:rPr/>
        <w:t>）及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日刊登的《关于</w:t>
      </w:r>
      <w:r>
        <w:rPr>
          <w:rFonts w:ascii="Times New Roman" w:hAnsi="Times New Roman" w:cs="Times New Roman" w:eastAsia="Times New Roman" w:hint="default"/>
        </w:rPr>
        <w:t>2017</w:t>
      </w:r>
      <w:r>
        <w:rPr/>
        <w:t>年限制性股票</w:t>
      </w:r>
      <w:r>
        <w:rPr>
          <w:spacing w:val="-63"/>
        </w:rPr>
        <w:t> </w:t>
      </w:r>
      <w:r>
        <w:rPr>
          <w:spacing w:val="-63"/>
        </w:rPr>
      </w:r>
      <w:r>
        <w:rPr/>
        <w:t>激励计划第一个解除限售期解除限售股份上市流通的提示性公告》（</w:t>
      </w:r>
      <w:r>
        <w:rPr>
          <w:rFonts w:ascii="Times New Roman" w:hAnsi="Times New Roman" w:cs="Times New Roman" w:eastAsia="Times New Roman" w:hint="default"/>
        </w:rPr>
        <w:t>2018-055</w:t>
      </w:r>
      <w:r>
        <w:rPr/>
        <w:t>）。</w:t>
      </w:r>
    </w:p>
    <w:p>
      <w:pPr>
        <w:pStyle w:val="BodyText"/>
        <w:spacing w:line="300" w:lineRule="auto" w:before="13"/>
        <w:ind w:left="513" w:right="112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公司在报告期内因实施股权激励计提的费用为</w:t>
      </w:r>
      <w:r>
        <w:rPr>
          <w:rFonts w:ascii="Times New Roman" w:hAnsi="Times New Roman" w:cs="Times New Roman" w:eastAsia="Times New Roman" w:hint="default"/>
        </w:rPr>
        <w:t>1,547,785.14</w:t>
      </w:r>
      <w:r>
        <w:rPr/>
        <w:t>元，对上市公司净利润影响金额为</w:t>
      </w:r>
      <w:r>
        <w:rPr>
          <w:rFonts w:ascii="Times New Roman" w:hAnsi="Times New Roman" w:cs="Times New Roman" w:eastAsia="Times New Roman" w:hint="default"/>
        </w:rPr>
        <w:t>1,628,772.13</w:t>
      </w:r>
      <w:r>
        <w:rPr/>
        <w:t>元。核心技术</w:t>
      </w:r>
    </w:p>
    <w:p>
      <w:pPr>
        <w:pStyle w:val="BodyText"/>
        <w:spacing w:line="240" w:lineRule="auto" w:before="13"/>
        <w:ind w:right="0"/>
        <w:jc w:val="both"/>
      </w:pPr>
      <w:r>
        <w:rPr/>
        <w:t>人员的的股权激励费用为</w:t>
      </w:r>
      <w:r>
        <w:rPr>
          <w:rFonts w:ascii="Times New Roman" w:hAnsi="Times New Roman" w:cs="Times New Roman" w:eastAsia="Times New Roman" w:hint="default"/>
        </w:rPr>
        <w:t>793,245.38</w:t>
      </w:r>
      <w:r>
        <w:rPr/>
        <w:t>元，占公司当期股权激励费用的比重为</w:t>
      </w:r>
      <w:r>
        <w:rPr>
          <w:rFonts w:ascii="Times New Roman" w:hAnsi="Times New Roman" w:cs="Times New Roman" w:eastAsia="Times New Roman" w:hint="default"/>
        </w:rPr>
        <w:t>51.25%</w:t>
      </w:r>
      <w:r>
        <w:rPr/>
        <w:t>。</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本公司作为被担保方</w:t>
      </w:r>
    </w:p>
    <w:p>
      <w:pPr>
        <w:spacing w:after="0" w:line="3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p>
      <w:pPr>
        <w:spacing w:line="2413" w:lineRule="exact"/>
        <w:ind w:left="153"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5444928" cy="1532477"/>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5444928" cy="1532477"/>
                    </a:xfrm>
                    <a:prstGeom prst="rect">
                      <a:avLst/>
                    </a:prstGeom>
                  </pic:spPr>
                </pic:pic>
              </a:graphicData>
            </a:graphic>
          </wp:inline>
        </w:drawing>
      </w:r>
      <w:r>
        <w:rPr>
          <w:rFonts w:ascii="宋体" w:hAnsi="宋体" w:cs="宋体" w:eastAsia="宋体" w:hint="default"/>
          <w:position w:val="-47"/>
          <w:sz w:val="20"/>
          <w:szCs w:val="20"/>
        </w:rPr>
      </w:r>
    </w:p>
    <w:p>
      <w:pPr>
        <w:pStyle w:val="BodyText"/>
        <w:spacing w:line="240" w:lineRule="auto" w:before="50"/>
        <w:ind w:right="1133"/>
        <w:jc w:val="left"/>
      </w:pPr>
      <w:r>
        <w:rPr/>
        <w:t>关联担保情况说明：</w:t>
      </w:r>
    </w:p>
    <w:p>
      <w:pPr>
        <w:pStyle w:val="BodyText"/>
        <w:spacing w:line="304" w:lineRule="auto" w:before="76"/>
        <w:ind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日，康路与招商银行世纪城支行签订最高额不可撤销担保书，为同日公司与招商银行世纪城支行签订的</w:t>
      </w:r>
      <w:r>
        <w:rPr/>
        <w:t> </w:t>
      </w:r>
      <w:r>
        <w:rPr>
          <w:rFonts w:ascii="Times New Roman" w:hAnsi="Times New Roman" w:cs="Times New Roman" w:eastAsia="Times New Roman" w:hint="default"/>
        </w:rPr>
        <w:t>“2017</w:t>
      </w:r>
      <w:r>
        <w:rPr/>
        <w:t>年招世授字第</w:t>
      </w:r>
      <w:r>
        <w:rPr>
          <w:rFonts w:ascii="Times New Roman" w:hAnsi="Times New Roman" w:cs="Times New Roman" w:eastAsia="Times New Roman" w:hint="default"/>
        </w:rPr>
        <w:t>015</w:t>
      </w:r>
      <w:r>
        <w:rPr/>
        <w:t>号</w:t>
      </w:r>
      <w:r>
        <w:rPr>
          <w:rFonts w:ascii="Times New Roman" w:hAnsi="Times New Roman" w:cs="Times New Roman" w:eastAsia="Times New Roman" w:hint="default"/>
        </w:rPr>
        <w:t>”</w:t>
      </w:r>
      <w:r>
        <w:rPr/>
        <w:t>《授信协议》授信期间本公司所有债务承担连带保证责任，融资额度为</w:t>
      </w:r>
      <w:r>
        <w:rPr>
          <w:rFonts w:ascii="Times New Roman" w:hAnsi="Times New Roman" w:cs="Times New Roman" w:eastAsia="Times New Roman" w:hint="default"/>
        </w:rPr>
        <w:t>6,000</w:t>
      </w:r>
      <w:r>
        <w:rPr/>
        <w:t>万元，同时原</w:t>
      </w:r>
      <w:r>
        <w:rPr>
          <w:rFonts w:ascii="Times New Roman" w:hAnsi="Times New Roman" w:cs="Times New Roman" w:eastAsia="Times New Roman" w:hint="default"/>
        </w:rPr>
        <w:t>“2016</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年招世授字</w:t>
      </w:r>
      <w:r>
        <w:rPr>
          <w:rFonts w:ascii="Times New Roman" w:hAnsi="Times New Roman" w:cs="Times New Roman" w:eastAsia="Times New Roman" w:hint="default"/>
        </w:rPr>
        <w:t>017</w:t>
      </w:r>
      <w:r>
        <w:rPr/>
        <w:t>号</w:t>
      </w:r>
      <w:r>
        <w:rPr>
          <w:rFonts w:ascii="Times New Roman" w:hAnsi="Times New Roman" w:cs="Times New Roman" w:eastAsia="Times New Roman" w:hint="default"/>
        </w:rPr>
        <w:t>”</w:t>
      </w:r>
      <w:r>
        <w:rPr/>
        <w:t>《授信协议》项下正在执行的公司流动资金借款和保函转移至</w:t>
      </w:r>
      <w:r>
        <w:rPr>
          <w:rFonts w:ascii="Times New Roman" w:hAnsi="Times New Roman" w:cs="Times New Roman" w:eastAsia="Times New Roman" w:hint="default"/>
        </w:rPr>
        <w:t>“2017</w:t>
      </w:r>
      <w:r>
        <w:rPr/>
        <w:t>年招世授字第</w:t>
      </w:r>
      <w:r>
        <w:rPr>
          <w:rFonts w:ascii="Times New Roman" w:hAnsi="Times New Roman" w:cs="Times New Roman" w:eastAsia="Times New Roman" w:hint="default"/>
        </w:rPr>
        <w:t>015</w:t>
      </w:r>
      <w:r>
        <w:rPr/>
        <w:t>号</w:t>
      </w:r>
      <w:r>
        <w:rPr>
          <w:rFonts w:ascii="Times New Roman" w:hAnsi="Times New Roman" w:cs="Times New Roman" w:eastAsia="Times New Roman" w:hint="default"/>
        </w:rPr>
        <w:t>”</w:t>
      </w:r>
      <w:r>
        <w:rPr/>
        <w:t>《授信协议》项</w:t>
      </w:r>
      <w:r>
        <w:rPr>
          <w:spacing w:val="-58"/>
        </w:rPr>
        <w:t> </w:t>
      </w:r>
      <w:r>
        <w:rPr>
          <w:spacing w:val="-58"/>
        </w:rPr>
      </w:r>
      <w:r>
        <w:rPr>
          <w:spacing w:val="-2"/>
        </w:rPr>
        <w:t>下继续执行。担保书约定在授信期届满时，银行向授信申请人提供的贷款、垫款或其他授信仍有余额时，保证人在担保书确</w:t>
      </w:r>
      <w:r>
        <w:rPr>
          <w:spacing w:val="-65"/>
        </w:rPr>
        <w:t> </w:t>
      </w:r>
      <w:r>
        <w:rPr>
          <w:spacing w:val="-65"/>
        </w:rPr>
      </w:r>
      <w:r>
        <w:rPr>
          <w:spacing w:val="-2"/>
        </w:rPr>
        <w:t>定的保证范围内承担连带清偿责任。截至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日止，本公司在招商银行北京世纪城支行银行承兑汇票和保函余额合</w:t>
      </w:r>
      <w:r>
        <w:rPr>
          <w:spacing w:val="-60"/>
        </w:rPr>
        <w:t> </w:t>
      </w:r>
      <w:r>
        <w:rPr>
          <w:spacing w:val="-60"/>
        </w:rPr>
      </w:r>
      <w:r>
        <w:rPr/>
        <w:t>计</w:t>
      </w:r>
      <w:r>
        <w:rPr>
          <w:rFonts w:ascii="Times New Roman" w:hAnsi="Times New Roman" w:cs="Times New Roman" w:eastAsia="Times New Roman" w:hint="default"/>
        </w:rPr>
        <w:t>20,483,810.00</w:t>
      </w:r>
      <w:r>
        <w:rPr/>
        <w:t>元，流动资金借款</w:t>
      </w:r>
      <w:r>
        <w:rPr>
          <w:rFonts w:ascii="Times New Roman" w:hAnsi="Times New Roman" w:cs="Times New Roman" w:eastAsia="Times New Roman" w:hint="default"/>
        </w:rPr>
        <w:t>29,816,000.13</w:t>
      </w:r>
      <w:r>
        <w:rPr/>
        <w:t>元，担保责任仍在履行。</w:t>
      </w:r>
    </w:p>
    <w:p>
      <w:pPr>
        <w:pStyle w:val="BodyText"/>
        <w:spacing w:line="300" w:lineRule="auto" w:before="9"/>
        <w:ind w:right="1128"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17</w:t>
      </w:r>
      <w:r>
        <w:rPr>
          <w:spacing w:val="-1"/>
        </w:rPr>
        <w:t>日，康路与浦发银行北京分行签订最高额保证合同，为本公司编号为</w:t>
      </w:r>
      <w:r>
        <w:rPr>
          <w:rFonts w:ascii="Times New Roman" w:hAnsi="Times New Roman" w:cs="Times New Roman" w:eastAsia="Times New Roman" w:hint="default"/>
          <w:spacing w:val="-1"/>
        </w:rPr>
        <w:t>BC2017070600001126</w:t>
      </w:r>
      <w:r>
        <w:rPr>
          <w:spacing w:val="-1"/>
        </w:rPr>
        <w:t>号《融资额度协</w:t>
      </w:r>
      <w:r>
        <w:rPr/>
        <w:t> </w:t>
      </w:r>
      <w:r>
        <w:rPr>
          <w:spacing w:val="-1"/>
        </w:rPr>
        <w:t>议》下发生的所有债务承担连带保证责任，融资额度为</w:t>
      </w:r>
      <w:r>
        <w:rPr>
          <w:rFonts w:ascii="Times New Roman" w:hAnsi="Times New Roman" w:cs="Times New Roman" w:eastAsia="Times New Roman" w:hint="default"/>
          <w:spacing w:val="-1"/>
        </w:rPr>
        <w:t>5,000</w:t>
      </w:r>
      <w:r>
        <w:rPr>
          <w:spacing w:val="-1"/>
        </w:rPr>
        <w:t>万元，同时原</w:t>
      </w:r>
      <w:r>
        <w:rPr>
          <w:rFonts w:ascii="Times New Roman" w:hAnsi="Times New Roman" w:cs="Times New Roman" w:eastAsia="Times New Roman" w:hint="default"/>
          <w:spacing w:val="-1"/>
        </w:rPr>
        <w:t>BC2016071500001661</w:t>
      </w:r>
      <w:r>
        <w:rPr>
          <w:spacing w:val="-1"/>
        </w:rPr>
        <w:t>号《融资额度协议》项下正</w:t>
      </w:r>
      <w:r>
        <w:rPr>
          <w:spacing w:val="-43"/>
        </w:rPr>
        <w:t> </w:t>
      </w:r>
      <w:r>
        <w:rPr>
          <w:spacing w:val="-43"/>
        </w:rPr>
      </w:r>
      <w:r>
        <w:rPr/>
        <w:t>在执行的公司流动资金借款和保函转移至</w:t>
      </w:r>
      <w:r>
        <w:rPr>
          <w:rFonts w:ascii="Times New Roman" w:hAnsi="Times New Roman" w:cs="Times New Roman" w:eastAsia="Times New Roman" w:hint="default"/>
        </w:rPr>
        <w:t>BC2017070600001126</w:t>
      </w:r>
      <w:r>
        <w:rPr/>
        <w:t>号《融资额度协议》项下继续执行。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日，康路与</w:t>
      </w:r>
      <w:r>
        <w:rPr>
          <w:spacing w:val="-60"/>
        </w:rPr>
        <w:t> </w:t>
      </w:r>
      <w:r>
        <w:rPr>
          <w:spacing w:val="-60"/>
        </w:rPr>
      </w:r>
      <w:r>
        <w:rPr/>
        <w:t>浦发银行北京分行签订最高额保证合同，为本公司编号为</w:t>
      </w:r>
      <w:r>
        <w:rPr>
          <w:rFonts w:ascii="Times New Roman" w:hAnsi="Times New Roman" w:cs="Times New Roman" w:eastAsia="Times New Roman" w:hint="default"/>
        </w:rPr>
        <w:t>BC2018020100001440</w:t>
      </w:r>
      <w:r>
        <w:rPr/>
        <w:t>号《融资额度协议》下发生的所有债务承担</w:t>
      </w:r>
      <w:r>
        <w:rPr>
          <w:spacing w:val="-62"/>
        </w:rPr>
        <w:t> </w:t>
      </w:r>
      <w:r>
        <w:rPr>
          <w:spacing w:val="-62"/>
        </w:rPr>
      </w:r>
      <w:r>
        <w:rPr>
          <w:spacing w:val="-1"/>
        </w:rPr>
        <w:t>连带保证责任，融资额度为</w:t>
      </w:r>
      <w:r>
        <w:rPr>
          <w:rFonts w:ascii="Times New Roman" w:hAnsi="Times New Roman" w:cs="Times New Roman" w:eastAsia="Times New Roman" w:hint="default"/>
          <w:spacing w:val="-1"/>
        </w:rPr>
        <w:t>6,000</w:t>
      </w:r>
      <w:r>
        <w:rPr>
          <w:spacing w:val="-1"/>
        </w:rPr>
        <w:t>万元，同时原</w:t>
      </w:r>
      <w:r>
        <w:rPr>
          <w:rFonts w:ascii="Times New Roman" w:hAnsi="Times New Roman" w:cs="Times New Roman" w:eastAsia="Times New Roman" w:hint="default"/>
          <w:spacing w:val="-1"/>
        </w:rPr>
        <w:t>BC2017070600001126</w:t>
      </w:r>
      <w:r>
        <w:rPr>
          <w:spacing w:val="-1"/>
        </w:rPr>
        <w:t>号《融资额度协议》项下正在执行的公司流动资金借款</w:t>
      </w:r>
      <w:r>
        <w:rPr>
          <w:spacing w:val="-43"/>
        </w:rPr>
        <w:t> </w:t>
      </w:r>
      <w:r>
        <w:rPr>
          <w:spacing w:val="-43"/>
        </w:rPr>
      </w:r>
      <w:r>
        <w:rPr/>
        <w:t>和保函转移至</w:t>
      </w:r>
      <w:r>
        <w:rPr>
          <w:rFonts w:ascii="Times New Roman" w:hAnsi="Times New Roman" w:cs="Times New Roman" w:eastAsia="Times New Roman" w:hint="default"/>
        </w:rPr>
        <w:t>BC2018020100001440</w:t>
      </w:r>
      <w:r>
        <w:rPr/>
        <w:t>号《融资额度协议》下继续执行。截至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日止，本公司在浦发银行北京分行</w:t>
      </w:r>
      <w:r>
        <w:rPr>
          <w:spacing w:val="-66"/>
        </w:rPr>
        <w:t> </w:t>
      </w:r>
      <w:r>
        <w:rPr>
          <w:spacing w:val="-66"/>
        </w:rPr>
      </w:r>
      <w:r>
        <w:rPr/>
        <w:t>银行承兑汇票和保函余额合计</w:t>
      </w:r>
      <w:r>
        <w:rPr>
          <w:rFonts w:ascii="Times New Roman" w:hAnsi="Times New Roman" w:cs="Times New Roman" w:eastAsia="Times New Roman" w:hint="default"/>
        </w:rPr>
        <w:t>3,637,400.00</w:t>
      </w:r>
      <w:r>
        <w:rPr/>
        <w:t>元，流动资金借款</w:t>
      </w:r>
      <w:r>
        <w:rPr>
          <w:rFonts w:ascii="Times New Roman" w:hAnsi="Times New Roman" w:cs="Times New Roman" w:eastAsia="Times New Roman" w:hint="default"/>
        </w:rPr>
        <w:t>50,147,242.35</w:t>
      </w:r>
      <w:r>
        <w:rPr/>
        <w:t>元。</w:t>
      </w:r>
    </w:p>
    <w:p>
      <w:pPr>
        <w:pStyle w:val="BodyText"/>
        <w:spacing w:line="240" w:lineRule="auto" w:before="13"/>
        <w:ind w:left="513" w:right="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4</w:t>
      </w:r>
      <w:r>
        <w:rPr>
          <w:spacing w:val="-3"/>
        </w:rPr>
        <w:t>日，康路与中信银行股份有限公司总行营业部签订最高额保证合同，为本公司编号为（</w:t>
      </w:r>
      <w:r>
        <w:rPr>
          <w:rFonts w:ascii="Times New Roman" w:hAnsi="Times New Roman" w:cs="Times New Roman" w:eastAsia="Times New Roman" w:hint="default"/>
          <w:spacing w:val="-3"/>
        </w:rPr>
        <w:t>2018</w:t>
      </w:r>
      <w:r>
        <w:rPr>
          <w:spacing w:val="-3"/>
        </w:rPr>
        <w:t>）信银营授字</w:t>
      </w:r>
      <w:r>
        <w:rPr>
          <w:spacing w:val="-9"/>
        </w:rPr>
        <w:t> </w:t>
      </w:r>
      <w:r>
        <w:rPr/>
        <w:t>第</w:t>
      </w:r>
    </w:p>
    <w:p>
      <w:pPr>
        <w:pStyle w:val="BodyText"/>
        <w:spacing w:line="300" w:lineRule="auto" w:before="63"/>
        <w:ind w:right="0"/>
        <w:jc w:val="left"/>
      </w:pPr>
      <w:r>
        <w:rPr>
          <w:rFonts w:ascii="Times New Roman" w:hAnsi="Times New Roman" w:cs="Times New Roman" w:eastAsia="Times New Roman" w:hint="default"/>
          <w:spacing w:val="-1"/>
        </w:rPr>
        <w:t>000085</w:t>
      </w:r>
      <w:r>
        <w:rPr>
          <w:spacing w:val="-1"/>
        </w:rPr>
        <w:t>号《综合授信合同》下发生的所有债务承担连带保证责任，融资额度为</w:t>
      </w:r>
      <w:r>
        <w:rPr>
          <w:rFonts w:ascii="Times New Roman" w:hAnsi="Times New Roman" w:cs="Times New Roman" w:eastAsia="Times New Roman" w:hint="default"/>
          <w:spacing w:val="-1"/>
        </w:rPr>
        <w:t>12,000</w:t>
      </w:r>
      <w:r>
        <w:rPr>
          <w:spacing w:val="-1"/>
        </w:rPr>
        <w:t>万元；截至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w:t>
      </w:r>
      <w:r>
        <w:rPr>
          <w:spacing w:val="-75"/>
        </w:rPr>
        <w:t> </w:t>
      </w:r>
      <w:r>
        <w:rPr>
          <w:spacing w:val="-75"/>
        </w:rPr>
      </w:r>
      <w:r>
        <w:rPr/>
        <w:t>在中信银行股份有限公司中关村支行银行承兑汇票和保函余额合计</w:t>
      </w:r>
      <w:r>
        <w:rPr>
          <w:rFonts w:ascii="Times New Roman" w:hAnsi="Times New Roman" w:cs="Times New Roman" w:eastAsia="Times New Roman" w:hint="default"/>
        </w:rPr>
        <w:t>79,553,323.80</w:t>
      </w:r>
      <w:r>
        <w:rPr/>
        <w:t>元，流动资金借款</w:t>
      </w:r>
      <w:r>
        <w:rPr>
          <w:rFonts w:ascii="Times New Roman" w:hAnsi="Times New Roman" w:cs="Times New Roman" w:eastAsia="Times New Roman" w:hint="default"/>
        </w:rPr>
        <w:t>0.00</w:t>
      </w:r>
      <w:r>
        <w:rPr/>
        <w:t>元。</w:t>
      </w:r>
    </w:p>
    <w:p>
      <w:pPr>
        <w:pStyle w:val="BodyText"/>
        <w:spacing w:line="300" w:lineRule="auto" w:before="13"/>
        <w:ind w:right="112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日，康路、叶红与华夏银行北京中关村支行签订个人最高额保证合同，本公司与华夏银行北京中关村支行签</w:t>
      </w:r>
      <w:r>
        <w:rPr/>
        <w:t> </w:t>
      </w:r>
      <w:r>
        <w:rPr>
          <w:spacing w:val="-2"/>
        </w:rPr>
        <w:t>订编号为</w:t>
      </w:r>
      <w:r>
        <w:rPr>
          <w:rFonts w:ascii="Times New Roman" w:hAnsi="Times New Roman" w:cs="Times New Roman" w:eastAsia="Times New Roman" w:hint="default"/>
          <w:spacing w:val="-2"/>
        </w:rPr>
        <w:t>YYB27</w:t>
      </w:r>
      <w:r>
        <w:rPr>
          <w:spacing w:val="-2"/>
        </w:rPr>
        <w:t>（高质）</w:t>
      </w:r>
      <w:r>
        <w:rPr>
          <w:rFonts w:ascii="Times New Roman" w:hAnsi="Times New Roman" w:cs="Times New Roman" w:eastAsia="Times New Roman" w:hint="default"/>
          <w:spacing w:val="-2"/>
        </w:rPr>
        <w:t>20180038</w:t>
      </w:r>
      <w:r>
        <w:rPr>
          <w:spacing w:val="-2"/>
        </w:rPr>
        <w:t>《最高额质押合同》，为本公司</w:t>
      </w:r>
      <w:r>
        <w:rPr>
          <w:rFonts w:ascii="Times New Roman" w:hAnsi="Times New Roman" w:cs="Times New Roman" w:eastAsia="Times New Roman" w:hint="default"/>
          <w:spacing w:val="-2"/>
        </w:rPr>
        <w:t>YYB27(</w:t>
      </w:r>
      <w:r>
        <w:rPr>
          <w:spacing w:val="-2"/>
        </w:rPr>
        <w:t>融资</w:t>
      </w:r>
      <w:r>
        <w:rPr>
          <w:rFonts w:ascii="Times New Roman" w:hAnsi="Times New Roman" w:cs="Times New Roman" w:eastAsia="Times New Roman" w:hint="default"/>
          <w:spacing w:val="-2"/>
        </w:rPr>
        <w:t>)20180060</w:t>
      </w:r>
      <w:r>
        <w:rPr>
          <w:spacing w:val="-2"/>
        </w:rPr>
        <w:t>号《最高额融资合同》下发生的所</w:t>
      </w:r>
      <w:r>
        <w:rPr>
          <w:spacing w:val="-29"/>
        </w:rPr>
        <w:t> </w:t>
      </w:r>
      <w:r>
        <w:rPr>
          <w:spacing w:val="-29"/>
        </w:rPr>
      </w:r>
      <w:r>
        <w:rPr/>
        <w:t>有债务承担连带保证责任，融资额度为</w:t>
      </w:r>
      <w:r>
        <w:rPr>
          <w:rFonts w:ascii="Times New Roman" w:hAnsi="Times New Roman" w:cs="Times New Roman" w:eastAsia="Times New Roman" w:hint="default"/>
        </w:rPr>
        <w:t>5,000</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日止，本公司在华夏银行北京中关村支行银行承兑汇</w:t>
      </w:r>
      <w:r>
        <w:rPr>
          <w:spacing w:val="-43"/>
        </w:rPr>
        <w:t> </w:t>
      </w:r>
      <w:r>
        <w:rPr>
          <w:spacing w:val="-43"/>
        </w:rPr>
      </w:r>
      <w:r>
        <w:rPr/>
        <w:t>票和保函余额合计</w:t>
      </w:r>
      <w:r>
        <w:rPr>
          <w:rFonts w:ascii="Times New Roman" w:hAnsi="Times New Roman" w:cs="Times New Roman" w:eastAsia="Times New Roman" w:hint="default"/>
        </w:rPr>
        <w:t>0.00</w:t>
      </w:r>
      <w:r>
        <w:rPr/>
        <w:t>元，流动资金借款</w:t>
      </w:r>
      <w:r>
        <w:rPr>
          <w:rFonts w:ascii="Times New Roman" w:hAnsi="Times New Roman" w:cs="Times New Roman" w:eastAsia="Times New Roman" w:hint="default"/>
        </w:rPr>
        <w:t>50,000,000.00</w:t>
      </w:r>
      <w:r>
        <w:rPr/>
        <w:t>元。</w:t>
      </w:r>
    </w:p>
    <w:p>
      <w:pPr>
        <w:spacing w:line="240" w:lineRule="auto" w:before="0"/>
        <w:rPr>
          <w:rFonts w:ascii="宋体" w:hAnsi="宋体" w:cs="宋体" w:eastAsia="宋体" w:hint="default"/>
          <w:sz w:val="18"/>
          <w:szCs w:val="18"/>
        </w:rPr>
      </w:pPr>
    </w:p>
    <w:p>
      <w:pPr>
        <w:pStyle w:val="BodyText"/>
        <w:spacing w:line="240" w:lineRule="auto" w:before="130"/>
        <w:ind w:right="1133"/>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37"/>
        <w:gridCol w:w="1985"/>
        <w:gridCol w:w="3049"/>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关于关联自然人为公司向银行申请授信提供担保的公告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2017-068</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6"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关于关联自然人为公司向银行申请授信提供担保的公告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2018-008</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关于关联自然人为公司向银行申请授信提供担保的公告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2018-043</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关于关联自然人为公司向银行申请授信提供担保的公告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2018-058</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4" w:firstLine="360"/>
        <w:jc w:val="both"/>
      </w:pPr>
      <w:r>
        <w:rPr>
          <w:spacing w:val="-2"/>
        </w:rPr>
        <w:t>公司积极履行企业应尽的义务，承担社会责任。公司在不断为股东创造价值的同时，也积极承担对员工、客户、社会等</w:t>
      </w:r>
      <w:r>
        <w:rPr/>
        <w:t> 其他利益相关者的责任。</w:t>
      </w:r>
    </w:p>
    <w:p>
      <w:pPr>
        <w:pStyle w:val="BodyText"/>
        <w:spacing w:line="316" w:lineRule="auto" w:before="19"/>
        <w:ind w:right="1132"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的要求，及时、准确、真实、完整地进行信息披露，通过投资者电话、电子邮箱、公司网站和投资者关系互动平台等多种方</w:t>
      </w:r>
      <w:r>
        <w:rPr>
          <w:spacing w:val="-70"/>
        </w:rPr>
        <w:t> </w:t>
      </w:r>
      <w:r>
        <w:rPr>
          <w:spacing w:val="-70"/>
        </w:rPr>
      </w:r>
      <w:r>
        <w:rPr/>
        <w:t>式与投资者进行沟通交流，提高了公司的透明度和诚信度。</w:t>
      </w:r>
    </w:p>
    <w:p>
      <w:pPr>
        <w:pStyle w:val="BodyText"/>
        <w:spacing w:line="316" w:lineRule="auto" w:before="19"/>
        <w:ind w:right="1128" w:firstLine="360"/>
        <w:jc w:val="both"/>
      </w:pPr>
      <w:r>
        <w:rPr>
          <w:spacing w:val="-2"/>
        </w:rPr>
        <w:t>公司一直坚持以人为本的人才理念，实施企业人才战略，严格遵守《劳动法》、《劳动合同法》等相关法律法规，尊重</w:t>
      </w:r>
      <w:r>
        <w:rPr/>
        <w:t> </w:t>
      </w:r>
      <w:r>
        <w:rPr>
          <w:spacing w:val="-2"/>
        </w:rPr>
        <w:t>和维护员工的个人权益，切实关注员工健康、安全和满意度；通过知识技能的理论培训及实践操作技能培训等方式使员工得</w:t>
      </w:r>
      <w:r>
        <w:rPr>
          <w:spacing w:val="-63"/>
        </w:rPr>
        <w:t> </w:t>
      </w:r>
      <w:r>
        <w:rPr>
          <w:spacing w:val="-63"/>
        </w:rPr>
      </w:r>
      <w:r>
        <w:rPr/>
        <w:t>到切实的提高和发展，维护员工权益。</w:t>
      </w:r>
    </w:p>
    <w:p>
      <w:pPr>
        <w:pStyle w:val="BodyText"/>
        <w:spacing w:line="316" w:lineRule="auto" w:before="19"/>
        <w:ind w:right="1130" w:firstLine="360"/>
        <w:jc w:val="both"/>
      </w:pPr>
      <w:r>
        <w:rPr>
          <w:spacing w:val="-2"/>
        </w:rPr>
        <w:t>公司始终将依法经营作为公司运行的基本原则，注重企业经济效益与社会效益的同步共赢。公司严格遵守国家法律、法</w:t>
      </w:r>
      <w:r>
        <w:rPr/>
        <w:t> 规、政策的规定，始终依法经营，依法纳税，发展就业岗位，支持地方经济的发展。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不适用</w:t>
      </w:r>
    </w:p>
    <w:p>
      <w:pPr>
        <w:pStyle w:val="BodyText"/>
        <w:spacing w:line="300" w:lineRule="auto" w:before="29"/>
        <w:ind w:right="1132" w:firstLine="360"/>
        <w:jc w:val="both"/>
      </w:pPr>
      <w:r>
        <w:rPr>
          <w:spacing w:val="-1"/>
        </w:rPr>
        <w:t>根据《北京市环境保护局办公室关于印发</w:t>
      </w:r>
      <w:r>
        <w:rPr>
          <w:rFonts w:ascii="Times New Roman" w:hAnsi="Times New Roman" w:cs="Times New Roman" w:eastAsia="Times New Roman" w:hint="default"/>
          <w:spacing w:val="-1"/>
        </w:rPr>
        <w:t>2018</w:t>
      </w:r>
      <w:r>
        <w:rPr>
          <w:spacing w:val="-1"/>
        </w:rPr>
        <w:t>年北京市重点排污单位名录的通知》（京环办</w:t>
      </w:r>
      <w:r>
        <w:rPr>
          <w:rFonts w:ascii="Times New Roman" w:hAnsi="Times New Roman" w:cs="Times New Roman" w:eastAsia="Times New Roman" w:hint="default"/>
          <w:spacing w:val="-1"/>
        </w:rPr>
        <w:t>[2018]47</w:t>
      </w:r>
      <w:r>
        <w:rPr>
          <w:spacing w:val="-1"/>
        </w:rPr>
        <w:t>号）发布的“</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t>年北京市重点排污单位名录”，公司及子公司不属于重点排污单位。</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04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日，公司召开了第九届董事会第六次会议和第九届监事会第五次会议，审议通过了《关于公司</w:t>
      </w:r>
      <w:r>
        <w:rPr>
          <w:rFonts w:ascii="Times New Roman" w:hAnsi="Times New Roman" w:cs="Times New Roman" w:eastAsia="Times New Roman" w:hint="default"/>
          <w:spacing w:val="-2"/>
        </w:rPr>
        <w:t>2017</w:t>
      </w:r>
      <w:r>
        <w:rPr>
          <w:spacing w:val="-2"/>
        </w:rPr>
        <w:t>年度</w:t>
      </w:r>
      <w:r>
        <w:rPr/>
        <w:t> </w:t>
      </w:r>
      <w:r>
        <w:rPr>
          <w:spacing w:val="-1"/>
        </w:rPr>
        <w:t>会计政策变更的议案》。</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日，财政部印发《企业会计准则第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w:t>
      </w:r>
      <w:r>
        <w:rPr>
          <w:spacing w:val="-57"/>
        </w:rPr>
        <w:t> </w:t>
      </w:r>
      <w:r>
        <w:rPr>
          <w:spacing w:val="-57"/>
        </w:rPr>
      </w:r>
      <w:r>
        <w:rPr/>
        <w:t>的通知（财会</w:t>
      </w:r>
      <w:r>
        <w:rPr>
          <w:rFonts w:ascii="Times New Roman" w:hAnsi="Times New Roman" w:cs="Times New Roman" w:eastAsia="Times New Roman" w:hint="default"/>
        </w:rPr>
        <w:t>[2017]13</w:t>
      </w:r>
      <w:r>
        <w:rPr/>
        <w:t>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日起施行，对于施行日存在的持有待售的非流动资产、处置组和终止经营，要 </w:t>
      </w:r>
      <w:r>
        <w:rPr>
          <w:spacing w:val="-5"/>
        </w:rPr>
        <w:t>求采用未来适用法处理。</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25</w:t>
      </w:r>
      <w:r>
        <w:rPr>
          <w:spacing w:val="-5"/>
        </w:rPr>
        <w:t>日，财政部发布了《关于修订印发一般企业财务报表格式的通知》（财会</w:t>
      </w:r>
      <w:r>
        <w:rPr>
          <w:rFonts w:ascii="Times New Roman" w:hAnsi="Times New Roman" w:cs="Times New Roman" w:eastAsia="Times New Roman" w:hint="default"/>
          <w:spacing w:val="-5"/>
        </w:rPr>
        <w:t>[2017]30</w:t>
      </w:r>
      <w:r>
        <w:rPr>
          <w:spacing w:val="-5"/>
        </w:rPr>
        <w:t>号），</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8"/>
        <w:jc w:val="left"/>
      </w:pPr>
      <w:r>
        <w:rPr/>
        <w:t>对一般企业财务报表格式进行了修订，适用于</w:t>
      </w:r>
      <w:r>
        <w:rPr>
          <w:rFonts w:ascii="Times New Roman" w:hAnsi="Times New Roman" w:cs="Times New Roman" w:eastAsia="Times New Roman" w:hint="default"/>
        </w:rPr>
        <w:t>2017</w:t>
      </w:r>
      <w:r>
        <w:rPr/>
        <w:t>年度及以后期间的财务报表。具体内容详见公司于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日在巨潮 资讯网（</w:t>
      </w:r>
      <w:hyperlink r:id="rId11">
        <w:r>
          <w:rPr>
            <w:rFonts w:ascii="Times New Roman" w:hAnsi="Times New Roman" w:cs="Times New Roman" w:eastAsia="Times New Roman" w:hint="default"/>
          </w:rPr>
          <w:t>http://www.cninfo.com.cn</w:t>
        </w:r>
      </w:hyperlink>
      <w:r>
        <w:rPr/>
        <w:t>）上刊登的《关于会计政策变更的公告》（</w:t>
      </w:r>
      <w:r>
        <w:rPr>
          <w:rFonts w:ascii="Times New Roman" w:hAnsi="Times New Roman" w:cs="Times New Roman" w:eastAsia="Times New Roman" w:hint="default"/>
        </w:rPr>
        <w:t>2018-026</w:t>
      </w:r>
      <w:r>
        <w:rPr/>
        <w:t>）。</w:t>
      </w:r>
    </w:p>
    <w:p>
      <w:pPr>
        <w:pStyle w:val="BodyText"/>
        <w:spacing w:line="300" w:lineRule="auto" w:before="13"/>
        <w:ind w:right="1040"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日，公司召开了第九届董事会第七次会议和第九届监事会第六次会议，审议通过了《关于公司会计估计</w:t>
      </w:r>
      <w:r>
        <w:rPr/>
        <w:t> </w:t>
      </w:r>
      <w:r>
        <w:rPr>
          <w:spacing w:val="-3"/>
        </w:rPr>
        <w:t>变更的议案》。根据《企业会计准则第</w:t>
      </w:r>
      <w:r>
        <w:rPr>
          <w:rFonts w:ascii="Times New Roman" w:hAnsi="Times New Roman" w:cs="Times New Roman" w:eastAsia="Times New Roman" w:hint="default"/>
          <w:spacing w:val="-3"/>
        </w:rPr>
        <w:t>3</w:t>
      </w:r>
      <w:r>
        <w:rPr>
          <w:spacing w:val="-3"/>
        </w:rPr>
        <w:t>号</w:t>
      </w:r>
      <w:r>
        <w:rPr>
          <w:rFonts w:ascii="Times New Roman" w:hAnsi="Times New Roman" w:cs="Times New Roman" w:eastAsia="Times New Roman" w:hint="default"/>
          <w:spacing w:val="-3"/>
        </w:rPr>
        <w:t>--</w:t>
      </w:r>
      <w:r>
        <w:rPr>
          <w:spacing w:val="-3"/>
        </w:rPr>
        <w:t>投资性房地产》、《企业会计准则第</w:t>
      </w:r>
      <w:r>
        <w:rPr>
          <w:rFonts w:ascii="Times New Roman" w:hAnsi="Times New Roman" w:cs="Times New Roman" w:eastAsia="Times New Roman" w:hint="default"/>
          <w:spacing w:val="-3"/>
        </w:rPr>
        <w:t>28</w:t>
      </w:r>
      <w:r>
        <w:rPr>
          <w:spacing w:val="-3"/>
        </w:rPr>
        <w:t>号</w:t>
      </w:r>
      <w:r>
        <w:rPr>
          <w:rFonts w:ascii="Times New Roman" w:hAnsi="Times New Roman" w:cs="Times New Roman" w:eastAsia="Times New Roman" w:hint="default"/>
          <w:spacing w:val="-3"/>
        </w:rPr>
        <w:t>--</w:t>
      </w:r>
      <w:r>
        <w:rPr>
          <w:spacing w:val="-3"/>
        </w:rPr>
        <w:t>会计政策、会计估计变更和差错更正》</w:t>
      </w:r>
      <w:r>
        <w:rPr>
          <w:spacing w:val="-59"/>
        </w:rPr>
        <w:t> </w:t>
      </w:r>
      <w:r>
        <w:rPr>
          <w:spacing w:val="-59"/>
        </w:rPr>
      </w:r>
      <w:r>
        <w:rPr/>
        <w:t>的相关规定，并结合公司实际情况，公司于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日对投资性房地产</w:t>
      </w:r>
      <w:r>
        <w:rPr>
          <w:rFonts w:ascii="Times New Roman" w:hAnsi="Times New Roman" w:cs="Times New Roman" w:eastAsia="Times New Roman" w:hint="default"/>
        </w:rPr>
        <w:t>--</w:t>
      </w:r>
      <w:r>
        <w:rPr/>
        <w:t>房屋及建筑物的折旧年限进行变更。本次会计估 计变更后，原有房产的折旧年限保持不变，仅新增房产按变更后的折旧年限执行。具体内容详见公司于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日在巨 潮资讯网（</w:t>
      </w:r>
      <w:hyperlink r:id="rId11">
        <w:r>
          <w:rPr>
            <w:rFonts w:ascii="Times New Roman" w:hAnsi="Times New Roman" w:cs="Times New Roman" w:eastAsia="Times New Roman" w:hint="default"/>
          </w:rPr>
          <w:t>http://www.cninfo.com.cn</w:t>
        </w:r>
      </w:hyperlink>
      <w:r>
        <w:rPr/>
        <w:t>）上刊登的《关于会计估计变更的公告》（</w:t>
      </w:r>
      <w:r>
        <w:rPr>
          <w:rFonts w:ascii="Times New Roman" w:hAnsi="Times New Roman" w:cs="Times New Roman" w:eastAsia="Times New Roman" w:hint="default"/>
        </w:rPr>
        <w:t>2018-037</w:t>
      </w:r>
      <w:r>
        <w:rPr/>
        <w:t>）。</w:t>
      </w:r>
    </w:p>
    <w:p>
      <w:pPr>
        <w:pStyle w:val="BodyText"/>
        <w:spacing w:line="300" w:lineRule="auto" w:before="13"/>
        <w:ind w:right="1124"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日，公司控股股东、实际控制人李福华先生办理了部分股份解除质押手续。</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日，公司控股股 东、实际控制人张燕生先生将所持有本公司的部分股份进行质押。具体内容详见公司于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日在巨潮资讯网</w:t>
      </w:r>
    </w:p>
    <w:p>
      <w:pPr>
        <w:pStyle w:val="BodyText"/>
        <w:spacing w:line="240" w:lineRule="auto" w:before="13"/>
        <w:ind w:right="1133"/>
        <w:jc w:val="left"/>
      </w:pPr>
      <w:r>
        <w:rPr/>
        <w:t>（</w:t>
      </w:r>
      <w:hyperlink r:id="rId11">
        <w:r>
          <w:rPr>
            <w:rFonts w:ascii="Times New Roman" w:hAnsi="Times New Roman" w:cs="Times New Roman" w:eastAsia="Times New Roman" w:hint="default"/>
          </w:rPr>
          <w:t>http://www.cninfo.com.cn</w:t>
        </w:r>
      </w:hyperlink>
      <w:r>
        <w:rPr/>
        <w:t>）上刊登的《控股股东、实际控制人部分股份解除质押及股份质押的公告》（</w:t>
      </w:r>
      <w:r>
        <w:rPr>
          <w:rFonts w:ascii="Times New Roman" w:hAnsi="Times New Roman" w:cs="Times New Roman" w:eastAsia="Times New Roman" w:hint="default"/>
        </w:rPr>
        <w:t>2018-060</w:t>
      </w:r>
      <w:r>
        <w:rPr/>
        <w:t>）。</w:t>
      </w:r>
    </w:p>
    <w:p>
      <w:pPr>
        <w:pStyle w:val="BodyText"/>
        <w:spacing w:line="300" w:lineRule="auto" w:before="63"/>
        <w:ind w:right="1131"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日，公司召开了第九届董事会第十四次会议和第九届监事会第十一次会议，审议通过了《关于新晨科 </w:t>
      </w:r>
      <w:r>
        <w:rPr>
          <w:spacing w:val="-1"/>
        </w:rPr>
        <w:t>技股份有限公司收购北京瑞得音信息技术有限公司部分股权的议案》，公司以银行贷款及公司自有资金人民币</w:t>
      </w:r>
      <w:r>
        <w:rPr>
          <w:rFonts w:ascii="Times New Roman" w:hAnsi="Times New Roman" w:cs="Times New Roman" w:eastAsia="Times New Roman" w:hint="default"/>
          <w:spacing w:val="-1"/>
        </w:rPr>
        <w:t>16,320</w:t>
      </w:r>
      <w:r>
        <w:rPr>
          <w:spacing w:val="-1"/>
        </w:rPr>
        <w:t>万元收</w:t>
      </w:r>
      <w:r>
        <w:rPr>
          <w:spacing w:val="-73"/>
        </w:rPr>
        <w:t> </w:t>
      </w:r>
      <w:r>
        <w:rPr>
          <w:spacing w:val="-73"/>
        </w:rPr>
      </w:r>
      <w:r>
        <w:rPr>
          <w:spacing w:val="-1"/>
        </w:rPr>
        <w:t>购薛震、杨蓓共同持有的北京瑞得音信息技术有限公司</w:t>
      </w:r>
      <w:r>
        <w:rPr>
          <w:rFonts w:ascii="Times New Roman" w:hAnsi="Times New Roman" w:cs="Times New Roman" w:eastAsia="Times New Roman" w:hint="default"/>
          <w:spacing w:val="-1"/>
        </w:rPr>
        <w:t>51%</w:t>
      </w:r>
      <w:r>
        <w:rPr>
          <w:spacing w:val="-1"/>
        </w:rPr>
        <w:t>股权，本次交易完成后北京瑞得音信息技术有限公司成为了公司</w:t>
      </w:r>
      <w:r>
        <w:rPr>
          <w:spacing w:val="-88"/>
        </w:rPr>
        <w:t> </w:t>
      </w:r>
      <w:r>
        <w:rPr>
          <w:spacing w:val="-88"/>
        </w:rPr>
      </w:r>
      <w:r>
        <w:rPr/>
        <w:t>的控股子公司。具体内容详见公司于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日在巨潮资讯网（</w:t>
      </w:r>
      <w:hyperlink r:id="rId11">
        <w:r>
          <w:rPr>
            <w:rFonts w:ascii="Times New Roman" w:hAnsi="Times New Roman" w:cs="Times New Roman" w:eastAsia="Times New Roman" w:hint="default"/>
          </w:rPr>
          <w:t>http://www.cninfo.com.cn</w:t>
        </w:r>
      </w:hyperlink>
      <w:r>
        <w:rPr/>
        <w:t>）上刊登的《关于现金收购北 京瑞得音信息技术有限公司部分股权的公告》（</w:t>
      </w:r>
      <w:r>
        <w:rPr>
          <w:rFonts w:ascii="Times New Roman" w:hAnsi="Times New Roman" w:cs="Times New Roman" w:eastAsia="Times New Roman" w:hint="default"/>
        </w:rPr>
        <w:t>2018-082</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823"/>
        <w:gridCol w:w="823"/>
        <w:gridCol w:w="548"/>
        <w:gridCol w:w="994"/>
        <w:gridCol w:w="708"/>
        <w:gridCol w:w="994"/>
        <w:gridCol w:w="991"/>
        <w:gridCol w:w="708"/>
      </w:tblGrid>
      <w:tr>
        <w:trPr>
          <w:trHeight w:val="206"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6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3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900" w:type="dxa"/>
            <w:gridSpan w:val="2"/>
            <w:vMerge/>
            <w:tcBorders>
              <w:left w:val="single" w:sz="4" w:space="0" w:color="000000"/>
              <w:bottom w:val="single" w:sz="4" w:space="0" w:color="000000"/>
              <w:right w:val="single" w:sz="4" w:space="0" w:color="000000"/>
            </w:tcBorders>
            <w:shd w:val="clear" w:color="auto" w:fill="D2D2D2"/>
          </w:tcPr>
          <w:p>
            <w:pPr/>
          </w:p>
        </w:tc>
        <w:tc>
          <w:tcPr>
            <w:tcW w:w="4067" w:type="dxa"/>
            <w:gridSpan w:val="5"/>
            <w:vMerge/>
            <w:tcBorders>
              <w:left w:val="single" w:sz="4" w:space="0" w:color="000000"/>
              <w:bottom w:val="single" w:sz="4" w:space="0" w:color="000000"/>
              <w:right w:val="single" w:sz="4" w:space="0" w:color="000000"/>
            </w:tcBorders>
            <w:shd w:val="clear" w:color="auto" w:fill="D2D2D2"/>
          </w:tcPr>
          <w:p>
            <w:pPr/>
          </w:p>
        </w:tc>
        <w:tc>
          <w:tcPr>
            <w:tcW w:w="169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54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58,559,000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40,991,300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40,116,480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98,675,480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63.65%</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58,559,000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40,991,300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40,116,480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98,675,480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63.65%</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58,559,000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40,991,300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40,116,480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98,675,480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63.65%</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32,632,500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22,842,750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23,717,570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56,350,070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36.35%</w:t>
            </w: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32,632,500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22,842,750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23,717,570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56,350,070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36.35%</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91,191,500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63,834,050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63,834,050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155,025,550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firstLine="360"/>
        <w:jc w:val="left"/>
      </w:pPr>
      <w:r>
        <w:rPr>
          <w:spacing w:val="-2"/>
        </w:rPr>
        <w:t>（</w:t>
      </w:r>
      <w:r>
        <w:rPr>
          <w:rFonts w:ascii="Times New Roman" w:hAnsi="Times New Roman" w:cs="Times New Roman" w:eastAsia="Times New Roman" w:hint="default"/>
          <w:spacing w:val="-2"/>
        </w:rPr>
        <w:t>1</w:t>
      </w:r>
      <w:r>
        <w:rPr>
          <w:spacing w:val="-2"/>
        </w:rPr>
        <w:t>）公司于报告期内实施完成了</w:t>
      </w:r>
      <w:r>
        <w:rPr>
          <w:rFonts w:ascii="Times New Roman" w:hAnsi="Times New Roman" w:cs="Times New Roman" w:eastAsia="Times New Roman" w:hint="default"/>
          <w:spacing w:val="-2"/>
        </w:rPr>
        <w:t>2017</w:t>
      </w:r>
      <w:r>
        <w:rPr>
          <w:spacing w:val="-2"/>
        </w:rPr>
        <w:t>年年度权益分派方案，以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9,119.15</w:t>
      </w:r>
      <w:r>
        <w:rPr>
          <w:spacing w:val="-2"/>
        </w:rPr>
        <w:t>万股为基数，向全体股</w:t>
      </w:r>
      <w:r>
        <w:rPr/>
        <w:t> </w:t>
      </w:r>
      <w:r>
        <w:rPr>
          <w:spacing w:val="-1"/>
        </w:rPr>
        <w:t>东实施每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0.80</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w:t>
      </w:r>
      <w:r>
        <w:rPr>
          <w:spacing w:val="-1"/>
        </w:rPr>
        <w:t>股。公司权益分派方案实施完成后，</w:t>
      </w:r>
      <w:r>
        <w:rPr>
          <w:spacing w:val="-72"/>
        </w:rPr>
        <w:t> </w:t>
      </w:r>
      <w:r>
        <w:rPr>
          <w:spacing w:val="-72"/>
        </w:rPr>
      </w:r>
      <w:r>
        <w:rPr/>
        <w:t>公司注册资本由人民币</w:t>
      </w:r>
      <w:r>
        <w:rPr>
          <w:rFonts w:ascii="Times New Roman" w:hAnsi="Times New Roman" w:cs="Times New Roman" w:eastAsia="Times New Roman" w:hint="default"/>
        </w:rPr>
        <w:t>9,119.15</w:t>
      </w:r>
      <w:r>
        <w:rPr/>
        <w:t>万元变更为人民币</w:t>
      </w:r>
      <w:r>
        <w:rPr>
          <w:rFonts w:ascii="Times New Roman" w:hAnsi="Times New Roman" w:cs="Times New Roman" w:eastAsia="Times New Roman" w:hint="default"/>
        </w:rPr>
        <w:t>15,502.555</w:t>
      </w:r>
      <w:r>
        <w:rPr/>
        <w:t>万元，总股本由</w:t>
      </w:r>
      <w:r>
        <w:rPr>
          <w:rFonts w:ascii="Times New Roman" w:hAnsi="Times New Roman" w:cs="Times New Roman" w:eastAsia="Times New Roman" w:hint="default"/>
        </w:rPr>
        <w:t>9,119.15</w:t>
      </w:r>
      <w:r>
        <w:rPr/>
        <w:t>万股增加至</w:t>
      </w:r>
      <w:r>
        <w:rPr>
          <w:rFonts w:ascii="Times New Roman" w:hAnsi="Times New Roman" w:cs="Times New Roman" w:eastAsia="Times New Roman" w:hint="default"/>
        </w:rPr>
        <w:t>15,502.555</w:t>
      </w:r>
      <w:r>
        <w:rPr/>
        <w:t>万股。</w:t>
      </w:r>
    </w:p>
    <w:p>
      <w:pPr>
        <w:pStyle w:val="BodyText"/>
        <w:spacing w:line="309" w:lineRule="auto" w:before="13"/>
        <w:ind w:right="1132" w:firstLine="360"/>
        <w:jc w:val="both"/>
      </w:pPr>
      <w:r>
        <w:rPr>
          <w:spacing w:val="-2"/>
        </w:rPr>
        <w:t>（</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日完成监事会换届选举，第八届监事会非职工代表监事李亮先生在第八届监事会任期届满后不</w:t>
      </w:r>
      <w:r>
        <w:rPr/>
        <w:t> </w:t>
      </w:r>
      <w:r>
        <w:rPr>
          <w:spacing w:val="-2"/>
        </w:rPr>
        <w:t>再担任非职工代表监事职务，也不担任公司任何职务。根据《深圳证券交易所创业板上市规则》、《深圳证券交易所创业板</w:t>
      </w:r>
      <w:r>
        <w:rPr>
          <w:spacing w:val="-69"/>
        </w:rPr>
        <w:t> </w:t>
      </w:r>
      <w:r>
        <w:rPr>
          <w:spacing w:val="-69"/>
        </w:rPr>
      </w:r>
      <w:r>
        <w:rPr>
          <w:spacing w:val="-2"/>
        </w:rPr>
        <w:t>上市公司规范运作指引》、《上市公司董事、监事和高级管理人员所持本公司股份及其变动管理规定》等相关规定及李亮先</w:t>
      </w:r>
      <w:r>
        <w:rPr>
          <w:spacing w:val="-65"/>
        </w:rPr>
        <w:t> </w:t>
      </w:r>
      <w:r>
        <w:rPr>
          <w:spacing w:val="-65"/>
        </w:rPr>
      </w:r>
      <w:r>
        <w:rPr/>
        <w:t>生关于其持有公司股份锁定的承诺，自申报离职之日起十二个月内不转让所持有的新晨科技股份。即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日止，承 诺履行完毕。</w:t>
      </w:r>
    </w:p>
    <w:p>
      <w:pPr>
        <w:pStyle w:val="BodyText"/>
        <w:spacing w:line="300" w:lineRule="auto" w:before="24"/>
        <w:ind w:right="1136" w:firstLine="360"/>
        <w:jc w:val="both"/>
      </w:pPr>
      <w:r>
        <w:rPr/>
        <w:t>（</w:t>
      </w:r>
      <w:r>
        <w:rPr>
          <w:rFonts w:ascii="Times New Roman" w:hAnsi="Times New Roman" w:cs="Times New Roman" w:eastAsia="Times New Roman" w:hint="default"/>
        </w:rPr>
        <w:t>3</w:t>
      </w:r>
      <w:r>
        <w:rPr/>
        <w:t>）报告期内，公司</w:t>
      </w:r>
      <w:r>
        <w:rPr>
          <w:rFonts w:ascii="Times New Roman" w:hAnsi="Times New Roman" w:cs="Times New Roman" w:eastAsia="Times New Roman" w:hint="default"/>
        </w:rPr>
        <w:t>2017</w:t>
      </w:r>
      <w:r>
        <w:rPr/>
        <w:t>年限制性股票激励计划第一个解除限售期解除限售条件已成就，对</w:t>
      </w:r>
      <w:r>
        <w:rPr>
          <w:rFonts w:ascii="Times New Roman" w:hAnsi="Times New Roman" w:cs="Times New Roman" w:eastAsia="Times New Roman" w:hint="default"/>
        </w:rPr>
        <w:t>61</w:t>
      </w:r>
      <w:r>
        <w:rPr/>
        <w:t>名激励对象授予的限制 性股票第一次申请解除限售，解除限售数量为</w:t>
      </w:r>
      <w:r>
        <w:rPr>
          <w:rFonts w:ascii="Times New Roman" w:hAnsi="Times New Roman" w:cs="Times New Roman" w:eastAsia="Times New Roman" w:hint="default"/>
        </w:rPr>
        <w:t>70.822</w:t>
      </w:r>
      <w:r>
        <w:rPr/>
        <w:t>万股，其中解除限售限制性股票数量</w:t>
      </w:r>
      <w:r>
        <w:rPr>
          <w:rFonts w:ascii="Times New Roman" w:hAnsi="Times New Roman" w:cs="Times New Roman" w:eastAsia="Times New Roman" w:hint="default"/>
        </w:rPr>
        <w:t>8.84</w:t>
      </w:r>
      <w:r>
        <w:rPr/>
        <w:t>万股计入高管锁定股，实际可 上市流通的股份数量为</w:t>
      </w:r>
      <w:r>
        <w:rPr>
          <w:rFonts w:ascii="Times New Roman" w:hAnsi="Times New Roman" w:cs="Times New Roman" w:eastAsia="Times New Roman" w:hint="default"/>
        </w:rPr>
        <w:t>61.982</w:t>
      </w:r>
      <w:r>
        <w:rPr/>
        <w:t>万股，本次解除限售股份的上市流通日期为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股份变动的批准情况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0"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日，公司第九届董事会第六次会议和第九届监事会第五次会议，审议通过了《关于新晨科技股份有限</w:t>
      </w:r>
      <w:r>
        <w:rPr/>
        <w:t> </w:t>
      </w:r>
      <w:r>
        <w:rPr>
          <w:spacing w:val="-2"/>
        </w:rPr>
        <w:t>公司</w:t>
      </w:r>
      <w:r>
        <w:rPr>
          <w:rFonts w:ascii="Times New Roman" w:hAnsi="Times New Roman" w:cs="Times New Roman" w:eastAsia="Times New Roman" w:hint="default"/>
          <w:spacing w:val="-2"/>
        </w:rPr>
        <w:t>2017</w:t>
      </w:r>
      <w:r>
        <w:rPr>
          <w:spacing w:val="-2"/>
        </w:rPr>
        <w:t>年度利润分配及资本公积金转增股本预案的议案》，并将次议案提交股东大会审议，公司独立董事对该事项发表了</w:t>
      </w:r>
      <w:r>
        <w:rPr>
          <w:spacing w:val="-61"/>
        </w:rPr>
        <w:t> </w:t>
      </w:r>
      <w:r>
        <w:rPr>
          <w:spacing w:val="-61"/>
        </w:rPr>
      </w:r>
      <w:r>
        <w:rPr/>
        <w:t>明确的独立意见。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2017</w:t>
      </w:r>
      <w:r>
        <w:rPr/>
        <w:t>年年度股东大会，审议通过《新晨科技股份有限公司</w:t>
      </w:r>
      <w:r>
        <w:rPr>
          <w:rFonts w:ascii="Times New Roman" w:hAnsi="Times New Roman" w:cs="Times New Roman" w:eastAsia="Times New Roman" w:hint="default"/>
        </w:rPr>
        <w:t>2017</w:t>
      </w:r>
      <w:r>
        <w:rPr/>
        <w:t>年度利润分配及 资本公积金转增股本预案》。</w:t>
      </w:r>
    </w:p>
    <w:p>
      <w:pPr>
        <w:pStyle w:val="BodyText"/>
        <w:spacing w:line="312" w:lineRule="auto" w:before="31"/>
        <w:ind w:right="113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日，公司</w:t>
      </w:r>
      <w:r>
        <w:rPr>
          <w:rFonts w:ascii="Times New Roman" w:hAnsi="Times New Roman" w:cs="Times New Roman" w:eastAsia="Times New Roman" w:hint="default"/>
          <w:spacing w:val="-2"/>
        </w:rPr>
        <w:t>2017</w:t>
      </w:r>
      <w:r>
        <w:rPr>
          <w:spacing w:val="-2"/>
        </w:rPr>
        <w:t>年第三次临时股东大会，审议通过了《关于新晨科技股份有限公司监事会换届选举的议</w:t>
      </w:r>
      <w:r>
        <w:rPr/>
        <w:t> </w:t>
      </w:r>
      <w:r>
        <w:rPr>
          <w:spacing w:val="-2"/>
        </w:rPr>
        <w:t>案》，同意选举邹琳女士、唐若梅女士为公司第九届监事会非职工代表监事，任期三年，自本次股东大会审议通过之日起生</w:t>
      </w:r>
      <w:r>
        <w:rPr>
          <w:spacing w:val="-64"/>
        </w:rPr>
        <w:t> </w:t>
      </w:r>
      <w:r>
        <w:rPr>
          <w:spacing w:val="-64"/>
        </w:rPr>
      </w:r>
      <w:r>
        <w:rPr>
          <w:spacing w:val="-2"/>
        </w:rPr>
        <w:t>效。第八届监事会非职工代表监事李亮先生在第八届监事会任期届满后不再担任非职工代表监事职务，也不担任公司任何职</w:t>
      </w:r>
      <w:r>
        <w:rPr>
          <w:spacing w:val="-64"/>
        </w:rPr>
        <w:t> </w:t>
      </w:r>
      <w:r>
        <w:rPr>
          <w:spacing w:val="-64"/>
        </w:rPr>
      </w:r>
      <w:r>
        <w:rPr/>
        <w:t>务。</w:t>
      </w:r>
    </w:p>
    <w:p>
      <w:pPr>
        <w:pStyle w:val="BodyText"/>
        <w:spacing w:line="309" w:lineRule="auto" w:before="22"/>
        <w:ind w:right="1128"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日，公司第九届董事会第九次会议和第九届监事会第七次会议，审议通过了《关于</w:t>
      </w:r>
      <w:r>
        <w:rPr>
          <w:rFonts w:ascii="Times New Roman" w:hAnsi="Times New Roman" w:cs="Times New Roman" w:eastAsia="Times New Roman" w:hint="default"/>
          <w:spacing w:val="-2"/>
        </w:rPr>
        <w:t>2017</w:t>
      </w:r>
      <w:r>
        <w:rPr>
          <w:spacing w:val="-2"/>
        </w:rPr>
        <w:t>年限制性股票</w:t>
      </w:r>
      <w:r>
        <w:rPr/>
        <w:t> </w:t>
      </w:r>
      <w:r>
        <w:rPr>
          <w:spacing w:val="-2"/>
        </w:rPr>
        <w:t>激励计划第一个解除限售期解除限售条件成就的议案》。公司独立董事发表了同意意见，认为激励对象符合解除限售的资格</w:t>
      </w:r>
      <w:r>
        <w:rPr>
          <w:spacing w:val="-66"/>
        </w:rPr>
        <w:t> </w:t>
      </w:r>
      <w:r>
        <w:rPr>
          <w:spacing w:val="-66"/>
        </w:rPr>
      </w:r>
      <w:r>
        <w:rPr/>
        <w:t>条件，其作为本次可解除限售的激励对象主体资格合法、有效，不存在损害公司及全体股东利益的情形。</w:t>
      </w:r>
    </w:p>
    <w:p>
      <w:pPr>
        <w:pStyle w:val="BodyText"/>
        <w:spacing w:line="240" w:lineRule="auto" w:before="65"/>
        <w:ind w:right="1133"/>
        <w:jc w:val="left"/>
      </w:pPr>
      <w:r>
        <w:rPr/>
        <w:t>股份变动的过户情况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6" w:firstLine="36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日，公司收到中国证券登记结算有限责任公司深圳分公司《</w:t>
      </w:r>
      <w:r>
        <w:rPr>
          <w:rFonts w:ascii="Times New Roman" w:hAnsi="Times New Roman" w:cs="Times New Roman" w:eastAsia="Times New Roman" w:hint="default"/>
          <w:spacing w:val="-1"/>
        </w:rPr>
        <w:t>A</w:t>
      </w:r>
      <w:r>
        <w:rPr>
          <w:spacing w:val="-1"/>
        </w:rPr>
        <w:t>股权益分派结果反馈表》，公司</w:t>
      </w:r>
      <w:r>
        <w:rPr>
          <w:rFonts w:ascii="Times New Roman" w:hAnsi="Times New Roman" w:cs="Times New Roman" w:eastAsia="Times New Roman" w:hint="default"/>
          <w:spacing w:val="-1"/>
        </w:rPr>
        <w:t>2017</w:t>
      </w:r>
      <w:r>
        <w:rPr>
          <w:spacing w:val="-1"/>
        </w:rPr>
        <w:t>年</w:t>
      </w:r>
      <w:r>
        <w:rPr/>
        <w:t> 年度权益分派完成，本次送转股股份及现金红利到账日为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p>
    <w:p>
      <w:pPr>
        <w:pStyle w:val="BodyText"/>
        <w:spacing w:line="300" w:lineRule="auto" w:before="13"/>
        <w:ind w:right="1136" w:firstLine="360"/>
        <w:jc w:val="both"/>
      </w:pPr>
      <w:r>
        <w:rPr/>
        <w:t>（</w:t>
      </w:r>
      <w:r>
        <w:rPr>
          <w:rFonts w:ascii="Times New Roman" w:hAnsi="Times New Roman" w:cs="Times New Roman" w:eastAsia="Times New Roman" w:hint="default"/>
        </w:rPr>
        <w:t>2</w:t>
      </w:r>
      <w:r>
        <w:rPr/>
        <w:t>）报告期内，公司</w:t>
      </w:r>
      <w:r>
        <w:rPr>
          <w:rFonts w:ascii="Times New Roman" w:hAnsi="Times New Roman" w:cs="Times New Roman" w:eastAsia="Times New Roman" w:hint="default"/>
        </w:rPr>
        <w:t>2017</w:t>
      </w:r>
      <w:r>
        <w:rPr/>
        <w:t>年限制性股票激励计划第一个解除限售期解除限售条件已成就，对</w:t>
      </w:r>
      <w:r>
        <w:rPr>
          <w:rFonts w:ascii="Times New Roman" w:hAnsi="Times New Roman" w:cs="Times New Roman" w:eastAsia="Times New Roman" w:hint="default"/>
        </w:rPr>
        <w:t>61</w:t>
      </w:r>
      <w:r>
        <w:rPr/>
        <w:t>名激励对象授予的限制 性股票第一次申请解除限售，解除限售数量为</w:t>
      </w:r>
      <w:r>
        <w:rPr>
          <w:rFonts w:ascii="Times New Roman" w:hAnsi="Times New Roman" w:cs="Times New Roman" w:eastAsia="Times New Roman" w:hint="default"/>
        </w:rPr>
        <w:t>70.822</w:t>
      </w:r>
      <w:r>
        <w:rPr/>
        <w:t>万股，其中解除限售限制性股票数量</w:t>
      </w:r>
      <w:r>
        <w:rPr>
          <w:rFonts w:ascii="Times New Roman" w:hAnsi="Times New Roman" w:cs="Times New Roman" w:eastAsia="Times New Roman" w:hint="default"/>
        </w:rPr>
        <w:t>8.84</w:t>
      </w:r>
      <w:r>
        <w:rPr/>
        <w:t>万股计入高管锁定股，实际可 上市流通的股份数量为</w:t>
      </w:r>
      <w:r>
        <w:rPr>
          <w:rFonts w:ascii="Times New Roman" w:hAnsi="Times New Roman" w:cs="Times New Roman" w:eastAsia="Times New Roman" w:hint="default"/>
        </w:rPr>
        <w:t>61.982</w:t>
      </w:r>
      <w:r>
        <w:rPr/>
        <w:t>万股，本次解除限售股份的上市流通日期为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p>
    <w:p>
      <w:pPr>
        <w:pStyle w:val="BodyText"/>
        <w:spacing w:line="240" w:lineRule="auto" w:before="53"/>
        <w:ind w:right="1133"/>
        <w:jc w:val="left"/>
      </w:pPr>
      <w:r>
        <w:rPr/>
        <w:t>股份回购的实施进展情况</w:t>
      </w:r>
    </w:p>
    <w:p>
      <w:pPr>
        <w:pStyle w:val="BodyText"/>
        <w:spacing w:line="338" w:lineRule="auto" w:before="117"/>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3"/>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left="513" w:right="10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w:t>
      </w:r>
      <w:r>
        <w:rPr>
          <w:rFonts w:ascii="Times New Roman" w:hAnsi="Times New Roman" w:cs="Times New Roman" w:eastAsia="Times New Roman" w:hint="default"/>
          <w:spacing w:val="-2"/>
        </w:rPr>
        <w:t>2017</w:t>
      </w:r>
      <w:r>
        <w:rPr>
          <w:spacing w:val="-2"/>
        </w:rPr>
        <w:t>年度利润分配及资本公积金转增股本方案实施后，公司的总股本由</w:t>
      </w:r>
      <w:r>
        <w:rPr>
          <w:rFonts w:ascii="Times New Roman" w:hAnsi="Times New Roman" w:cs="Times New Roman" w:eastAsia="Times New Roman" w:hint="default"/>
          <w:spacing w:val="-2"/>
        </w:rPr>
        <w:t>91,191,500</w:t>
      </w:r>
      <w:r>
        <w:rPr>
          <w:spacing w:val="-2"/>
        </w:rPr>
        <w:t>股增至</w:t>
      </w:r>
      <w:r>
        <w:rPr>
          <w:rFonts w:ascii="Times New Roman" w:hAnsi="Times New Roman" w:cs="Times New Roman" w:eastAsia="Times New Roman" w:hint="default"/>
          <w:spacing w:val="-2"/>
        </w:rPr>
        <w:t>155,025,550</w:t>
      </w:r>
      <w:r>
        <w:rPr>
          <w:spacing w:val="-2"/>
        </w:rPr>
        <w:t>股。</w:t>
      </w:r>
    </w:p>
    <w:p>
      <w:pPr>
        <w:pStyle w:val="BodyText"/>
        <w:spacing w:line="215" w:lineRule="exact"/>
        <w:ind w:right="1133"/>
        <w:jc w:val="left"/>
      </w:pPr>
      <w:r>
        <w:rPr/>
        <w:t>本次变动对最近一年和最近一期基本每股收益和稀释每股收益、归属于公司普通股股东的每股净资产等财务指标的影响如</w:t>
      </w:r>
    </w:p>
    <w:p>
      <w:pPr>
        <w:pStyle w:val="BodyText"/>
        <w:spacing w:line="240" w:lineRule="auto" w:before="76"/>
        <w:ind w:right="1133"/>
        <w:jc w:val="left"/>
      </w:pPr>
      <w:r>
        <w:rPr/>
        <w:t>下：</w:t>
      </w:r>
    </w:p>
    <w:p>
      <w:pPr>
        <w:pStyle w:val="BodyText"/>
        <w:spacing w:line="240" w:lineRule="auto" w:before="76"/>
        <w:ind w:left="513" w:right="1133"/>
        <w:jc w:val="left"/>
      </w:pPr>
      <w:r>
        <w:rPr>
          <w:rFonts w:ascii="Times New Roman" w:hAnsi="Times New Roman" w:cs="Times New Roman" w:eastAsia="Times New Roman" w:hint="default"/>
        </w:rPr>
        <w:t>2017</w:t>
      </w:r>
      <w:r>
        <w:rPr/>
        <w:t>年，基本每股收益</w:t>
      </w:r>
      <w:r>
        <w:rPr>
          <w:rFonts w:ascii="Times New Roman" w:hAnsi="Times New Roman" w:cs="Times New Roman" w:eastAsia="Times New Roman" w:hint="default"/>
        </w:rPr>
        <w:t>0.23</w:t>
      </w:r>
      <w:r>
        <w:rPr/>
        <w:t>元，稀释每股收益</w:t>
      </w:r>
      <w:r>
        <w:rPr>
          <w:rFonts w:ascii="Times New Roman" w:hAnsi="Times New Roman" w:cs="Times New Roman" w:eastAsia="Times New Roman" w:hint="default"/>
        </w:rPr>
        <w:t>0.23</w:t>
      </w:r>
      <w:r>
        <w:rPr/>
        <w:t>元，</w:t>
      </w:r>
      <w:r>
        <w:rPr>
          <w:rFonts w:ascii="Times New Roman" w:hAnsi="Times New Roman" w:cs="Times New Roman" w:eastAsia="Times New Roman" w:hint="default"/>
        </w:rPr>
        <w:t>2017</w:t>
      </w:r>
      <w:r>
        <w:rPr/>
        <w:t>年末归属于公司普通股股东的每股净资产</w:t>
      </w:r>
      <w:r>
        <w:rPr>
          <w:rFonts w:ascii="Times New Roman" w:hAnsi="Times New Roman" w:cs="Times New Roman" w:eastAsia="Times New Roman" w:hint="default"/>
        </w:rPr>
        <w:t>6.53</w:t>
      </w:r>
      <w:r>
        <w:rPr/>
        <w:t>元；</w:t>
      </w:r>
    </w:p>
    <w:p>
      <w:pPr>
        <w:pStyle w:val="BodyText"/>
        <w:spacing w:line="300" w:lineRule="auto" w:before="63"/>
        <w:ind w:right="1133" w:firstLine="360"/>
        <w:jc w:val="left"/>
      </w:pPr>
      <w:r>
        <w:rPr>
          <w:rFonts w:ascii="Times New Roman" w:hAnsi="Times New Roman" w:cs="Times New Roman" w:eastAsia="Times New Roman" w:hint="default"/>
          <w:spacing w:val="-1"/>
        </w:rPr>
        <w:t>2018</w:t>
      </w:r>
      <w:r>
        <w:rPr>
          <w:spacing w:val="-1"/>
        </w:rPr>
        <w:t>年，基本每股收益</w:t>
      </w:r>
      <w:r>
        <w:rPr>
          <w:rFonts w:ascii="Times New Roman" w:hAnsi="Times New Roman" w:cs="Times New Roman" w:eastAsia="Times New Roman" w:hint="default"/>
          <w:spacing w:val="-1"/>
        </w:rPr>
        <w:t>0.25</w:t>
      </w:r>
      <w:r>
        <w:rPr>
          <w:spacing w:val="-1"/>
        </w:rPr>
        <w:t>元，比上年同期上升</w:t>
      </w:r>
      <w:r>
        <w:rPr>
          <w:rFonts w:ascii="Times New Roman" w:hAnsi="Times New Roman" w:cs="Times New Roman" w:eastAsia="Times New Roman" w:hint="default"/>
          <w:spacing w:val="-1"/>
        </w:rPr>
        <w:t>8.70%</w:t>
      </w:r>
      <w:r>
        <w:rPr>
          <w:spacing w:val="-1"/>
        </w:rPr>
        <w:t>，稀释每股收益</w:t>
      </w:r>
      <w:r>
        <w:rPr>
          <w:rFonts w:ascii="Times New Roman" w:hAnsi="Times New Roman" w:cs="Times New Roman" w:eastAsia="Times New Roman" w:hint="default"/>
          <w:spacing w:val="-1"/>
        </w:rPr>
        <w:t>0.25</w:t>
      </w:r>
      <w:r>
        <w:rPr>
          <w:spacing w:val="-1"/>
        </w:rPr>
        <w:t>元，比上年同期上升</w:t>
      </w:r>
      <w:r>
        <w:rPr>
          <w:rFonts w:ascii="Times New Roman" w:hAnsi="Times New Roman" w:cs="Times New Roman" w:eastAsia="Times New Roman" w:hint="default"/>
          <w:spacing w:val="-1"/>
        </w:rPr>
        <w:t>8.70%</w:t>
      </w:r>
      <w:r>
        <w:rPr>
          <w:spacing w:val="-1"/>
        </w:rPr>
        <w:t>；</w:t>
      </w:r>
      <w:r>
        <w:rPr>
          <w:rFonts w:ascii="Times New Roman" w:hAnsi="Times New Roman" w:cs="Times New Roman" w:eastAsia="Times New Roman" w:hint="default"/>
          <w:spacing w:val="-1"/>
        </w:rPr>
        <w:t>2018</w:t>
      </w:r>
      <w:r>
        <w:rPr>
          <w:spacing w:val="-1"/>
        </w:rPr>
        <w:t>年末归属于</w:t>
      </w:r>
      <w:r>
        <w:rPr/>
        <w:t> 公司普通股股东的每股净资产</w:t>
      </w:r>
      <w:r>
        <w:rPr>
          <w:rFonts w:ascii="Times New Roman" w:hAnsi="Times New Roman" w:cs="Times New Roman" w:eastAsia="Times New Roman" w:hint="default"/>
        </w:rPr>
        <w:t>4.11</w:t>
      </w:r>
      <w:r>
        <w:rPr/>
        <w:t>元，比上年同期下降</w:t>
      </w:r>
      <w:r>
        <w:rPr>
          <w:rFonts w:ascii="Times New Roman" w:hAnsi="Times New Roman" w:cs="Times New Roman" w:eastAsia="Times New Roman" w:hint="default"/>
        </w:rPr>
        <w:t>37.06%</w:t>
      </w:r>
      <w:r>
        <w:rPr/>
        <w:t>。</w:t>
      </w:r>
    </w:p>
    <w:p>
      <w:pPr>
        <w:pStyle w:val="BodyText"/>
        <w:spacing w:line="240" w:lineRule="auto" w:before="53"/>
        <w:ind w:right="1133"/>
        <w:jc w:val="left"/>
      </w:pPr>
      <w:r>
        <w:rPr/>
        <w:t>公司认为必要或证券监管机构要求披露的其他内容</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1561"/>
        <w:gridCol w:w="1500"/>
        <w:gridCol w:w="1193"/>
        <w:gridCol w:w="1277"/>
        <w:gridCol w:w="1630"/>
      </w:tblGrid>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67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13,150,000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9,205,000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 本人所持公司股份</w:t>
            </w:r>
          </w:p>
        </w:tc>
      </w:tr>
    </w:tbl>
    <w:p>
      <w:pPr>
        <w:spacing w:after="0" w:line="29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1561"/>
        <w:gridCol w:w="1500"/>
        <w:gridCol w:w="1193"/>
        <w:gridCol w:w="1277"/>
        <w:gridCol w:w="1630"/>
      </w:tblGrid>
      <w:tr>
        <w:trPr>
          <w:trHeight w:val="192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锁定期届满后两年 </w:t>
            </w:r>
            <w:r>
              <w:rPr>
                <w:rFonts w:ascii="宋体" w:hAnsi="宋体" w:cs="宋体" w:eastAsia="宋体" w:hint="default"/>
                <w:spacing w:val="-6"/>
                <w:sz w:val="18"/>
                <w:szCs w:val="18"/>
              </w:rPr>
              <w:t>内，每年减持数量不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超过上一年末所持 股份数量的</w:t>
            </w:r>
            <w:r>
              <w:rPr>
                <w:rFonts w:ascii="宋体" w:hAnsi="宋体" w:cs="宋体" w:eastAsia="宋体" w:hint="default"/>
                <w:spacing w:val="-45"/>
                <w:sz w:val="18"/>
                <w:szCs w:val="18"/>
              </w:rPr>
              <w:t> </w:t>
            </w:r>
            <w:r>
              <w:rPr>
                <w:rFonts w:ascii="Times New Roman" w:hAnsi="Times New Roman" w:cs="Times New Roman" w:eastAsia="Times New Roman" w:hint="default"/>
                <w:spacing w:val="-24"/>
                <w:sz w:val="18"/>
                <w:szCs w:val="18"/>
              </w:rPr>
              <w:t>20%</w:t>
            </w:r>
            <w:r>
              <w:rPr>
                <w:rFonts w:ascii="宋体" w:hAnsi="宋体" w:cs="宋体" w:eastAsia="宋体" w:hint="default"/>
                <w:spacing w:val="-24"/>
                <w:sz w:val="18"/>
                <w:szCs w:val="18"/>
              </w:rPr>
              <w:t>，减</w:t>
            </w:r>
            <w:r>
              <w:rPr>
                <w:rFonts w:ascii="宋体" w:hAnsi="宋体" w:cs="宋体" w:eastAsia="宋体" w:hint="default"/>
                <w:spacing w:val="-60"/>
                <w:sz w:val="18"/>
                <w:szCs w:val="18"/>
              </w:rPr>
              <w:t> </w:t>
            </w:r>
            <w:r>
              <w:rPr>
                <w:rFonts w:ascii="宋体" w:hAnsi="宋体" w:cs="宋体" w:eastAsia="宋体" w:hint="default"/>
                <w:sz w:val="18"/>
                <w:szCs w:val="18"/>
              </w:rPr>
              <w:t>持价格不低于发行</w:t>
            </w:r>
            <w:r>
              <w:rPr>
                <w:rFonts w:ascii="宋体" w:hAnsi="宋体" w:cs="宋体" w:eastAsia="宋体" w:hint="default"/>
                <w:sz w:val="18"/>
                <w:szCs w:val="18"/>
              </w:rPr>
              <w:t> 价。</w:t>
            </w:r>
          </w:p>
        </w:tc>
      </w:tr>
      <w:tr>
        <w:trPr>
          <w:trHeight w:val="258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11,850,000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8,295,000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20,145,000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 本人所持公司股份 锁定期届满后两年 </w:t>
            </w:r>
            <w:r>
              <w:rPr>
                <w:rFonts w:ascii="宋体" w:hAnsi="宋体" w:cs="宋体" w:eastAsia="宋体" w:hint="default"/>
                <w:spacing w:val="-6"/>
                <w:sz w:val="18"/>
                <w:szCs w:val="18"/>
              </w:rPr>
              <w:t>内，每年减持数量不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超过上一年末所持 股份数量的</w:t>
            </w:r>
            <w:r>
              <w:rPr>
                <w:rFonts w:ascii="宋体" w:hAnsi="宋体" w:cs="宋体" w:eastAsia="宋体" w:hint="default"/>
                <w:spacing w:val="-45"/>
                <w:sz w:val="18"/>
                <w:szCs w:val="18"/>
              </w:rPr>
              <w:t> </w:t>
            </w:r>
            <w:r>
              <w:rPr>
                <w:rFonts w:ascii="Times New Roman" w:hAnsi="Times New Roman" w:cs="Times New Roman" w:eastAsia="Times New Roman" w:hint="default"/>
                <w:spacing w:val="-24"/>
                <w:sz w:val="18"/>
                <w:szCs w:val="18"/>
              </w:rPr>
              <w:t>20%</w:t>
            </w:r>
            <w:r>
              <w:rPr>
                <w:rFonts w:ascii="宋体" w:hAnsi="宋体" w:cs="宋体" w:eastAsia="宋体" w:hint="default"/>
                <w:spacing w:val="-24"/>
                <w:sz w:val="18"/>
                <w:szCs w:val="18"/>
              </w:rPr>
              <w:t>，减</w:t>
            </w:r>
            <w:r>
              <w:rPr>
                <w:rFonts w:ascii="宋体" w:hAnsi="宋体" w:cs="宋体" w:eastAsia="宋体" w:hint="default"/>
                <w:spacing w:val="-60"/>
                <w:sz w:val="18"/>
                <w:szCs w:val="18"/>
              </w:rPr>
              <w:t> </w:t>
            </w:r>
            <w:r>
              <w:rPr>
                <w:rFonts w:ascii="宋体" w:hAnsi="宋体" w:cs="宋体" w:eastAsia="宋体" w:hint="default"/>
                <w:sz w:val="18"/>
                <w:szCs w:val="18"/>
              </w:rPr>
              <w:t>持价格不低于发行</w:t>
            </w:r>
            <w:r>
              <w:rPr>
                <w:rFonts w:ascii="宋体" w:hAnsi="宋体" w:cs="宋体" w:eastAsia="宋体" w:hint="default"/>
                <w:sz w:val="18"/>
                <w:szCs w:val="18"/>
              </w:rPr>
              <w:t> 价。</w:t>
            </w:r>
          </w:p>
        </w:tc>
      </w:tr>
      <w:tr>
        <w:trPr>
          <w:trHeight w:val="258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徐连平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10,750,000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7,525,000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18,275,000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 本人所持公司股份 锁定期届满后两年 </w:t>
            </w:r>
            <w:r>
              <w:rPr>
                <w:rFonts w:ascii="宋体" w:hAnsi="宋体" w:cs="宋体" w:eastAsia="宋体" w:hint="default"/>
                <w:spacing w:val="-6"/>
                <w:sz w:val="18"/>
                <w:szCs w:val="18"/>
              </w:rPr>
              <w:t>内，每年减持数量不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超过上一年末所持 股份数量的</w:t>
            </w:r>
            <w:r>
              <w:rPr>
                <w:rFonts w:ascii="宋体" w:hAnsi="宋体" w:cs="宋体" w:eastAsia="宋体" w:hint="default"/>
                <w:spacing w:val="-45"/>
                <w:sz w:val="18"/>
                <w:szCs w:val="18"/>
              </w:rPr>
              <w:t> </w:t>
            </w:r>
            <w:r>
              <w:rPr>
                <w:rFonts w:ascii="Times New Roman" w:hAnsi="Times New Roman" w:cs="Times New Roman" w:eastAsia="Times New Roman" w:hint="default"/>
                <w:spacing w:val="-24"/>
                <w:sz w:val="18"/>
                <w:szCs w:val="18"/>
              </w:rPr>
              <w:t>25%</w:t>
            </w:r>
            <w:r>
              <w:rPr>
                <w:rFonts w:ascii="宋体" w:hAnsi="宋体" w:cs="宋体" w:eastAsia="宋体" w:hint="default"/>
                <w:spacing w:val="-24"/>
                <w:sz w:val="18"/>
                <w:szCs w:val="18"/>
              </w:rPr>
              <w:t>，减</w:t>
            </w:r>
            <w:r>
              <w:rPr>
                <w:rFonts w:ascii="宋体" w:hAnsi="宋体" w:cs="宋体" w:eastAsia="宋体" w:hint="default"/>
                <w:spacing w:val="-60"/>
                <w:sz w:val="18"/>
                <w:szCs w:val="18"/>
              </w:rPr>
              <w:t> </w:t>
            </w:r>
            <w:r>
              <w:rPr>
                <w:rFonts w:ascii="宋体" w:hAnsi="宋体" w:cs="宋体" w:eastAsia="宋体" w:hint="default"/>
                <w:sz w:val="18"/>
                <w:szCs w:val="18"/>
              </w:rPr>
              <w:t>持价格不低于发行</w:t>
            </w:r>
            <w:r>
              <w:rPr>
                <w:rFonts w:ascii="宋体" w:hAnsi="宋体" w:cs="宋体" w:eastAsia="宋体" w:hint="default"/>
                <w:sz w:val="18"/>
                <w:szCs w:val="18"/>
              </w:rPr>
              <w:t> 价。</w:t>
            </w:r>
          </w:p>
        </w:tc>
      </w:tr>
      <w:tr>
        <w:trPr>
          <w:trHeight w:val="258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蒋琳华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10,750,000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7,525,000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18,275,000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 本人所持公司股份 锁定期届满后两年 </w:t>
            </w:r>
            <w:r>
              <w:rPr>
                <w:rFonts w:ascii="宋体" w:hAnsi="宋体" w:cs="宋体" w:eastAsia="宋体" w:hint="default"/>
                <w:spacing w:val="-6"/>
                <w:sz w:val="18"/>
                <w:szCs w:val="18"/>
              </w:rPr>
              <w:t>内，每年减持数量不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超过上一年末所持 股份数量的</w:t>
            </w:r>
            <w:r>
              <w:rPr>
                <w:rFonts w:ascii="宋体" w:hAnsi="宋体" w:cs="宋体" w:eastAsia="宋体" w:hint="default"/>
                <w:spacing w:val="-45"/>
                <w:sz w:val="18"/>
                <w:szCs w:val="18"/>
              </w:rPr>
              <w:t> </w:t>
            </w:r>
            <w:r>
              <w:rPr>
                <w:rFonts w:ascii="Times New Roman" w:hAnsi="Times New Roman" w:cs="Times New Roman" w:eastAsia="Times New Roman" w:hint="default"/>
                <w:spacing w:val="-24"/>
                <w:sz w:val="18"/>
                <w:szCs w:val="18"/>
              </w:rPr>
              <w:t>25%</w:t>
            </w:r>
            <w:r>
              <w:rPr>
                <w:rFonts w:ascii="宋体" w:hAnsi="宋体" w:cs="宋体" w:eastAsia="宋体" w:hint="default"/>
                <w:spacing w:val="-24"/>
                <w:sz w:val="18"/>
                <w:szCs w:val="18"/>
              </w:rPr>
              <w:t>，减</w:t>
            </w:r>
            <w:r>
              <w:rPr>
                <w:rFonts w:ascii="宋体" w:hAnsi="宋体" w:cs="宋体" w:eastAsia="宋体" w:hint="default"/>
                <w:spacing w:val="-60"/>
                <w:sz w:val="18"/>
                <w:szCs w:val="18"/>
              </w:rPr>
              <w:t> </w:t>
            </w:r>
            <w:r>
              <w:rPr>
                <w:rFonts w:ascii="宋体" w:hAnsi="宋体" w:cs="宋体" w:eastAsia="宋体" w:hint="default"/>
                <w:sz w:val="18"/>
                <w:szCs w:val="18"/>
              </w:rPr>
              <w:t>持价格不低于发行</w:t>
            </w:r>
            <w:r>
              <w:rPr>
                <w:rFonts w:ascii="宋体" w:hAnsi="宋体" w:cs="宋体" w:eastAsia="宋体" w:hint="default"/>
                <w:sz w:val="18"/>
                <w:szCs w:val="18"/>
              </w:rPr>
              <w:t> 价。</w:t>
            </w:r>
          </w:p>
        </w:tc>
      </w:tr>
      <w:tr>
        <w:trPr>
          <w:trHeight w:val="258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10,300,000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7,210,000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17,510,000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 本人所持公司股份 锁定期届满后两年 </w:t>
            </w:r>
            <w:r>
              <w:rPr>
                <w:rFonts w:ascii="宋体" w:hAnsi="宋体" w:cs="宋体" w:eastAsia="宋体" w:hint="default"/>
                <w:spacing w:val="-6"/>
                <w:sz w:val="18"/>
                <w:szCs w:val="18"/>
              </w:rPr>
              <w:t>内，每年减持数量不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超过上一年末所持 股份数量的</w:t>
            </w:r>
            <w:r>
              <w:rPr>
                <w:rFonts w:ascii="宋体" w:hAnsi="宋体" w:cs="宋体" w:eastAsia="宋体" w:hint="default"/>
                <w:spacing w:val="-45"/>
                <w:sz w:val="18"/>
                <w:szCs w:val="18"/>
              </w:rPr>
              <w:t> </w:t>
            </w:r>
            <w:r>
              <w:rPr>
                <w:rFonts w:ascii="Times New Roman" w:hAnsi="Times New Roman" w:cs="Times New Roman" w:eastAsia="Times New Roman" w:hint="default"/>
                <w:spacing w:val="-24"/>
                <w:sz w:val="18"/>
                <w:szCs w:val="18"/>
              </w:rPr>
              <w:t>20%</w:t>
            </w:r>
            <w:r>
              <w:rPr>
                <w:rFonts w:ascii="宋体" w:hAnsi="宋体" w:cs="宋体" w:eastAsia="宋体" w:hint="default"/>
                <w:spacing w:val="-24"/>
                <w:sz w:val="18"/>
                <w:szCs w:val="18"/>
              </w:rPr>
              <w:t>，减</w:t>
            </w:r>
            <w:r>
              <w:rPr>
                <w:rFonts w:ascii="宋体" w:hAnsi="宋体" w:cs="宋体" w:eastAsia="宋体" w:hint="default"/>
                <w:spacing w:val="-60"/>
                <w:sz w:val="18"/>
                <w:szCs w:val="18"/>
              </w:rPr>
              <w:t> </w:t>
            </w:r>
            <w:r>
              <w:rPr>
                <w:rFonts w:ascii="宋体" w:hAnsi="宋体" w:cs="宋体" w:eastAsia="宋体" w:hint="default"/>
                <w:sz w:val="18"/>
                <w:szCs w:val="18"/>
              </w:rPr>
              <w:t>持价格不低于发行</w:t>
            </w:r>
            <w:r>
              <w:rPr>
                <w:rFonts w:ascii="宋体" w:hAnsi="宋体" w:cs="宋体" w:eastAsia="宋体" w:hint="default"/>
                <w:sz w:val="18"/>
                <w:szCs w:val="18"/>
              </w:rPr>
              <w:t> 价。</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212,500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182,750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5"/>
              <w:jc w:val="left"/>
              <w:rPr>
                <w:rFonts w:ascii="宋体" w:hAnsi="宋体" w:cs="宋体" w:eastAsia="宋体" w:hint="default"/>
                <w:sz w:val="18"/>
                <w:szCs w:val="18"/>
              </w:rPr>
            </w:pPr>
            <w:r>
              <w:rPr>
                <w:rFonts w:ascii="宋体" w:hAnsi="宋体" w:cs="宋体" w:eastAsia="宋体" w:hint="default"/>
                <w:sz w:val="18"/>
                <w:szCs w:val="18"/>
              </w:rPr>
              <w:t>任职期内执行董监 高限售规定</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5"/>
              <w:jc w:val="left"/>
              <w:rPr>
                <w:rFonts w:ascii="宋体" w:hAnsi="宋体" w:cs="宋体" w:eastAsia="宋体" w:hint="default"/>
                <w:sz w:val="18"/>
                <w:szCs w:val="18"/>
              </w:rPr>
            </w:pPr>
            <w:r>
              <w:rPr>
                <w:rFonts w:ascii="宋体" w:hAnsi="宋体" w:cs="宋体" w:eastAsia="宋体" w:hint="default"/>
                <w:sz w:val="18"/>
                <w:szCs w:val="18"/>
              </w:rPr>
              <w:t>任职期内执行董监 高限售规定</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1561"/>
        <w:gridCol w:w="1500"/>
        <w:gridCol w:w="1193"/>
        <w:gridCol w:w="1277"/>
        <w:gridCol w:w="1630"/>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5"/>
              <w:jc w:val="left"/>
              <w:rPr>
                <w:rFonts w:ascii="宋体" w:hAnsi="宋体" w:cs="宋体" w:eastAsia="宋体" w:hint="default"/>
                <w:sz w:val="18"/>
                <w:szCs w:val="18"/>
              </w:rPr>
            </w:pPr>
            <w:r>
              <w:rPr>
                <w:rFonts w:ascii="宋体" w:hAnsi="宋体" w:cs="宋体" w:eastAsia="宋体" w:hint="default"/>
                <w:sz w:val="18"/>
                <w:szCs w:val="18"/>
              </w:rPr>
              <w:t>任职期内执行董监 高限售规定</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5"/>
              <w:jc w:val="left"/>
              <w:rPr>
                <w:rFonts w:ascii="宋体" w:hAnsi="宋体" w:cs="宋体" w:eastAsia="宋体" w:hint="default"/>
                <w:sz w:val="18"/>
                <w:szCs w:val="18"/>
              </w:rPr>
            </w:pPr>
            <w:r>
              <w:rPr>
                <w:rFonts w:ascii="宋体" w:hAnsi="宋体" w:cs="宋体" w:eastAsia="宋体" w:hint="default"/>
                <w:sz w:val="18"/>
                <w:szCs w:val="18"/>
              </w:rPr>
              <w:t>任职期内执行董监 高限售规定</w:t>
            </w:r>
          </w:p>
        </w:tc>
      </w:tr>
      <w:tr>
        <w:trPr>
          <w:trHeight w:val="258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4" w:right="151"/>
              <w:jc w:val="both"/>
              <w:rPr>
                <w:rFonts w:ascii="宋体" w:hAnsi="宋体" w:cs="宋体" w:eastAsia="宋体" w:hint="default"/>
                <w:sz w:val="18"/>
                <w:szCs w:val="18"/>
              </w:rPr>
            </w:pPr>
            <w:r>
              <w:rPr>
                <w:rFonts w:ascii="宋体" w:hAnsi="宋体" w:cs="宋体" w:eastAsia="宋体" w:hint="default"/>
                <w:sz w:val="18"/>
                <w:szCs w:val="18"/>
              </w:rPr>
              <w:t>何育松等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名股权激励 对象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1,041,500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708,220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729,050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1,062,330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1"/>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 激励计划第一个解 除限售期解除限售 </w:t>
            </w:r>
            <w:r>
              <w:rPr>
                <w:rFonts w:ascii="宋体" w:hAnsi="宋体" w:cs="宋体" w:eastAsia="宋体" w:hint="default"/>
                <w:spacing w:val="-6"/>
                <w:sz w:val="18"/>
                <w:szCs w:val="18"/>
              </w:rPr>
              <w:t>条件已成就，本次解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除限售已于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1"/>
              <w:ind w:left="23"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日完成，剩余 股份根据股权激励 计划约定解除限售。</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58,409,000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708,220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40,974,700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98,675,480</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2017</w:t>
      </w:r>
      <w:r>
        <w:rPr/>
        <w:t>年年度股东大会审议通过了《新晨科技股份有限公司</w:t>
      </w:r>
      <w:r>
        <w:rPr>
          <w:rFonts w:ascii="Times New Roman" w:hAnsi="Times New Roman" w:cs="Times New Roman" w:eastAsia="Times New Roman" w:hint="default"/>
        </w:rPr>
        <w:t>2017</w:t>
      </w:r>
      <w:r>
        <w:rPr/>
        <w:t>年度利润分配及资本公积金转增股 本预案》。公司</w:t>
      </w:r>
      <w:r>
        <w:rPr>
          <w:rFonts w:ascii="Times New Roman" w:hAnsi="Times New Roman" w:cs="Times New Roman" w:eastAsia="Times New Roman" w:hint="default"/>
        </w:rPr>
        <w:t>2017</w:t>
      </w:r>
      <w:r>
        <w:rPr/>
        <w:t>年年度权益分派方案为：以公司现有总股本</w:t>
      </w:r>
      <w:r>
        <w:rPr>
          <w:rFonts w:ascii="Times New Roman" w:hAnsi="Times New Roman" w:cs="Times New Roman" w:eastAsia="Times New Roman" w:hint="default"/>
        </w:rPr>
        <w:t>91,191,500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0.800000</w:t>
      </w:r>
      <w:r>
        <w:rPr/>
        <w:t>元人民 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7.000000</w:t>
      </w:r>
      <w:r>
        <w:rPr/>
        <w:t>股，合计转增</w:t>
      </w:r>
      <w:r>
        <w:rPr>
          <w:rFonts w:ascii="Times New Roman" w:hAnsi="Times New Roman" w:cs="Times New Roman" w:eastAsia="Times New Roman" w:hint="default"/>
        </w:rPr>
        <w:t>63,834,050</w:t>
      </w:r>
      <w:r>
        <w:rPr/>
        <w:t>股，本次转增后公司总股本 </w:t>
      </w:r>
      <w:r>
        <w:rPr>
          <w:spacing w:val="-2"/>
        </w:rPr>
        <w:t>增加至</w:t>
      </w:r>
      <w:r>
        <w:rPr>
          <w:rFonts w:ascii="Times New Roman" w:hAnsi="Times New Roman" w:cs="Times New Roman" w:eastAsia="Times New Roman" w:hint="default"/>
          <w:spacing w:val="-2"/>
        </w:rPr>
        <w:t>155,025,550</w:t>
      </w:r>
      <w:r>
        <w:rPr>
          <w:spacing w:val="-2"/>
        </w:rPr>
        <w:t>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日，公司</w:t>
      </w:r>
      <w:r>
        <w:rPr>
          <w:rFonts w:ascii="Times New Roman" w:hAnsi="Times New Roman" w:cs="Times New Roman" w:eastAsia="Times New Roman" w:hint="default"/>
          <w:spacing w:val="-2"/>
        </w:rPr>
        <w:t>2017</w:t>
      </w:r>
      <w:r>
        <w:rPr>
          <w:spacing w:val="-2"/>
        </w:rPr>
        <w:t>年年度权益方案实施完毕。公司注册资本由人民币</w:t>
      </w:r>
      <w:r>
        <w:rPr>
          <w:rFonts w:ascii="Times New Roman" w:hAnsi="Times New Roman" w:cs="Times New Roman" w:eastAsia="Times New Roman" w:hint="default"/>
          <w:spacing w:val="-2"/>
        </w:rPr>
        <w:t>91,191,500</w:t>
      </w:r>
      <w:r>
        <w:rPr>
          <w:spacing w:val="-2"/>
        </w:rPr>
        <w:t>元变更为人民</w:t>
      </w:r>
      <w:r>
        <w:rPr>
          <w:spacing w:val="-40"/>
        </w:rPr>
        <w:t> </w:t>
      </w:r>
      <w:r>
        <w:rPr>
          <w:spacing w:val="-40"/>
        </w:rPr>
      </w:r>
      <w:r>
        <w:rPr/>
        <w:t>币</w:t>
      </w:r>
      <w:r>
        <w:rPr>
          <w:spacing w:val="-19"/>
        </w:rPr>
        <w:t> </w:t>
      </w:r>
      <w:r>
        <w:rPr>
          <w:rFonts w:ascii="Times New Roman" w:hAnsi="Times New Roman" w:cs="Times New Roman" w:eastAsia="Times New Roman" w:hint="default"/>
        </w:rPr>
        <w:t>155,025,550</w:t>
      </w:r>
      <w:r>
        <w:rPr/>
        <w:t>元。</w:t>
      </w:r>
    </w:p>
    <w:p>
      <w:pPr>
        <w:pStyle w:val="BodyText"/>
        <w:spacing w:line="300" w:lineRule="auto" w:before="13"/>
        <w:ind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日，公司第九届董事会第十四次会议审议通过了《关于新晨科技股份有限公司收购北京瑞得音信息技术有</w:t>
      </w:r>
      <w:r>
        <w:rPr/>
        <w:t> 限公司部分股权的议案》，决议以现金方式分别向薛震、杨蓓支付</w:t>
      </w:r>
      <w:r>
        <w:rPr>
          <w:rFonts w:ascii="Times New Roman" w:hAnsi="Times New Roman" w:cs="Times New Roman" w:eastAsia="Times New Roman" w:hint="default"/>
        </w:rPr>
        <w:t>13,872.00</w:t>
      </w:r>
      <w:r>
        <w:rPr/>
        <w:t>万元、</w:t>
      </w:r>
      <w:r>
        <w:rPr>
          <w:rFonts w:ascii="Times New Roman" w:hAnsi="Times New Roman" w:cs="Times New Roman" w:eastAsia="Times New Roman" w:hint="default"/>
        </w:rPr>
        <w:t>2,448.00</w:t>
      </w:r>
      <w:r>
        <w:rPr/>
        <w:t>万元，收购其持有的北京瑞得音 信息技术有限公司</w:t>
      </w:r>
      <w:r>
        <w:rPr>
          <w:rFonts w:ascii="Times New Roman" w:hAnsi="Times New Roman" w:cs="Times New Roman" w:eastAsia="Times New Roman" w:hint="default"/>
        </w:rPr>
        <w:t>43.35%</w:t>
      </w:r>
      <w:r>
        <w:rPr/>
        <w:t>、</w:t>
      </w:r>
      <w:r>
        <w:rPr>
          <w:rFonts w:ascii="Times New Roman" w:hAnsi="Times New Roman" w:cs="Times New Roman" w:eastAsia="Times New Roman" w:hint="default"/>
        </w:rPr>
        <w:t>7.65%</w:t>
      </w:r>
      <w:r>
        <w:rPr/>
        <w:t>的股权。公司于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月初按照协议约定支付了不低于</w:t>
      </w:r>
      <w:r>
        <w:rPr>
          <w:rFonts w:ascii="Times New Roman" w:hAnsi="Times New Roman" w:cs="Times New Roman" w:eastAsia="Times New Roman" w:hint="default"/>
        </w:rPr>
        <w:t>50%</w:t>
      </w:r>
      <w:r>
        <w:rPr/>
        <w:t>的收购款，并委派过半数董 事，能够控制其经营和财务决策。公司将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01</w:t>
      </w:r>
      <w:r>
        <w:rPr/>
        <w:t>日确定为购买日。</w:t>
      </w:r>
    </w:p>
    <w:p>
      <w:pPr>
        <w:pStyle w:val="BodyText"/>
        <w:spacing w:line="300" w:lineRule="auto" w:before="13"/>
        <w:ind w:right="118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日，合并范围新增控股子公司北京瑞得音信息技术有限公司，公司资产产生合并商誉</w:t>
      </w:r>
      <w:r>
        <w:rPr>
          <w:rFonts w:ascii="Times New Roman" w:hAnsi="Times New Roman" w:cs="Times New Roman" w:eastAsia="Times New Roman" w:hint="default"/>
        </w:rPr>
        <w:t>152,727,059.26</w:t>
      </w:r>
      <w:r>
        <w:rPr/>
        <w:t>元， 公司负债产生应付股权并购款</w:t>
      </w:r>
      <w:r>
        <w:rPr>
          <w:rFonts w:ascii="Times New Roman" w:hAnsi="Times New Roman" w:cs="Times New Roman" w:eastAsia="Times New Roman" w:hint="default"/>
        </w:rPr>
        <w:t>79,200,000.00</w:t>
      </w:r>
      <w:r>
        <w:rPr/>
        <w:t>元。资产和负债增加，资产负债率增加。</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838"/>
        <w:gridCol w:w="266"/>
        <w:gridCol w:w="711"/>
        <w:gridCol w:w="142"/>
        <w:gridCol w:w="414"/>
        <w:gridCol w:w="577"/>
        <w:gridCol w:w="547"/>
        <w:gridCol w:w="444"/>
        <w:gridCol w:w="988"/>
        <w:gridCol w:w="637"/>
        <w:gridCol w:w="224"/>
        <w:gridCol w:w="1125"/>
        <w:gridCol w:w="146"/>
        <w:gridCol w:w="556"/>
        <w:gridCol w:w="647"/>
      </w:tblGrid>
      <w:tr>
        <w:trPr>
          <w:trHeight w:val="161" w:hRule="exact"/>
        </w:trPr>
        <w:tc>
          <w:tcPr>
            <w:tcW w:w="1306" w:type="dxa"/>
            <w:vMerge w:val="restart"/>
            <w:tcBorders>
              <w:top w:val="single" w:sz="4" w:space="0" w:color="000000"/>
              <w:left w:val="single" w:sz="4" w:space="0" w:color="000000"/>
              <w:right w:val="single" w:sz="4" w:space="0" w:color="000000"/>
            </w:tcBorders>
            <w:shd w:val="clear" w:color="auto" w:fill="D2D2D2"/>
          </w:tcPr>
          <w:p>
            <w:pPr/>
          </w:p>
        </w:tc>
        <w:tc>
          <w:tcPr>
            <w:tcW w:w="838"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14,434</w:t>
            </w:r>
          </w:p>
        </w:tc>
        <w:tc>
          <w:tcPr>
            <w:tcW w:w="153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13,787</w:t>
            </w:r>
          </w:p>
        </w:tc>
        <w:tc>
          <w:tcPr>
            <w:tcW w:w="14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14"/>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6"/>
                <w:sz w:val="18"/>
                <w:szCs w:val="18"/>
              </w:rPr>
              <w:t>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861" w:type="dxa"/>
            <w:gridSpan w:val="2"/>
            <w:vMerge w:val="restart"/>
            <w:tcBorders>
              <w:top w:val="single" w:sz="4" w:space="0" w:color="000000"/>
              <w:left w:val="single" w:sz="12"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8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77"/>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64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06" w:type="dxa"/>
            <w:vMerge/>
            <w:tcBorders>
              <w:left w:val="single" w:sz="4" w:space="0" w:color="000000"/>
              <w:bottom w:val="nil" w:sz="6" w:space="0" w:color="auto"/>
              <w:right w:val="single" w:sz="4" w:space="0" w:color="000000"/>
            </w:tcBorders>
            <w:shd w:val="clear" w:color="auto" w:fill="D2D2D2"/>
          </w:tcPr>
          <w:p>
            <w:pPr/>
          </w:p>
        </w:tc>
        <w:tc>
          <w:tcPr>
            <w:tcW w:w="838" w:type="dxa"/>
            <w:vMerge/>
            <w:tcBorders>
              <w:left w:val="single" w:sz="9" w:space="0" w:color="D2D2D2"/>
              <w:right w:val="single" w:sz="10" w:space="0" w:color="D2D2D2"/>
            </w:tcBorders>
          </w:tcPr>
          <w:p>
            <w:pPr/>
          </w:p>
        </w:tc>
        <w:tc>
          <w:tcPr>
            <w:tcW w:w="1533"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69"/>
              <w:jc w:val="both"/>
              <w:rPr>
                <w:rFonts w:ascii="宋体" w:hAnsi="宋体" w:cs="宋体" w:eastAsia="宋体" w:hint="default"/>
                <w:sz w:val="18"/>
                <w:szCs w:val="18"/>
              </w:rPr>
            </w:pPr>
            <w:r>
              <w:rPr>
                <w:rFonts w:ascii="宋体" w:hAnsi="宋体" w:cs="宋体" w:eastAsia="宋体" w:hint="default"/>
                <w:sz w:val="18"/>
                <w:szCs w:val="18"/>
              </w:rPr>
              <w:t>年度报告披露日前 上一月末普通股股 东总数</w:t>
            </w:r>
          </w:p>
        </w:tc>
        <w:tc>
          <w:tcPr>
            <w:tcW w:w="1124" w:type="dxa"/>
            <w:gridSpan w:val="2"/>
            <w:vMerge/>
            <w:tcBorders>
              <w:left w:val="single" w:sz="9" w:space="0" w:color="D2D2D2"/>
              <w:right w:val="single" w:sz="10" w:space="0" w:color="D2D2D2"/>
            </w:tcBorders>
          </w:tcPr>
          <w:p>
            <w:pPr/>
          </w:p>
        </w:tc>
        <w:tc>
          <w:tcPr>
            <w:tcW w:w="1433" w:type="dxa"/>
            <w:gridSpan w:val="2"/>
            <w:vMerge/>
            <w:tcBorders>
              <w:left w:val="single" w:sz="4" w:space="0" w:color="000000"/>
              <w:right w:val="single" w:sz="4" w:space="0" w:color="000000"/>
            </w:tcBorders>
            <w:shd w:val="clear" w:color="auto" w:fill="D2D2D2"/>
          </w:tcPr>
          <w:p>
            <w:pPr/>
          </w:p>
        </w:tc>
        <w:tc>
          <w:tcPr>
            <w:tcW w:w="861" w:type="dxa"/>
            <w:gridSpan w:val="2"/>
            <w:vMerge/>
            <w:tcBorders>
              <w:left w:val="single" w:sz="12" w:space="0" w:color="D2D2D2"/>
              <w:right w:val="single" w:sz="13" w:space="0" w:color="D2D2D2"/>
            </w:tcBorders>
          </w:tcPr>
          <w:p>
            <w:pPr/>
          </w:p>
        </w:tc>
        <w:tc>
          <w:tcPr>
            <w:tcW w:w="1827" w:type="dxa"/>
            <w:gridSpan w:val="3"/>
            <w:vMerge/>
            <w:tcBorders>
              <w:left w:val="single" w:sz="4" w:space="0" w:color="000000"/>
              <w:right w:val="single" w:sz="4" w:space="0" w:color="000000"/>
            </w:tcBorders>
            <w:shd w:val="clear" w:color="auto" w:fill="D2D2D2"/>
          </w:tcPr>
          <w:p>
            <w:pPr/>
          </w:p>
        </w:tc>
        <w:tc>
          <w:tcPr>
            <w:tcW w:w="647" w:type="dxa"/>
            <w:vMerge/>
            <w:tcBorders>
              <w:left w:val="single" w:sz="10" w:space="0" w:color="D2D2D2"/>
              <w:right w:val="single" w:sz="4" w:space="0" w:color="000000"/>
            </w:tcBorders>
          </w:tcPr>
          <w:p>
            <w:pPr/>
          </w:p>
        </w:tc>
      </w:tr>
      <w:tr>
        <w:trPr>
          <w:trHeight w:val="703"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38" w:type="dxa"/>
            <w:vMerge/>
            <w:tcBorders>
              <w:left w:val="single" w:sz="9" w:space="0" w:color="D2D2D2"/>
              <w:right w:val="single" w:sz="10" w:space="0" w:color="D2D2D2"/>
            </w:tcBorders>
          </w:tcPr>
          <w:p>
            <w:pPr/>
          </w:p>
        </w:tc>
        <w:tc>
          <w:tcPr>
            <w:tcW w:w="1533" w:type="dxa"/>
            <w:gridSpan w:val="4"/>
            <w:vMerge/>
            <w:tcBorders>
              <w:left w:val="single" w:sz="4" w:space="0" w:color="000000"/>
              <w:right w:val="single" w:sz="4" w:space="0" w:color="000000"/>
            </w:tcBorders>
            <w:shd w:val="clear" w:color="auto" w:fill="D2D2D2"/>
          </w:tcPr>
          <w:p>
            <w:pPr/>
          </w:p>
        </w:tc>
        <w:tc>
          <w:tcPr>
            <w:tcW w:w="1124" w:type="dxa"/>
            <w:gridSpan w:val="2"/>
            <w:vMerge/>
            <w:tcBorders>
              <w:left w:val="single" w:sz="9" w:space="0" w:color="D2D2D2"/>
              <w:right w:val="single" w:sz="10" w:space="0" w:color="D2D2D2"/>
            </w:tcBorders>
          </w:tcPr>
          <w:p>
            <w:pPr/>
          </w:p>
        </w:tc>
        <w:tc>
          <w:tcPr>
            <w:tcW w:w="1433" w:type="dxa"/>
            <w:gridSpan w:val="2"/>
            <w:vMerge/>
            <w:tcBorders>
              <w:left w:val="single" w:sz="4" w:space="0" w:color="000000"/>
              <w:right w:val="single" w:sz="4" w:space="0" w:color="000000"/>
            </w:tcBorders>
            <w:shd w:val="clear" w:color="auto" w:fill="D2D2D2"/>
          </w:tcPr>
          <w:p>
            <w:pPr/>
          </w:p>
        </w:tc>
        <w:tc>
          <w:tcPr>
            <w:tcW w:w="861" w:type="dxa"/>
            <w:gridSpan w:val="2"/>
            <w:vMerge/>
            <w:tcBorders>
              <w:left w:val="single" w:sz="12" w:space="0" w:color="D2D2D2"/>
              <w:right w:val="single" w:sz="13" w:space="0" w:color="D2D2D2"/>
            </w:tcBorders>
          </w:tcPr>
          <w:p>
            <w:pPr/>
          </w:p>
        </w:tc>
        <w:tc>
          <w:tcPr>
            <w:tcW w:w="1827" w:type="dxa"/>
            <w:gridSpan w:val="3"/>
            <w:vMerge/>
            <w:tcBorders>
              <w:left w:val="single" w:sz="4" w:space="0" w:color="000000"/>
              <w:right w:val="single" w:sz="4" w:space="0" w:color="000000"/>
            </w:tcBorders>
            <w:shd w:val="clear" w:color="auto" w:fill="D2D2D2"/>
          </w:tcPr>
          <w:p>
            <w:pPr/>
          </w:p>
        </w:tc>
        <w:tc>
          <w:tcPr>
            <w:tcW w:w="647" w:type="dxa"/>
            <w:vMerge/>
            <w:tcBorders>
              <w:left w:val="single" w:sz="10" w:space="0" w:color="D2D2D2"/>
              <w:right w:val="single" w:sz="4" w:space="0" w:color="000000"/>
            </w:tcBorders>
          </w:tcPr>
          <w:p>
            <w:pPr/>
          </w:p>
        </w:tc>
      </w:tr>
      <w:tr>
        <w:trPr>
          <w:trHeight w:val="156" w:hRule="exact"/>
        </w:trPr>
        <w:tc>
          <w:tcPr>
            <w:tcW w:w="1306" w:type="dxa"/>
            <w:vMerge w:val="restart"/>
            <w:tcBorders>
              <w:top w:val="nil" w:sz="6" w:space="0" w:color="auto"/>
              <w:left w:val="single" w:sz="4" w:space="0" w:color="000000"/>
              <w:right w:val="single" w:sz="4" w:space="0" w:color="000000"/>
            </w:tcBorders>
            <w:shd w:val="clear" w:color="auto" w:fill="D2D2D2"/>
          </w:tcPr>
          <w:p>
            <w:pPr/>
          </w:p>
        </w:tc>
        <w:tc>
          <w:tcPr>
            <w:tcW w:w="838" w:type="dxa"/>
            <w:vMerge/>
            <w:tcBorders>
              <w:left w:val="single" w:sz="9" w:space="0" w:color="D2D2D2"/>
              <w:right w:val="single" w:sz="10" w:space="0" w:color="D2D2D2"/>
            </w:tcBorders>
          </w:tcPr>
          <w:p>
            <w:pPr/>
          </w:p>
        </w:tc>
        <w:tc>
          <w:tcPr>
            <w:tcW w:w="1533" w:type="dxa"/>
            <w:gridSpan w:val="4"/>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9" w:space="0" w:color="D2D2D2"/>
              <w:right w:val="single" w:sz="10" w:space="0" w:color="D2D2D2"/>
            </w:tcBorders>
          </w:tcPr>
          <w:p>
            <w:pPr/>
          </w:p>
        </w:tc>
        <w:tc>
          <w:tcPr>
            <w:tcW w:w="1433" w:type="dxa"/>
            <w:gridSpan w:val="2"/>
            <w:vMerge/>
            <w:tcBorders>
              <w:left w:val="single" w:sz="4" w:space="0" w:color="000000"/>
              <w:right w:val="single" w:sz="4" w:space="0" w:color="000000"/>
            </w:tcBorders>
            <w:shd w:val="clear" w:color="auto" w:fill="D2D2D2"/>
          </w:tcPr>
          <w:p>
            <w:pPr/>
          </w:p>
        </w:tc>
        <w:tc>
          <w:tcPr>
            <w:tcW w:w="861" w:type="dxa"/>
            <w:gridSpan w:val="2"/>
            <w:vMerge/>
            <w:tcBorders>
              <w:left w:val="single" w:sz="12" w:space="0" w:color="D2D2D2"/>
              <w:right w:val="single" w:sz="13" w:space="0" w:color="D2D2D2"/>
            </w:tcBorders>
          </w:tcPr>
          <w:p>
            <w:pPr/>
          </w:p>
        </w:tc>
        <w:tc>
          <w:tcPr>
            <w:tcW w:w="1827" w:type="dxa"/>
            <w:gridSpan w:val="3"/>
            <w:vMerge/>
            <w:tcBorders>
              <w:left w:val="single" w:sz="4" w:space="0" w:color="000000"/>
              <w:right w:val="single" w:sz="4" w:space="0" w:color="000000"/>
            </w:tcBorders>
            <w:shd w:val="clear" w:color="auto" w:fill="D2D2D2"/>
          </w:tcPr>
          <w:p>
            <w:pPr/>
          </w:p>
        </w:tc>
        <w:tc>
          <w:tcPr>
            <w:tcW w:w="647" w:type="dxa"/>
            <w:vMerge/>
            <w:tcBorders>
              <w:left w:val="single" w:sz="10" w:space="0" w:color="D2D2D2"/>
              <w:right w:val="single" w:sz="4" w:space="0" w:color="000000"/>
            </w:tcBorders>
          </w:tcPr>
          <w:p>
            <w:pPr/>
          </w:p>
        </w:tc>
      </w:tr>
      <w:tr>
        <w:trPr>
          <w:trHeight w:val="166"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838" w:type="dxa"/>
            <w:vMerge/>
            <w:tcBorders>
              <w:left w:val="single" w:sz="9" w:space="0" w:color="D2D2D2"/>
              <w:bottom w:val="single" w:sz="4" w:space="0" w:color="000000"/>
              <w:right w:val="single" w:sz="10" w:space="0" w:color="D2D2D2"/>
            </w:tcBorders>
          </w:tcPr>
          <w:p>
            <w:pPr/>
          </w:p>
        </w:tc>
        <w:tc>
          <w:tcPr>
            <w:tcW w:w="153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9" w:space="0" w:color="D2D2D2"/>
              <w:bottom w:val="single" w:sz="4" w:space="0" w:color="000000"/>
              <w:right w:val="single" w:sz="10" w:space="0" w:color="D2D2D2"/>
            </w:tcBorders>
          </w:tcPr>
          <w:p>
            <w:pPr/>
          </w:p>
        </w:tc>
        <w:tc>
          <w:tcPr>
            <w:tcW w:w="1433" w:type="dxa"/>
            <w:gridSpan w:val="2"/>
            <w:vMerge/>
            <w:tcBorders>
              <w:left w:val="single" w:sz="4" w:space="0" w:color="000000"/>
              <w:bottom w:val="single" w:sz="4" w:space="0" w:color="000000"/>
              <w:right w:val="single" w:sz="4" w:space="0" w:color="000000"/>
            </w:tcBorders>
            <w:shd w:val="clear" w:color="auto" w:fill="D2D2D2"/>
          </w:tcPr>
          <w:p>
            <w:pPr/>
          </w:p>
        </w:tc>
        <w:tc>
          <w:tcPr>
            <w:tcW w:w="861" w:type="dxa"/>
            <w:gridSpan w:val="2"/>
            <w:vMerge/>
            <w:tcBorders>
              <w:left w:val="single" w:sz="12" w:space="0" w:color="D2D2D2"/>
              <w:bottom w:val="single" w:sz="4" w:space="0" w:color="000000"/>
              <w:right w:val="single" w:sz="13" w:space="0" w:color="D2D2D2"/>
            </w:tcBorders>
          </w:tcPr>
          <w:p>
            <w:pPr/>
          </w:p>
        </w:tc>
        <w:tc>
          <w:tcPr>
            <w:tcW w:w="1827" w:type="dxa"/>
            <w:gridSpan w:val="3"/>
            <w:vMerge/>
            <w:tcBorders>
              <w:left w:val="single" w:sz="4" w:space="0" w:color="000000"/>
              <w:bottom w:val="single" w:sz="4" w:space="0" w:color="000000"/>
              <w:right w:val="single" w:sz="4" w:space="0" w:color="000000"/>
            </w:tcBorders>
            <w:shd w:val="clear" w:color="auto" w:fill="D2D2D2"/>
          </w:tcPr>
          <w:p>
            <w:pPr/>
          </w:p>
        </w:tc>
        <w:tc>
          <w:tcPr>
            <w:tcW w:w="647" w:type="dxa"/>
            <w:vMerge/>
            <w:tcBorders>
              <w:left w:val="single" w:sz="10" w:space="0" w:color="D2D2D2"/>
              <w:bottom w:val="single" w:sz="4" w:space="0" w:color="000000"/>
              <w:right w:val="single" w:sz="4" w:space="0" w:color="000000"/>
            </w:tcBorders>
          </w:tcPr>
          <w:p>
            <w:pPr/>
          </w:p>
        </w:tc>
      </w:tr>
      <w:tr>
        <w:trPr>
          <w:trHeight w:val="394" w:hRule="exact"/>
        </w:trPr>
        <w:tc>
          <w:tcPr>
            <w:tcW w:w="9568"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06" w:type="dxa"/>
            <w:vMerge w:val="restart"/>
            <w:tcBorders>
              <w:top w:val="single" w:sz="4" w:space="0" w:color="000000"/>
              <w:left w:val="single" w:sz="4" w:space="0" w:color="000000"/>
              <w:right w:val="single" w:sz="4" w:space="0" w:color="000000"/>
            </w:tcBorders>
            <w:shd w:val="clear" w:color="auto" w:fill="D2D2D2"/>
          </w:tcPr>
          <w:p>
            <w:pPr/>
          </w:p>
        </w:tc>
        <w:tc>
          <w:tcPr>
            <w:tcW w:w="1104" w:type="dxa"/>
            <w:gridSpan w:val="2"/>
            <w:vMerge w:val="restart"/>
            <w:tcBorders>
              <w:top w:val="single" w:sz="4" w:space="0" w:color="000000"/>
              <w:left w:val="single" w:sz="4" w:space="0" w:color="000000"/>
              <w:right w:val="single" w:sz="4" w:space="0" w:color="000000"/>
            </w:tcBorders>
            <w:shd w:val="clear" w:color="auto" w:fill="D2D2D2"/>
          </w:tcPr>
          <w:p>
            <w:pPr/>
          </w:p>
        </w:tc>
        <w:tc>
          <w:tcPr>
            <w:tcW w:w="853" w:type="dxa"/>
            <w:gridSpan w:val="2"/>
            <w:vMerge w:val="restart"/>
            <w:tcBorders>
              <w:top w:val="single" w:sz="4" w:space="0" w:color="000000"/>
              <w:left w:val="single" w:sz="4" w:space="0" w:color="000000"/>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3" w:right="3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5"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47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06" w:type="dxa"/>
            <w:vMerge/>
            <w:tcBorders>
              <w:left w:val="single" w:sz="4" w:space="0" w:color="000000"/>
              <w:bottom w:val="nil" w:sz="6" w:space="0" w:color="auto"/>
              <w:right w:val="single" w:sz="4" w:space="0" w:color="000000"/>
            </w:tcBorders>
            <w:shd w:val="clear" w:color="auto" w:fill="D2D2D2"/>
          </w:tcPr>
          <w:p>
            <w:pPr/>
          </w:p>
        </w:tc>
        <w:tc>
          <w:tcPr>
            <w:tcW w:w="1104" w:type="dxa"/>
            <w:gridSpan w:val="2"/>
            <w:vMerge/>
            <w:tcBorders>
              <w:left w:val="single" w:sz="4" w:space="0" w:color="000000"/>
              <w:bottom w:val="nil" w:sz="6" w:space="0" w:color="auto"/>
              <w:right w:val="single" w:sz="4" w:space="0" w:color="000000"/>
            </w:tcBorders>
            <w:shd w:val="clear" w:color="auto" w:fill="D2D2D2"/>
          </w:tcPr>
          <w:p>
            <w:pPr/>
          </w:p>
        </w:tc>
        <w:tc>
          <w:tcPr>
            <w:tcW w:w="853"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88" w:type="dxa"/>
            <w:vMerge/>
            <w:tcBorders>
              <w:left w:val="single" w:sz="4" w:space="0" w:color="000000"/>
              <w:right w:val="single" w:sz="4" w:space="0" w:color="000000"/>
            </w:tcBorders>
            <w:shd w:val="clear" w:color="auto" w:fill="D2D2D2"/>
          </w:tcPr>
          <w:p>
            <w:pPr/>
          </w:p>
        </w:tc>
        <w:tc>
          <w:tcPr>
            <w:tcW w:w="861" w:type="dxa"/>
            <w:gridSpan w:val="2"/>
            <w:vMerge/>
            <w:tcBorders>
              <w:left w:val="single" w:sz="4" w:space="0" w:color="000000"/>
              <w:right w:val="single" w:sz="4" w:space="0" w:color="000000"/>
            </w:tcBorders>
            <w:shd w:val="clear" w:color="auto" w:fill="D2D2D2"/>
          </w:tcPr>
          <w:p>
            <w:pPr/>
          </w:p>
        </w:tc>
        <w:tc>
          <w:tcPr>
            <w:tcW w:w="2474" w:type="dxa"/>
            <w:gridSpan w:val="4"/>
            <w:vMerge/>
            <w:tcBorders>
              <w:left w:val="single" w:sz="4" w:space="0" w:color="000000"/>
              <w:right w:val="single" w:sz="4" w:space="0" w:color="000000"/>
            </w:tcBorders>
            <w:shd w:val="clear" w:color="auto" w:fill="D2D2D2"/>
          </w:tcPr>
          <w:p>
            <w:pPr/>
          </w:p>
        </w:tc>
      </w:tr>
      <w:tr>
        <w:trPr>
          <w:trHeight w:val="140" w:hRule="exact"/>
        </w:trPr>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61" w:type="dxa"/>
            <w:gridSpan w:val="2"/>
            <w:vMerge/>
            <w:tcBorders>
              <w:left w:val="single" w:sz="4" w:space="0" w:color="000000"/>
              <w:right w:val="single" w:sz="4" w:space="0" w:color="000000"/>
            </w:tcBorders>
            <w:shd w:val="clear" w:color="auto" w:fill="D2D2D2"/>
          </w:tcPr>
          <w:p>
            <w:pPr/>
          </w:p>
        </w:tc>
        <w:tc>
          <w:tcPr>
            <w:tcW w:w="2474"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06" w:type="dxa"/>
            <w:vMerge/>
            <w:tcBorders>
              <w:left w:val="single" w:sz="4" w:space="0" w:color="000000"/>
              <w:bottom w:val="nil" w:sz="6" w:space="0" w:color="auto"/>
              <w:right w:val="single" w:sz="4" w:space="0" w:color="000000"/>
            </w:tcBorders>
            <w:shd w:val="clear" w:color="auto" w:fill="D2D2D2"/>
          </w:tcPr>
          <w:p>
            <w:pPr/>
          </w:p>
        </w:tc>
        <w:tc>
          <w:tcPr>
            <w:tcW w:w="1104" w:type="dxa"/>
            <w:gridSpan w:val="2"/>
            <w:vMerge/>
            <w:tcBorders>
              <w:left w:val="single" w:sz="4" w:space="0" w:color="000000"/>
              <w:bottom w:val="nil" w:sz="6" w:space="0" w:color="auto"/>
              <w:right w:val="single" w:sz="4" w:space="0" w:color="000000"/>
            </w:tcBorders>
            <w:shd w:val="clear" w:color="auto" w:fill="D2D2D2"/>
          </w:tcPr>
          <w:p>
            <w:pPr/>
          </w:p>
        </w:tc>
        <w:tc>
          <w:tcPr>
            <w:tcW w:w="853"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61" w:type="dxa"/>
            <w:gridSpan w:val="2"/>
            <w:vMerge/>
            <w:tcBorders>
              <w:left w:val="single" w:sz="4" w:space="0" w:color="000000"/>
              <w:right w:val="single" w:sz="4" w:space="0" w:color="000000"/>
            </w:tcBorders>
            <w:shd w:val="clear" w:color="auto" w:fill="D2D2D2"/>
          </w:tcPr>
          <w:p>
            <w:pPr/>
          </w:p>
        </w:tc>
        <w:tc>
          <w:tcPr>
            <w:tcW w:w="12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06" w:type="dxa"/>
            <w:vMerge w:val="restart"/>
            <w:tcBorders>
              <w:top w:val="nil" w:sz="6" w:space="0" w:color="auto"/>
              <w:left w:val="single" w:sz="4" w:space="0" w:color="000000"/>
              <w:right w:val="single" w:sz="4" w:space="0" w:color="000000"/>
            </w:tcBorders>
            <w:shd w:val="clear" w:color="auto" w:fill="D2D2D2"/>
          </w:tcPr>
          <w:p>
            <w:pPr/>
          </w:p>
        </w:tc>
        <w:tc>
          <w:tcPr>
            <w:tcW w:w="1104" w:type="dxa"/>
            <w:gridSpan w:val="2"/>
            <w:vMerge w:val="restart"/>
            <w:tcBorders>
              <w:top w:val="nil" w:sz="6" w:space="0" w:color="auto"/>
              <w:left w:val="single" w:sz="4" w:space="0" w:color="000000"/>
              <w:right w:val="single" w:sz="4" w:space="0" w:color="000000"/>
            </w:tcBorders>
            <w:shd w:val="clear" w:color="auto" w:fill="D2D2D2"/>
          </w:tcPr>
          <w:p>
            <w:pPr/>
          </w:p>
        </w:tc>
        <w:tc>
          <w:tcPr>
            <w:tcW w:w="853" w:type="dxa"/>
            <w:gridSpan w:val="2"/>
            <w:vMerge w:val="restart"/>
            <w:tcBorders>
              <w:top w:val="nil" w:sz="6" w:space="0" w:color="auto"/>
              <w:left w:val="single" w:sz="4" w:space="0" w:color="000000"/>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61" w:type="dxa"/>
            <w:gridSpan w:val="2"/>
            <w:vMerge/>
            <w:tcBorders>
              <w:left w:val="single" w:sz="4" w:space="0" w:color="000000"/>
              <w:right w:val="single" w:sz="4" w:space="0" w:color="000000"/>
            </w:tcBorders>
            <w:shd w:val="clear" w:color="auto" w:fill="D2D2D2"/>
          </w:tcPr>
          <w:p>
            <w:pPr/>
          </w:p>
        </w:tc>
        <w:tc>
          <w:tcPr>
            <w:tcW w:w="1271" w:type="dxa"/>
            <w:gridSpan w:val="2"/>
            <w:vMerge/>
            <w:tcBorders>
              <w:left w:val="single" w:sz="4" w:space="0" w:color="000000"/>
              <w:right w:val="single" w:sz="4" w:space="0" w:color="000000"/>
            </w:tcBorders>
            <w:shd w:val="clear" w:color="auto" w:fill="D2D2D2"/>
          </w:tcPr>
          <w:p>
            <w:pPr/>
          </w:p>
        </w:tc>
        <w:tc>
          <w:tcPr>
            <w:tcW w:w="1202" w:type="dxa"/>
            <w:gridSpan w:val="2"/>
            <w:vMerge/>
            <w:tcBorders>
              <w:left w:val="single" w:sz="4" w:space="0" w:color="000000"/>
              <w:right w:val="single" w:sz="4" w:space="0" w:color="000000"/>
            </w:tcBorders>
            <w:shd w:val="clear" w:color="auto" w:fill="D2D2D2"/>
          </w:tcPr>
          <w:p>
            <w:pPr/>
          </w:p>
        </w:tc>
      </w:tr>
      <w:tr>
        <w:trPr>
          <w:trHeight w:val="16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1104" w:type="dxa"/>
            <w:gridSpan w:val="2"/>
            <w:vMerge/>
            <w:tcBorders>
              <w:left w:val="single" w:sz="4" w:space="0" w:color="000000"/>
              <w:bottom w:val="single" w:sz="4" w:space="0" w:color="000000"/>
              <w:right w:val="single" w:sz="4" w:space="0" w:color="000000"/>
            </w:tcBorders>
            <w:shd w:val="clear" w:color="auto" w:fill="D2D2D2"/>
          </w:tcPr>
          <w:p>
            <w:pPr/>
          </w:p>
        </w:tc>
        <w:tc>
          <w:tcPr>
            <w:tcW w:w="853"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861" w:type="dxa"/>
            <w:gridSpan w:val="2"/>
            <w:vMerge/>
            <w:tcBorders>
              <w:left w:val="single" w:sz="4" w:space="0" w:color="000000"/>
              <w:bottom w:val="single" w:sz="4" w:space="0" w:color="000000"/>
              <w:right w:val="single" w:sz="4" w:space="0" w:color="000000"/>
            </w:tcBorders>
            <w:shd w:val="clear" w:color="auto" w:fill="D2D2D2"/>
          </w:tcPr>
          <w:p>
            <w:pPr/>
          </w:p>
        </w:tc>
        <w:tc>
          <w:tcPr>
            <w:tcW w:w="1271" w:type="dxa"/>
            <w:gridSpan w:val="2"/>
            <w:vMerge/>
            <w:tcBorders>
              <w:left w:val="single" w:sz="4" w:space="0" w:color="000000"/>
              <w:bottom w:val="single" w:sz="4" w:space="0" w:color="000000"/>
              <w:right w:val="single" w:sz="4" w:space="0" w:color="000000"/>
            </w:tcBorders>
            <w:shd w:val="clear" w:color="auto" w:fill="D2D2D2"/>
          </w:tcPr>
          <w:p>
            <w:pPr/>
          </w:p>
        </w:tc>
        <w:tc>
          <w:tcPr>
            <w:tcW w:w="1202"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14.42%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22,355,000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9,205,000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22,355,000</w:t>
            </w:r>
          </w:p>
        </w:tc>
        <w:tc>
          <w:tcPr>
            <w:tcW w:w="861" w:type="dxa"/>
            <w:gridSpan w:val="2"/>
            <w:tcBorders>
              <w:top w:val="single" w:sz="4" w:space="0" w:color="000000"/>
              <w:left w:val="single" w:sz="4" w:space="0" w:color="000000"/>
              <w:bottom w:val="single" w:sz="4" w:space="0" w:color="000000"/>
              <w:right w:val="single" w:sz="4" w:space="0" w:color="000000"/>
            </w:tcBorders>
          </w:tcPr>
          <w:p>
            <w:pPr/>
          </w:p>
        </w:tc>
        <w:tc>
          <w:tcPr>
            <w:tcW w:w="127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29" w:lineRule="exact"/>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left="451" w:right="0"/>
              <w:jc w:val="left"/>
              <w:rPr>
                <w:rFonts w:ascii="Times New Roman" w:hAnsi="Times New Roman" w:cs="Times New Roman" w:eastAsia="Times New Roman" w:hint="default"/>
                <w:sz w:val="18"/>
                <w:szCs w:val="18"/>
              </w:rPr>
            </w:pPr>
            <w:r>
              <w:rPr>
                <w:rFonts w:ascii="Times New Roman"/>
                <w:sz w:val="18"/>
              </w:rPr>
              <w:t>7,683,999</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12.99%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20,145,000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8,295,000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20,145,000</w:t>
            </w:r>
          </w:p>
        </w:tc>
        <w:tc>
          <w:tcPr>
            <w:tcW w:w="861" w:type="dxa"/>
            <w:gridSpan w:val="2"/>
            <w:tcBorders>
              <w:top w:val="single" w:sz="4" w:space="0" w:color="000000"/>
              <w:left w:val="single" w:sz="4" w:space="0" w:color="000000"/>
              <w:bottom w:val="single" w:sz="4" w:space="0" w:color="000000"/>
              <w:right w:val="single" w:sz="4" w:space="0" w:color="000000"/>
            </w:tcBorders>
          </w:tcPr>
          <w:p>
            <w:pPr/>
          </w:p>
        </w:tc>
        <w:tc>
          <w:tcPr>
            <w:tcW w:w="1271" w:type="dxa"/>
            <w:gridSpan w:val="2"/>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徐连平</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11.79%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18,275,000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7,525,000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18,275,000</w:t>
            </w:r>
          </w:p>
        </w:tc>
        <w:tc>
          <w:tcPr>
            <w:tcW w:w="861" w:type="dxa"/>
            <w:gridSpan w:val="2"/>
            <w:tcBorders>
              <w:top w:val="single" w:sz="4" w:space="0" w:color="000000"/>
              <w:left w:val="single" w:sz="4" w:space="0" w:color="000000"/>
              <w:bottom w:val="single" w:sz="4" w:space="0" w:color="000000"/>
              <w:right w:val="single" w:sz="4" w:space="0" w:color="000000"/>
            </w:tcBorders>
          </w:tcPr>
          <w:p>
            <w:pPr/>
          </w:p>
        </w:tc>
        <w:tc>
          <w:tcPr>
            <w:tcW w:w="1271" w:type="dxa"/>
            <w:gridSpan w:val="2"/>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蒋琳华</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11.79%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18,275,000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7,525,000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18,275,000</w:t>
            </w:r>
          </w:p>
        </w:tc>
        <w:tc>
          <w:tcPr>
            <w:tcW w:w="861" w:type="dxa"/>
            <w:gridSpan w:val="2"/>
            <w:tcBorders>
              <w:top w:val="single" w:sz="4" w:space="0" w:color="000000"/>
              <w:left w:val="single" w:sz="4" w:space="0" w:color="000000"/>
              <w:bottom w:val="single" w:sz="4" w:space="0" w:color="000000"/>
              <w:right w:val="single" w:sz="4" w:space="0" w:color="000000"/>
            </w:tcBorders>
          </w:tcPr>
          <w:p>
            <w:pPr/>
          </w:p>
        </w:tc>
        <w:tc>
          <w:tcPr>
            <w:tcW w:w="1271" w:type="dxa"/>
            <w:gridSpan w:val="2"/>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11.29%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17,510,000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7,210,000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17,510,000</w:t>
            </w:r>
          </w:p>
        </w:tc>
        <w:tc>
          <w:tcPr>
            <w:tcW w:w="861" w:type="dxa"/>
            <w:gridSpan w:val="2"/>
            <w:tcBorders>
              <w:top w:val="single" w:sz="4" w:space="0" w:color="000000"/>
              <w:left w:val="single" w:sz="4" w:space="0" w:color="000000"/>
              <w:bottom w:val="single" w:sz="4" w:space="0" w:color="000000"/>
              <w:right w:val="single" w:sz="4" w:space="0" w:color="000000"/>
            </w:tcBorders>
          </w:tcPr>
          <w:p>
            <w:pPr/>
          </w:p>
        </w:tc>
        <w:tc>
          <w:tcPr>
            <w:tcW w:w="1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3,035,100</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北京方壶天地 创业投资中心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2.50%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3,874,470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874,470</w:t>
            </w:r>
          </w:p>
        </w:tc>
        <w:tc>
          <w:tcPr>
            <w:tcW w:w="988" w:type="dxa"/>
            <w:tcBorders>
              <w:top w:val="single" w:sz="4" w:space="0" w:color="000000"/>
              <w:left w:val="single" w:sz="4" w:space="0" w:color="000000"/>
              <w:bottom w:val="single" w:sz="4" w:space="0" w:color="000000"/>
              <w:right w:val="single" w:sz="4" w:space="0" w:color="000000"/>
            </w:tcBorders>
          </w:tcPr>
          <w:p>
            <w:pP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3,874,470</w:t>
            </w:r>
          </w:p>
        </w:tc>
        <w:tc>
          <w:tcPr>
            <w:tcW w:w="1271" w:type="dxa"/>
            <w:gridSpan w:val="2"/>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程希庆</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1.10%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1,700,000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700,000</w:t>
            </w:r>
          </w:p>
        </w:tc>
        <w:tc>
          <w:tcPr>
            <w:tcW w:w="988" w:type="dxa"/>
            <w:tcBorders>
              <w:top w:val="single" w:sz="4" w:space="0" w:color="000000"/>
              <w:left w:val="single" w:sz="4" w:space="0" w:color="000000"/>
              <w:bottom w:val="single" w:sz="4" w:space="0" w:color="000000"/>
              <w:right w:val="single" w:sz="4" w:space="0" w:color="000000"/>
            </w:tcBorders>
          </w:tcPr>
          <w:p>
            <w:pP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1,700,000</w:t>
            </w:r>
          </w:p>
        </w:tc>
        <w:tc>
          <w:tcPr>
            <w:tcW w:w="1271" w:type="dxa"/>
            <w:gridSpan w:val="2"/>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1.09%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1,686,400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-313,600</w:t>
            </w:r>
          </w:p>
        </w:tc>
        <w:tc>
          <w:tcPr>
            <w:tcW w:w="988" w:type="dxa"/>
            <w:tcBorders>
              <w:top w:val="single" w:sz="4" w:space="0" w:color="000000"/>
              <w:left w:val="single" w:sz="4" w:space="0" w:color="000000"/>
              <w:bottom w:val="single" w:sz="4" w:space="0" w:color="000000"/>
              <w:right w:val="single" w:sz="4" w:space="0" w:color="000000"/>
            </w:tcBorders>
          </w:tcPr>
          <w:p>
            <w:pP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1,686,400</w:t>
            </w:r>
          </w:p>
        </w:tc>
        <w:tc>
          <w:tcPr>
            <w:tcW w:w="1271" w:type="dxa"/>
            <w:gridSpan w:val="2"/>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何兆勇</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0.41%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643,100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643,100</w:t>
            </w:r>
          </w:p>
        </w:tc>
        <w:tc>
          <w:tcPr>
            <w:tcW w:w="1271" w:type="dxa"/>
            <w:gridSpan w:val="2"/>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0.38%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595,000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245,000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446,250</w:t>
            </w:r>
          </w:p>
        </w:tc>
        <w:tc>
          <w:tcPr>
            <w:tcW w:w="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148,750</w:t>
            </w:r>
          </w:p>
        </w:tc>
        <w:tc>
          <w:tcPr>
            <w:tcW w:w="1271" w:type="dxa"/>
            <w:gridSpan w:val="2"/>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1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158" w:type="dxa"/>
            <w:gridSpan w:val="13"/>
            <w:vMerge w:val="restart"/>
            <w:tcBorders>
              <w:top w:val="single" w:sz="4" w:space="0" w:color="000000"/>
              <w:left w:val="single" w:sz="10" w:space="0" w:color="D2D2D2"/>
              <w:right w:val="single" w:sz="4" w:space="0" w:color="000000"/>
            </w:tcBorders>
          </w:tcPr>
          <w:p>
            <w:pPr>
              <w:pStyle w:val="TableParagraph"/>
              <w:spacing w:line="316" w:lineRule="auto" w:before="49"/>
              <w:ind w:left="16" w:right="23"/>
              <w:jc w:val="left"/>
              <w:rPr>
                <w:rFonts w:ascii="宋体" w:hAnsi="宋体" w:cs="宋体" w:eastAsia="宋体" w:hint="default"/>
                <w:sz w:val="18"/>
                <w:szCs w:val="18"/>
              </w:rPr>
            </w:pPr>
            <w:r>
              <w:rPr>
                <w:rFonts w:ascii="宋体" w:hAnsi="宋体" w:cs="宋体" w:eastAsia="宋体" w:hint="default"/>
                <w:spacing w:val="-3"/>
                <w:sz w:val="18"/>
                <w:szCs w:val="18"/>
              </w:rPr>
              <w:t>上述股东李福华、康路、张燕生三人共同签署《共同控制及一致行动人协议》，约定在涉及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公司经营管理等相关事项时，三人作为一致行动人共同行使股东的召集权、提案权、表决 权等股东权利。</w:t>
            </w:r>
          </w:p>
        </w:tc>
      </w:tr>
      <w:tr>
        <w:trPr>
          <w:trHeight w:val="706" w:hRule="exact"/>
        </w:trPr>
        <w:tc>
          <w:tcPr>
            <w:tcW w:w="2410"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58" w:type="dxa"/>
            <w:gridSpan w:val="13"/>
            <w:vMerge/>
            <w:tcBorders>
              <w:left w:val="single" w:sz="10" w:space="0" w:color="D2D2D2"/>
              <w:right w:val="single" w:sz="4" w:space="0" w:color="000000"/>
            </w:tcBorders>
          </w:tcPr>
          <w:p>
            <w:pPr/>
          </w:p>
        </w:tc>
      </w:tr>
      <w:tr>
        <w:trPr>
          <w:trHeight w:val="161" w:hRule="exact"/>
        </w:trPr>
        <w:tc>
          <w:tcPr>
            <w:tcW w:w="241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158" w:type="dxa"/>
            <w:gridSpan w:val="13"/>
            <w:vMerge/>
            <w:tcBorders>
              <w:left w:val="single" w:sz="10" w:space="0" w:color="D2D2D2"/>
              <w:bottom w:val="single" w:sz="4" w:space="0" w:color="000000"/>
              <w:right w:val="single" w:sz="4" w:space="0" w:color="000000"/>
            </w:tcBorders>
          </w:tcPr>
          <w:p>
            <w:pPr/>
          </w:p>
        </w:tc>
      </w:tr>
      <w:tr>
        <w:trPr>
          <w:trHeight w:val="401" w:hRule="exact"/>
        </w:trPr>
        <w:tc>
          <w:tcPr>
            <w:tcW w:w="9568"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12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12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49"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121" w:type="dxa"/>
            <w:gridSpan w:val="4"/>
            <w:vMerge/>
            <w:tcBorders>
              <w:left w:val="single" w:sz="4" w:space="0" w:color="000000"/>
              <w:bottom w:val="nil" w:sz="6" w:space="0" w:color="auto"/>
              <w:right w:val="single" w:sz="4" w:space="0" w:color="000000"/>
            </w:tcBorders>
            <w:shd w:val="clear" w:color="auto" w:fill="D2D2D2"/>
          </w:tcPr>
          <w:p>
            <w:pPr/>
          </w:p>
        </w:tc>
        <w:tc>
          <w:tcPr>
            <w:tcW w:w="3749" w:type="dxa"/>
            <w:gridSpan w:val="7"/>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12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749"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1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北京方壶天地创业投资中</w:t>
            </w:r>
            <w:r>
              <w:rPr>
                <w:rFonts w:ascii="宋体" w:hAnsi="宋体" w:cs="宋体" w:eastAsia="宋体" w:hint="default"/>
                <w:spacing w:val="-87"/>
                <w:sz w:val="18"/>
                <w:szCs w:val="18"/>
              </w:rPr>
              <w:t>心</w:t>
            </w:r>
            <w:r>
              <w:rPr>
                <w:rFonts w:ascii="宋体" w:hAnsi="宋体" w:cs="宋体" w:eastAsia="宋体" w:hint="default"/>
                <w:sz w:val="18"/>
                <w:szCs w:val="18"/>
              </w:rPr>
              <w:t>（有限合伙</w:t>
            </w:r>
          </w:p>
        </w:tc>
        <w:tc>
          <w:tcPr>
            <w:tcW w:w="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414" w:type="dxa"/>
            <w:tcBorders>
              <w:top w:val="single" w:sz="4" w:space="0" w:color="000000"/>
              <w:left w:val="nil" w:sz="6" w:space="0" w:color="auto"/>
              <w:bottom w:val="single" w:sz="4" w:space="0" w:color="000000"/>
              <w:right w:val="nil" w:sz="6" w:space="0" w:color="auto"/>
            </w:tcBorders>
          </w:tcPr>
          <w:p>
            <w:pPr/>
          </w:p>
        </w:tc>
        <w:tc>
          <w:tcPr>
            <w:tcW w:w="577" w:type="dxa"/>
            <w:tcBorders>
              <w:top w:val="single" w:sz="4" w:space="0" w:color="000000"/>
              <w:left w:val="nil" w:sz="6" w:space="0" w:color="auto"/>
              <w:bottom w:val="single" w:sz="4" w:space="0" w:color="000000"/>
              <w:right w:val="nil" w:sz="6" w:space="0" w:color="auto"/>
            </w:tcBorders>
          </w:tcPr>
          <w:p>
            <w:pPr/>
          </w:p>
        </w:tc>
        <w:tc>
          <w:tcPr>
            <w:tcW w:w="547" w:type="dxa"/>
            <w:tcBorders>
              <w:top w:val="single" w:sz="4" w:space="0" w:color="000000"/>
              <w:left w:val="nil" w:sz="6" w:space="0" w:color="auto"/>
              <w:bottom w:val="single" w:sz="4" w:space="0" w:color="000000"/>
              <w:right w:val="nil" w:sz="6" w:space="0" w:color="auto"/>
            </w:tcBorders>
          </w:tcPr>
          <w:p>
            <w:pPr/>
          </w:p>
        </w:tc>
        <w:tc>
          <w:tcPr>
            <w:tcW w:w="444" w:type="dxa"/>
            <w:tcBorders>
              <w:top w:val="single" w:sz="4" w:space="0" w:color="000000"/>
              <w:left w:val="nil" w:sz="6" w:space="0" w:color="auto"/>
              <w:bottom w:val="single" w:sz="4" w:space="0" w:color="000000"/>
              <w:right w:val="nil" w:sz="6" w:space="0" w:color="auto"/>
            </w:tcBorders>
          </w:tcPr>
          <w:p>
            <w:pPr/>
          </w:p>
        </w:tc>
        <w:tc>
          <w:tcPr>
            <w:tcW w:w="162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8" w:right="0"/>
              <w:jc w:val="left"/>
              <w:rPr>
                <w:rFonts w:ascii="Times New Roman" w:hAnsi="Times New Roman" w:cs="Times New Roman" w:eastAsia="Times New Roman" w:hint="default"/>
                <w:sz w:val="18"/>
                <w:szCs w:val="18"/>
              </w:rPr>
            </w:pPr>
            <w:r>
              <w:rPr>
                <w:rFonts w:ascii="Times New Roman"/>
                <w:sz w:val="18"/>
              </w:rPr>
              <w:t>3,874,470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3,874,470</w:t>
            </w:r>
          </w:p>
        </w:tc>
      </w:tr>
      <w:tr>
        <w:trPr>
          <w:trHeight w:val="401" w:hRule="exact"/>
        </w:trPr>
        <w:tc>
          <w:tcPr>
            <w:tcW w:w="31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程希庆</w:t>
            </w:r>
          </w:p>
        </w:tc>
        <w:tc>
          <w:tcPr>
            <w:tcW w:w="374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1,700,000</w:t>
            </w:r>
          </w:p>
        </w:tc>
      </w:tr>
      <w:tr>
        <w:trPr>
          <w:trHeight w:val="403" w:hRule="exact"/>
        </w:trPr>
        <w:tc>
          <w:tcPr>
            <w:tcW w:w="31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374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1,686,400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1,686,400</w:t>
            </w:r>
          </w:p>
        </w:tc>
      </w:tr>
      <w:tr>
        <w:trPr>
          <w:trHeight w:val="401" w:hRule="exact"/>
        </w:trPr>
        <w:tc>
          <w:tcPr>
            <w:tcW w:w="31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何兆勇</w:t>
            </w:r>
          </w:p>
        </w:tc>
        <w:tc>
          <w:tcPr>
            <w:tcW w:w="374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643,100</w:t>
            </w:r>
          </w:p>
        </w:tc>
      </w:tr>
      <w:tr>
        <w:trPr>
          <w:trHeight w:val="403" w:hRule="exact"/>
        </w:trPr>
        <w:tc>
          <w:tcPr>
            <w:tcW w:w="31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门大卫</w:t>
            </w:r>
          </w:p>
        </w:tc>
        <w:tc>
          <w:tcPr>
            <w:tcW w:w="374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530,400</w:t>
            </w:r>
          </w:p>
        </w:tc>
      </w:tr>
      <w:tr>
        <w:trPr>
          <w:trHeight w:val="401" w:hRule="exact"/>
        </w:trPr>
        <w:tc>
          <w:tcPr>
            <w:tcW w:w="31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耿亚琴</w:t>
            </w:r>
          </w:p>
        </w:tc>
        <w:tc>
          <w:tcPr>
            <w:tcW w:w="374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510,000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21"/>
        <w:gridCol w:w="3749"/>
        <w:gridCol w:w="1349"/>
        <w:gridCol w:w="134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高卫国</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魏大庆</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342,040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342,040</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周国祥</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322,130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谷迎雪</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282,990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282,990</w:t>
            </w:r>
          </w:p>
        </w:tc>
      </w:tr>
      <w:tr>
        <w:trPr>
          <w:trHeight w:val="1027"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00" w:lineRule="auto" w:before="63"/>
              <w:ind w:left="24"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64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公司未知上述股东之间是否存在关联关系，也未知是否属于《上市公司收购管理办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法》规定的一致行动人。</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121"/>
        <w:gridCol w:w="2328"/>
        <w:gridCol w:w="411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控股股东姓名</w:t>
            </w: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4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李福华为新晨科技董事、康路为新晨科技董事长、张燕生为新晨科技董事及总经理</w:t>
            </w: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4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163"/>
        <w:gridCol w:w="2624"/>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李福华为新晨科技董事、康路为新晨科技董事长、张燕生为新晨科技董事及总经理</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实际控制人报告期内变更</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8" w:lineRule="auto" w:before="4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21"/>
          <w:szCs w:val="21"/>
        </w:rPr>
      </w:pPr>
    </w:p>
    <w:p>
      <w:pPr>
        <w:spacing w:line="2940" w:lineRule="exact"/>
        <w:ind w:left="1355"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591685" cy="18669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4591685" cy="1866900"/>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
        <w:rPr>
          <w:rFonts w:ascii="宋体" w:hAnsi="宋体" w:cs="宋体" w:eastAsia="宋体" w:hint="default"/>
          <w:sz w:val="23"/>
          <w:szCs w:val="23"/>
        </w:rPr>
      </w:pPr>
    </w:p>
    <w:p>
      <w:pPr>
        <w:pStyle w:val="BodyText"/>
        <w:spacing w:line="240" w:lineRule="auto"/>
        <w:ind w:right="1133"/>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19" w:right="0"/>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92"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708"/>
        <w:gridCol w:w="852"/>
        <w:gridCol w:w="566"/>
        <w:gridCol w:w="425"/>
        <w:gridCol w:w="425"/>
        <w:gridCol w:w="994"/>
        <w:gridCol w:w="994"/>
        <w:gridCol w:w="992"/>
        <w:gridCol w:w="991"/>
        <w:gridCol w:w="994"/>
        <w:gridCol w:w="850"/>
        <w:gridCol w:w="991"/>
      </w:tblGrid>
      <w:tr>
        <w:trPr>
          <w:trHeight w:val="754"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314" w:right="12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312" w:right="13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4" w:right="-34" w:firstLine="16"/>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4" w:right="-29"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4" w:right="59" w:firstLine="36"/>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（股）</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11,850,000</w:t>
            </w:r>
          </w:p>
        </w:tc>
        <w:tc>
          <w:tcPr>
            <w:tcW w:w="991"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8,295,000</w:t>
            </w:r>
          </w:p>
        </w:tc>
        <w:tc>
          <w:tcPr>
            <w:tcW w:w="994" w:type="dxa"/>
            <w:tcBorders>
              <w:top w:val="single" w:sz="8" w:space="0" w:color="D2D2D2"/>
              <w:left w:val="single" w:sz="4" w:space="0" w:color="000000"/>
              <w:bottom w:val="single" w:sz="4" w:space="0" w:color="000000"/>
              <w:right w:val="single" w:sz="4" w:space="0" w:color="000000"/>
            </w:tcBorders>
          </w:tcPr>
          <w:p>
            <w:pPr/>
          </w:p>
        </w:tc>
        <w:tc>
          <w:tcPr>
            <w:tcW w:w="850" w:type="dxa"/>
            <w:tcBorders>
              <w:top w:val="single" w:sz="8" w:space="0" w:color="D2D2D2"/>
              <w:left w:val="single" w:sz="4" w:space="0" w:color="000000"/>
              <w:bottom w:val="single" w:sz="4" w:space="0" w:color="000000"/>
              <w:right w:val="single" w:sz="4" w:space="0" w:color="000000"/>
            </w:tcBorders>
          </w:tcPr>
          <w:p>
            <w:pPr/>
          </w:p>
        </w:tc>
        <w:tc>
          <w:tcPr>
            <w:tcW w:w="991"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20,145,000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22,355,000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3"/>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17,510,000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李晓枫</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纪昕</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382,500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208,000</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3"/>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238,000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25,308,500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61,433,500</w:t>
            </w:r>
          </w:p>
        </w:tc>
      </w:tr>
    </w:tbl>
    <w:p>
      <w:pPr>
        <w:spacing w:line="240" w:lineRule="auto" w:before="1"/>
        <w:rPr>
          <w:rFonts w:ascii="宋体" w:hAnsi="宋体" w:cs="宋体" w:eastAsia="宋体" w:hint="default"/>
          <w:b/>
          <w:bCs/>
          <w:sz w:val="18"/>
          <w:szCs w:val="18"/>
        </w:rPr>
      </w:pPr>
    </w:p>
    <w:p>
      <w:pPr>
        <w:pStyle w:val="Heading2"/>
        <w:spacing w:line="240" w:lineRule="auto" w:before="26"/>
        <w:ind w:left="192" w:right="0"/>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4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240" w:lineRule="auto" w:before="115"/>
        <w:ind w:left="513" w:right="1133"/>
        <w:jc w:val="left"/>
      </w:pPr>
      <w:r>
        <w:rPr/>
        <w:t>（一）公司董事主要工作经历</w:t>
      </w:r>
    </w:p>
    <w:p>
      <w:pPr>
        <w:pStyle w:val="BodyText"/>
        <w:spacing w:line="300" w:lineRule="auto" w:before="76"/>
        <w:ind w:right="1042" w:firstLine="360"/>
        <w:jc w:val="left"/>
      </w:pPr>
      <w:r>
        <w:rPr>
          <w:rFonts w:ascii="Times New Roman" w:hAnsi="Times New Roman" w:cs="Times New Roman" w:eastAsia="Times New Roman" w:hint="default"/>
          <w:spacing w:val="-2"/>
        </w:rPr>
        <w:t>1</w:t>
      </w:r>
      <w:r>
        <w:rPr>
          <w:spacing w:val="-2"/>
        </w:rPr>
        <w:t>、康路，男，</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9</w:t>
      </w:r>
      <w:r>
        <w:rPr>
          <w:spacing w:val="-2"/>
        </w:rPr>
        <w:t>月出生，中国籍，无境外永久居留权，毕业于北京工业大学软件工程专业，大学本科学历，工程</w:t>
      </w:r>
      <w:r>
        <w:rPr/>
        <w:t> </w:t>
      </w:r>
      <w:r>
        <w:rPr>
          <w:spacing w:val="-1"/>
        </w:rPr>
        <w:t>师职称。</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月，先后在中国银行总行电脑部、澳门分行电脑部、总行科技部工作；</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12</w:t>
      </w:r>
      <w:r>
        <w:rPr>
          <w:spacing w:val="-1"/>
        </w:rPr>
        <w:t>月，</w:t>
      </w:r>
      <w:r>
        <w:rPr>
          <w:spacing w:val="-57"/>
        </w:rPr>
        <w:t> </w:t>
      </w:r>
      <w:r>
        <w:rPr/>
        <w:t>在北京新晨世纪电脑产业有限公司任职；</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月，任北京迅通达科技发展有限公司监事；</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 历任北京新晨计算机技术有限公司、新晨科技董事、董事长、总经理，现任新晨科技董事长。</w:t>
      </w:r>
    </w:p>
    <w:p>
      <w:pPr>
        <w:pStyle w:val="BodyText"/>
        <w:spacing w:line="300" w:lineRule="auto" w:before="31"/>
        <w:ind w:right="1128" w:firstLine="360"/>
        <w:jc w:val="both"/>
      </w:pPr>
      <w:r>
        <w:rPr>
          <w:rFonts w:ascii="Times New Roman" w:hAnsi="Times New Roman" w:cs="Times New Roman" w:eastAsia="Times New Roman" w:hint="default"/>
          <w:spacing w:val="-5"/>
        </w:rPr>
        <w:t>2</w:t>
      </w:r>
      <w:r>
        <w:rPr>
          <w:spacing w:val="-5"/>
        </w:rPr>
        <w:t>、李福华，男，</w:t>
      </w:r>
      <w:r>
        <w:rPr>
          <w:rFonts w:ascii="Times New Roman" w:hAnsi="Times New Roman" w:cs="Times New Roman" w:eastAsia="Times New Roman" w:hint="default"/>
          <w:spacing w:val="-5"/>
        </w:rPr>
        <w:t>1957</w:t>
      </w:r>
      <w:r>
        <w:rPr>
          <w:spacing w:val="-5"/>
        </w:rPr>
        <w:t>年</w:t>
      </w:r>
      <w:r>
        <w:rPr>
          <w:rFonts w:ascii="Times New Roman" w:hAnsi="Times New Roman" w:cs="Times New Roman" w:eastAsia="Times New Roman" w:hint="default"/>
          <w:spacing w:val="-5"/>
        </w:rPr>
        <w:t>4</w:t>
      </w:r>
      <w:r>
        <w:rPr>
          <w:spacing w:val="-5"/>
        </w:rPr>
        <w:t>月出生，中国籍，无境外永久居留权，毕业于北京工业大学软件工程专业，大学本科学历。</w:t>
      </w:r>
      <w:r>
        <w:rPr>
          <w:rFonts w:ascii="Times New Roman" w:hAnsi="Times New Roman" w:cs="Times New Roman" w:eastAsia="Times New Roman" w:hint="default"/>
          <w:spacing w:val="-5"/>
        </w:rPr>
        <w:t>1983</w:t>
      </w:r>
      <w:r>
        <w:rPr>
          <w:rFonts w:ascii="Times New Roman" w:hAnsi="Times New Roman" w:cs="Times New Roman" w:eastAsia="Times New Roman" w:hint="default"/>
          <w:spacing w:val="1"/>
        </w:rPr>
        <w:t> </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月，在中国银行总行科技部工作；</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12</w:t>
      </w:r>
      <w:r>
        <w:rPr>
          <w:spacing w:val="-1"/>
        </w:rPr>
        <w:t>月，在北京新晨世纪电脑产业有限公司任职；</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0"/>
        </w:rPr>
        <w:t> </w:t>
      </w:r>
      <w:r>
        <w:rPr/>
        <w:t>月至今，历任北京新晨计算机技术有限公司、新晨科技董事长、总经理，现任新晨科技董事。</w:t>
      </w:r>
    </w:p>
    <w:p>
      <w:pPr>
        <w:pStyle w:val="BodyText"/>
        <w:spacing w:line="300" w:lineRule="auto" w:before="31"/>
        <w:ind w:right="1128" w:firstLine="360"/>
        <w:jc w:val="left"/>
      </w:pPr>
      <w:r>
        <w:rPr>
          <w:rFonts w:ascii="Times New Roman" w:hAnsi="Times New Roman" w:cs="Times New Roman" w:eastAsia="Times New Roman" w:hint="default"/>
          <w:spacing w:val="-5"/>
        </w:rPr>
        <w:t>3</w:t>
      </w:r>
      <w:r>
        <w:rPr>
          <w:spacing w:val="-5"/>
        </w:rPr>
        <w:t>、张燕生，男，</w:t>
      </w:r>
      <w:r>
        <w:rPr>
          <w:rFonts w:ascii="Times New Roman" w:hAnsi="Times New Roman" w:cs="Times New Roman" w:eastAsia="Times New Roman" w:hint="default"/>
          <w:spacing w:val="-5"/>
        </w:rPr>
        <w:t>1958</w:t>
      </w:r>
      <w:r>
        <w:rPr>
          <w:spacing w:val="-5"/>
        </w:rPr>
        <w:t>年</w:t>
      </w:r>
      <w:r>
        <w:rPr>
          <w:rFonts w:ascii="Times New Roman" w:hAnsi="Times New Roman" w:cs="Times New Roman" w:eastAsia="Times New Roman" w:hint="default"/>
          <w:spacing w:val="-5"/>
        </w:rPr>
        <w:t>2</w:t>
      </w:r>
      <w:r>
        <w:rPr>
          <w:spacing w:val="-5"/>
        </w:rPr>
        <w:t>月出生，中国籍，无境外永久居留权，毕业于北京工业大学软件工程专业，大学本科学历。</w:t>
      </w:r>
      <w:r>
        <w:rPr>
          <w:rFonts w:ascii="Times New Roman" w:hAnsi="Times New Roman" w:cs="Times New Roman" w:eastAsia="Times New Roman" w:hint="default"/>
          <w:spacing w:val="-5"/>
        </w:rPr>
        <w:t>1983</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月，任职于中国对外贸易经济合作部计算中心；</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月，在北京新晨世纪电脑产业有限公司 任职；</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月至今，历任北京新晨计算机技术有限公司、新晨科技董事、副总经理，现任新晨科技董事、总经理。</w:t>
      </w:r>
    </w:p>
    <w:p>
      <w:pPr>
        <w:pStyle w:val="BodyText"/>
        <w:spacing w:line="240" w:lineRule="auto" w:before="13"/>
        <w:ind w:left="513" w:right="0"/>
        <w:jc w:val="left"/>
      </w:pPr>
      <w:r>
        <w:rPr>
          <w:rFonts w:ascii="Times New Roman" w:hAnsi="Times New Roman" w:cs="Times New Roman" w:eastAsia="Times New Roman" w:hint="default"/>
          <w:spacing w:val="-4"/>
        </w:rPr>
        <w:t>4</w:t>
      </w:r>
      <w:r>
        <w:rPr>
          <w:spacing w:val="-4"/>
        </w:rPr>
        <w:t>、杨汉杰，男，</w:t>
      </w:r>
      <w:r>
        <w:rPr>
          <w:rFonts w:ascii="Times New Roman" w:hAnsi="Times New Roman" w:cs="Times New Roman" w:eastAsia="Times New Roman" w:hint="default"/>
          <w:spacing w:val="-4"/>
        </w:rPr>
        <w:t>1974</w:t>
      </w:r>
      <w:r>
        <w:rPr>
          <w:spacing w:val="-4"/>
        </w:rPr>
        <w:t>年</w:t>
      </w:r>
      <w:r>
        <w:rPr>
          <w:rFonts w:ascii="Times New Roman" w:hAnsi="Times New Roman" w:cs="Times New Roman" w:eastAsia="Times New Roman" w:hint="default"/>
          <w:spacing w:val="-4"/>
        </w:rPr>
        <w:t>9</w:t>
      </w:r>
      <w:r>
        <w:rPr>
          <w:spacing w:val="-4"/>
        </w:rPr>
        <w:t>月出生，中国籍，无境外永久居留权，毕业于英国卡迪夫大学工商管理专业，硕士研究生学历。</w:t>
      </w:r>
    </w:p>
    <w:p>
      <w:pPr>
        <w:pStyle w:val="BodyText"/>
        <w:spacing w:line="309" w:lineRule="auto" w:before="63"/>
        <w:ind w:right="0"/>
        <w:jc w:val="left"/>
      </w:pP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11</w:t>
      </w:r>
      <w:r>
        <w:rPr/>
        <w:t>月，历任南京同创信息产业集团有限公司北京代表处销售代表、经销商部经理、大客户部经理；</w:t>
      </w:r>
      <w:r>
        <w:rPr>
          <w:rFonts w:ascii="Times New Roman" w:hAnsi="Times New Roman" w:cs="Times New Roman" w:eastAsia="Times New Roman" w:hint="default"/>
        </w:rPr>
        <w:t>1999 </w:t>
      </w:r>
      <w:r>
        <w:rPr>
          <w:spacing w:val="-2"/>
        </w:rPr>
        <w:t>年至今，历任北京新晨计算机技术有限公司、新晨科技市场部副总经理、金融贸易软件事业部总经理，现任新晨科技金融市</w:t>
      </w:r>
      <w:r>
        <w:rPr>
          <w:spacing w:val="-65"/>
        </w:rPr>
        <w:t> </w:t>
      </w:r>
      <w:r>
        <w:rPr>
          <w:spacing w:val="-65"/>
        </w:rPr>
      </w:r>
      <w:r>
        <w:rPr/>
        <w:t>场二部总经理、董事。</w:t>
      </w:r>
    </w:p>
    <w:p>
      <w:pPr>
        <w:pStyle w:val="BodyText"/>
        <w:spacing w:line="300" w:lineRule="auto" w:before="24"/>
        <w:ind w:right="1131" w:firstLine="360"/>
        <w:jc w:val="both"/>
      </w:pPr>
      <w:r>
        <w:rPr>
          <w:rFonts w:ascii="Times New Roman" w:hAnsi="Times New Roman" w:cs="Times New Roman" w:eastAsia="Times New Roman" w:hint="default"/>
          <w:spacing w:val="-2"/>
        </w:rPr>
        <w:t>5</w:t>
      </w:r>
      <w:r>
        <w:rPr>
          <w:spacing w:val="-2"/>
        </w:rPr>
        <w:t>、高冠江，男，</w:t>
      </w:r>
      <w:r>
        <w:rPr>
          <w:rFonts w:ascii="Times New Roman" w:hAnsi="Times New Roman" w:cs="Times New Roman" w:eastAsia="Times New Roman" w:hint="default"/>
          <w:spacing w:val="-2"/>
        </w:rPr>
        <w:t>1952</w:t>
      </w:r>
      <w:r>
        <w:rPr>
          <w:spacing w:val="-2"/>
        </w:rPr>
        <w:t>年</w:t>
      </w:r>
      <w:r>
        <w:rPr>
          <w:rFonts w:ascii="Times New Roman" w:hAnsi="Times New Roman" w:cs="Times New Roman" w:eastAsia="Times New Roman" w:hint="default"/>
          <w:spacing w:val="-2"/>
        </w:rPr>
        <w:t>8</w:t>
      </w:r>
      <w:r>
        <w:rPr>
          <w:spacing w:val="-2"/>
        </w:rPr>
        <w:t>月出生，中国籍，无境外永久居留权，毕业于武汉大学经济与管理学院国际金融专业，博士研</w:t>
      </w:r>
      <w:r>
        <w:rPr/>
        <w:t> </w:t>
      </w:r>
      <w:r>
        <w:rPr>
          <w:spacing w:val="-5"/>
        </w:rPr>
        <w:t>究生学历，研究员。</w:t>
      </w:r>
      <w:r>
        <w:rPr>
          <w:rFonts w:ascii="Times New Roman" w:hAnsi="Times New Roman" w:cs="Times New Roman" w:eastAsia="Times New Roman" w:hint="default"/>
          <w:spacing w:val="-5"/>
        </w:rPr>
        <w:t>1985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10</w:t>
      </w:r>
      <w:r>
        <w:rPr>
          <w:spacing w:val="-5"/>
        </w:rPr>
        <w:t>月在国务院发展研究中心，先后任研究员、对外经济研究部副部长；</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1"/>
        </w:rPr>
        <w:t>年</w:t>
      </w:r>
      <w:r>
        <w:rPr>
          <w:rFonts w:ascii="Times New Roman" w:hAnsi="Times New Roman" w:cs="Times New Roman" w:eastAsia="Times New Roman" w:hint="default"/>
          <w:spacing w:val="-1"/>
        </w:rPr>
        <w:t>4</w:t>
      </w:r>
      <w:r>
        <w:rPr>
          <w:spacing w:val="-1"/>
        </w:rPr>
        <w:t>月，在中国建设银行，任委托代理部副总经理；</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月，先后在中国信达资产管理公司、宏源证券股份有</w:t>
      </w:r>
      <w:r>
        <w:rPr/>
        <w:t> 限公司、信达证券股份有限公司任职；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月至今，任新晨科技独立董事。</w:t>
      </w:r>
    </w:p>
    <w:p>
      <w:pPr>
        <w:pStyle w:val="BodyText"/>
        <w:spacing w:line="300" w:lineRule="auto" w:before="13"/>
        <w:ind w:right="1040" w:firstLine="360"/>
        <w:jc w:val="left"/>
      </w:pPr>
      <w:r>
        <w:rPr>
          <w:rFonts w:ascii="Times New Roman" w:hAnsi="Times New Roman" w:cs="Times New Roman" w:eastAsia="Times New Roman" w:hint="default"/>
        </w:rPr>
        <w:t>6</w:t>
      </w:r>
      <w:r>
        <w:rPr/>
        <w:t>、李晓枫，男，</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2</w:t>
      </w:r>
      <w:r>
        <w:rPr/>
        <w:t>月出生，中国籍，无境外永久居留权，毕业于北京科技大学系统工程专业，博士研究生学历， 高级工程师（教授级）。</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月在联想集团，先后担任工程师、经理、部门总经理；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 </w:t>
      </w:r>
      <w:r>
        <w:rPr>
          <w:spacing w:val="-1"/>
        </w:rPr>
        <w:t>在中国人民银行金融信息管理中心，先后担任副主任、主任；</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11</w:t>
      </w:r>
      <w:r>
        <w:rPr>
          <w:spacing w:val="-1"/>
        </w:rPr>
        <w:t>月在中国人民银行科技司，任职副司长、</w:t>
      </w:r>
      <w:r>
        <w:rPr>
          <w:spacing w:val="-88"/>
        </w:rPr>
        <w:t> </w:t>
      </w:r>
      <w:r>
        <w:rPr>
          <w:spacing w:val="-88"/>
        </w:rPr>
      </w:r>
      <w:r>
        <w:rPr/>
        <w:t>巡视员；</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月在中国人民银行金融信息中心，任职主任；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月在中国金融电子化公司担 任董事，在金融信息化研究所担任所长；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月退休。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月至今，任新晨科技独立董事。</w:t>
      </w:r>
    </w:p>
    <w:p>
      <w:pPr>
        <w:pStyle w:val="BodyText"/>
        <w:spacing w:line="300" w:lineRule="auto" w:before="13"/>
        <w:ind w:right="1130" w:firstLine="360"/>
        <w:jc w:val="both"/>
      </w:pPr>
      <w:r>
        <w:rPr>
          <w:rFonts w:ascii="Times New Roman" w:hAnsi="Times New Roman" w:cs="Times New Roman" w:eastAsia="Times New Roman" w:hint="default"/>
          <w:spacing w:val="-2"/>
        </w:rPr>
        <w:t>7</w:t>
      </w:r>
      <w:r>
        <w:rPr>
          <w:spacing w:val="-2"/>
        </w:rPr>
        <w:t>、罗炜，男，</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4</w:t>
      </w:r>
      <w:r>
        <w:rPr>
          <w:spacing w:val="-2"/>
        </w:rPr>
        <w:t>月出生，中国籍，无境外永久居留权，毕业于美国匹兹堡大学会计学专业，博士研究生学历，副</w:t>
      </w:r>
      <w:r>
        <w:rPr/>
        <w:t> </w:t>
      </w:r>
      <w:r>
        <w:rPr>
          <w:spacing w:val="-1"/>
        </w:rPr>
        <w:t>教授。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月任中南财经大学会计学院助教；</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8</w:t>
      </w:r>
      <w:r>
        <w:rPr>
          <w:spacing w:val="-1"/>
        </w:rPr>
        <w:t>月至今历任北京大学光华管理学院会计系助理教授、副</w:t>
      </w:r>
      <w:r>
        <w:rPr>
          <w:spacing w:val="-88"/>
        </w:rPr>
        <w:t> </w:t>
      </w:r>
      <w:r>
        <w:rPr>
          <w:spacing w:val="-88"/>
        </w:rPr>
      </w:r>
      <w:r>
        <w:rPr/>
        <w:t>教授；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月至今，任新晨科技独立董事。</w:t>
      </w:r>
    </w:p>
    <w:p>
      <w:pPr>
        <w:pStyle w:val="BodyText"/>
        <w:spacing w:line="240" w:lineRule="auto" w:before="13"/>
        <w:ind w:left="513" w:right="1133"/>
        <w:jc w:val="left"/>
      </w:pPr>
      <w:r>
        <w:rPr/>
        <w:t>（二）公司监事主要工作经历</w:t>
      </w:r>
    </w:p>
    <w:p>
      <w:pPr>
        <w:pStyle w:val="BodyText"/>
        <w:spacing w:line="300" w:lineRule="auto" w:before="76"/>
        <w:ind w:right="1051" w:firstLine="360"/>
        <w:jc w:val="left"/>
      </w:pPr>
      <w:r>
        <w:rPr>
          <w:rFonts w:ascii="Times New Roman" w:hAnsi="Times New Roman" w:cs="Times New Roman" w:eastAsia="Times New Roman" w:hint="default"/>
        </w:rPr>
        <w:t>1</w:t>
      </w:r>
      <w:r>
        <w:rPr/>
        <w:t>、邹琳，女，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9</w:t>
      </w:r>
      <w:r>
        <w:rPr/>
        <w:t>月出生，中国籍，无境外永久居留权，毕业于中央民族大学管理学院工商管理专业，硕士学位， 研究生学历。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月，北京大学高级经理人培训中心，任职教务主任；</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月，蒙代尔国际 企业家大学，任职教学管理中心主任；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月，北京联合智业认证集团，担任培训中心主任；</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p>
    <w:p>
      <w:pPr>
        <w:pStyle w:val="BodyText"/>
        <w:spacing w:line="300" w:lineRule="auto" w:before="13"/>
        <w:ind w:right="1126"/>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9</w:t>
      </w:r>
      <w:r>
        <w:rPr>
          <w:spacing w:val="-1"/>
        </w:rPr>
        <w:t>月，北京恒勤咨询有限公司培训部门负责人；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月至今，任新晨科技招聘及培训专员；</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月至今，任新</w:t>
      </w:r>
      <w:r>
        <w:rPr>
          <w:w w:val="99"/>
        </w:rPr>
        <w:t> </w:t>
      </w:r>
      <w:r>
        <w:rPr/>
        <w:t>晨科技监事、监事会主席。</w:t>
      </w:r>
    </w:p>
    <w:p>
      <w:pPr>
        <w:pStyle w:val="BodyText"/>
        <w:spacing w:line="300" w:lineRule="auto" w:before="31"/>
        <w:ind w:right="1043" w:firstLine="432"/>
        <w:jc w:val="left"/>
      </w:pPr>
      <w:r>
        <w:rPr>
          <w:rFonts w:ascii="Times New Roman" w:hAnsi="Times New Roman" w:cs="Times New Roman" w:eastAsia="Times New Roman" w:hint="default"/>
        </w:rPr>
        <w:t>2</w:t>
      </w:r>
      <w:r>
        <w:rPr/>
        <w:t>、唐若梅，女，</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3</w:t>
      </w:r>
      <w:r>
        <w:rPr/>
        <w:t>月出生，中国籍，无境外永久居留权，毕业于北京广播电视大学工业会计专业，大学专科学 </w:t>
      </w:r>
      <w:r>
        <w:rPr>
          <w:spacing w:val="-3"/>
        </w:rPr>
        <w:t>历，会计师职称。</w:t>
      </w:r>
      <w:r>
        <w:rPr>
          <w:rFonts w:ascii="Times New Roman" w:hAnsi="Times New Roman" w:cs="Times New Roman" w:eastAsia="Times New Roman" w:hint="default"/>
          <w:spacing w:val="-3"/>
        </w:rPr>
        <w:t>1970</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12</w:t>
      </w:r>
      <w:r>
        <w:rPr>
          <w:spacing w:val="-3"/>
        </w:rPr>
        <w:t>月，先后在北京变压器厂、北京岭南饭店、北京新晨世纪电脑产业有限公司从事统计、</w:t>
      </w:r>
      <w:r>
        <w:rPr>
          <w:spacing w:val="-55"/>
        </w:rPr>
        <w:t> </w:t>
      </w:r>
      <w:r>
        <w:rPr>
          <w:spacing w:val="-55"/>
        </w:rPr>
      </w:r>
      <w:r>
        <w:rPr/>
        <w:t>会计工作；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月，历任北京新晨计算机技术有限公司、新晨科技财务总监、董事、监事，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月退休。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月至今，任新晨科技监事。</w:t>
      </w:r>
    </w:p>
    <w:p>
      <w:pPr>
        <w:pStyle w:val="BodyText"/>
        <w:spacing w:line="300" w:lineRule="auto" w:before="13"/>
        <w:ind w:right="1130" w:firstLine="360"/>
        <w:jc w:val="both"/>
      </w:pPr>
      <w:r>
        <w:rPr>
          <w:rFonts w:ascii="Times New Roman" w:hAnsi="Times New Roman" w:cs="Times New Roman" w:eastAsia="Times New Roman" w:hint="default"/>
          <w:spacing w:val="-4"/>
        </w:rPr>
        <w:t>3</w:t>
      </w:r>
      <w:r>
        <w:rPr>
          <w:spacing w:val="-4"/>
        </w:rPr>
        <w:t>、纪昕，男，</w:t>
      </w:r>
      <w:r>
        <w:rPr>
          <w:rFonts w:ascii="Times New Roman" w:hAnsi="Times New Roman" w:cs="Times New Roman" w:eastAsia="Times New Roman" w:hint="default"/>
          <w:spacing w:val="-4"/>
        </w:rPr>
        <w:t>1985</w:t>
      </w:r>
      <w:r>
        <w:rPr>
          <w:spacing w:val="-4"/>
        </w:rPr>
        <w:t>年</w:t>
      </w:r>
      <w:r>
        <w:rPr>
          <w:rFonts w:ascii="Times New Roman" w:hAnsi="Times New Roman" w:cs="Times New Roman" w:eastAsia="Times New Roman" w:hint="default"/>
          <w:spacing w:val="-4"/>
        </w:rPr>
        <w:t>5</w:t>
      </w:r>
      <w:r>
        <w:rPr>
          <w:spacing w:val="-4"/>
        </w:rPr>
        <w:t>月出生，中国籍，无境外永久居留权，毕业于西安电子科技大学，大学专科学历。</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-2010</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7</w:t>
      </w:r>
      <w:r>
        <w:rPr>
          <w:spacing w:val="-2"/>
        </w:rPr>
        <w:t>月，任职于新晨科技股份有限公司系统集成事业部，担任网络工程师；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月至今，任新晨科技政府企业市场二部高</w:t>
      </w:r>
      <w:r>
        <w:rPr>
          <w:spacing w:val="-60"/>
        </w:rPr>
        <w:t> </w:t>
      </w:r>
      <w:r>
        <w:rPr>
          <w:spacing w:val="-60"/>
        </w:rPr>
      </w:r>
      <w:r>
        <w:rPr/>
        <w:t>级销售经理；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月至今，任新晨科技监事。</w:t>
      </w:r>
    </w:p>
    <w:p>
      <w:pPr>
        <w:pStyle w:val="BodyText"/>
        <w:spacing w:line="240" w:lineRule="auto" w:before="13"/>
        <w:ind w:left="513" w:right="1133"/>
        <w:jc w:val="left"/>
      </w:pPr>
      <w:r>
        <w:rPr/>
        <w:t>（三）公司高级管理人员主要工作经历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1</w:t>
      </w:r>
      <w:r>
        <w:rPr/>
        <w:t>、张燕生，现任本公司董事、总经理，请参见董事部分简介。</w:t>
      </w:r>
    </w:p>
    <w:p>
      <w:pPr>
        <w:pStyle w:val="BodyText"/>
        <w:spacing w:line="300" w:lineRule="auto" w:before="63"/>
        <w:ind w:right="1138" w:firstLine="360"/>
        <w:jc w:val="both"/>
      </w:pPr>
      <w:r>
        <w:rPr>
          <w:rFonts w:ascii="Times New Roman" w:hAnsi="Times New Roman" w:cs="Times New Roman" w:eastAsia="Times New Roman" w:hint="default"/>
        </w:rPr>
        <w:t>2</w:t>
      </w:r>
      <w:r>
        <w:rPr/>
        <w:t>、张大新，女，</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9</w:t>
      </w:r>
      <w:r>
        <w:rPr/>
        <w:t>月出生，中国籍，无境外永久居留权，硕士学位。</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月，先后在中国电力企 业联合会、深圳市英业电讯有限公司、深圳市中银泰实业有限公司任职；</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月至今，历任北京新晨计算机技术有限公 司、新晨科技投资发展部副总经理、董事会秘书、公司监事，现任新晨科技副总经理、董事会秘书。</w:t>
      </w:r>
    </w:p>
    <w:p>
      <w:pPr>
        <w:pStyle w:val="BodyText"/>
        <w:spacing w:line="300" w:lineRule="auto" w:before="31"/>
        <w:ind w:right="1051" w:firstLine="360"/>
        <w:jc w:val="left"/>
      </w:pPr>
      <w:r>
        <w:rPr>
          <w:rFonts w:ascii="Times New Roman" w:hAnsi="Times New Roman" w:cs="Times New Roman" w:eastAsia="Times New Roman" w:hint="default"/>
        </w:rPr>
        <w:t>3</w:t>
      </w:r>
      <w:r>
        <w:rPr/>
        <w:t>、余克俭，女，</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3</w:t>
      </w:r>
      <w:r>
        <w:rPr/>
        <w:t>月出生，中国籍，无境外永久居留权，毕业于中国人民大学金融学专业，硕士学位，工程师、 会计师职称，注册会计师资格。</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月，在对外贸易经济合作部计算中心任职；</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月，在 中国国际信托投资公司信息中心任职；</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月至今，历任新晨科技财务经理、财务总监，现任新晨科技财务总监。</w:t>
      </w:r>
    </w:p>
    <w:p>
      <w:pPr>
        <w:pStyle w:val="BodyText"/>
        <w:spacing w:line="240" w:lineRule="auto" w:before="53"/>
        <w:ind w:right="1133"/>
        <w:jc w:val="left"/>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280"/>
        <w:gridCol w:w="1699"/>
        <w:gridCol w:w="853"/>
        <w:gridCol w:w="1346"/>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5" w:right="9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0" w:right="62"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天津时代怡诺科技股份有限公司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甘肃酒钢集团宏兴钢铁股份有限公司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中储发展股份有限公司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华油惠博普科技股份有限公司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江苏点逸网络科技有限公司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6"/>
          <w:pgSz w:w="11910" w:h="16840"/>
          <w:pgMar w:footer="980" w:header="745" w:top="1060" w:bottom="1160" w:left="980" w:right="0"/>
          <w:pgNumType w:start="6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199"/>
        <w:gridCol w:w="8370"/>
      </w:tblGrid>
      <w:tr>
        <w:trPr>
          <w:trHeight w:val="334" w:hRule="exact"/>
        </w:trPr>
        <w:tc>
          <w:tcPr>
            <w:tcW w:w="1199" w:type="dxa"/>
            <w:tcBorders>
              <w:top w:val="single" w:sz="6" w:space="0" w:color="000000"/>
              <w:left w:val="nil" w:sz="6" w:space="0" w:color="auto"/>
              <w:bottom w:val="single" w:sz="4" w:space="0" w:color="000000"/>
              <w:right w:val="nil" w:sz="6" w:space="0" w:color="auto"/>
            </w:tcBorders>
          </w:tcPr>
          <w:p>
            <w:pPr/>
          </w:p>
        </w:tc>
        <w:tc>
          <w:tcPr>
            <w:tcW w:w="8370"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112" w:right="0"/>
        <w:jc w:val="both"/>
      </w:pPr>
      <w:r>
        <w:rPr/>
        <w:t>公司现任及报告期内离任董事、监事和高级管理人员近三年证券监管机构处罚的情况</w:t>
      </w:r>
    </w:p>
    <w:p>
      <w:pPr>
        <w:pStyle w:val="BodyText"/>
        <w:spacing w:line="240" w:lineRule="auto" w:before="115"/>
        <w:ind w:left="11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0"/>
        <w:jc w:val="both"/>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0"/>
        <w:jc w:val="both"/>
      </w:pPr>
      <w:r>
        <w:rPr/>
        <w:t>董事、监事、高级管理人员报酬的决策程序、确定依据、实际支付情况</w:t>
      </w:r>
    </w:p>
    <w:p>
      <w:pPr>
        <w:pStyle w:val="BodyText"/>
        <w:spacing w:line="316" w:lineRule="auto" w:before="115"/>
        <w:ind w:left="473" w:right="0"/>
        <w:jc w:val="left"/>
      </w:pPr>
      <w:r>
        <w:rPr/>
        <w:t>（一）董事、监事、高级管理人员报酬的决策依据 </w:t>
      </w:r>
      <w:r>
        <w:rPr>
          <w:spacing w:val="-2"/>
        </w:rPr>
        <w:t>公司董事会下设薪酬与考核委员会，负责制定、审查公司董事及高级管理人员的薪酬政策与方案。薪酬与考核委员会提</w:t>
      </w:r>
    </w:p>
    <w:p>
      <w:pPr>
        <w:pStyle w:val="BodyText"/>
        <w:spacing w:line="319" w:lineRule="auto" w:before="19"/>
        <w:ind w:left="112" w:right="1130"/>
        <w:jc w:val="both"/>
      </w:pPr>
      <w:r>
        <w:rPr>
          <w:spacing w:val="-2"/>
        </w:rPr>
        <w:t>出的公司董事的薪酬计划，须报经董事会同意后，提交股东大会审议通过后方可实施；公司高级管理人员的薪酬分配方案须</w:t>
      </w:r>
      <w:r>
        <w:rPr>
          <w:spacing w:val="-63"/>
        </w:rPr>
        <w:t> </w:t>
      </w:r>
      <w:r>
        <w:rPr>
          <w:spacing w:val="-63"/>
        </w:rPr>
      </w:r>
      <w:r>
        <w:rPr>
          <w:spacing w:val="-2"/>
        </w:rPr>
        <w:t>报董事会批准，决策程序符合《董事会议事规则》和《董事会薪酬与考核委员会工作细则》等相关规定。公司监事的薪酬方</w:t>
      </w:r>
      <w:r>
        <w:rPr>
          <w:spacing w:val="-68"/>
        </w:rPr>
        <w:t> </w:t>
      </w:r>
      <w:r>
        <w:rPr>
          <w:spacing w:val="-68"/>
        </w:rPr>
      </w:r>
      <w:r>
        <w:rPr/>
        <w:t>案由监事会提出拟订，经股东大会审议批准后实施。</w:t>
      </w:r>
    </w:p>
    <w:p>
      <w:pPr>
        <w:pStyle w:val="BodyText"/>
        <w:spacing w:line="316" w:lineRule="auto" w:before="17"/>
        <w:ind w:left="473" w:right="2473"/>
        <w:jc w:val="left"/>
      </w:pPr>
      <w:r>
        <w:rPr/>
        <w:t>（二）董事、监事、高级管理人员报酬的确定依据 依据公司盈利水平及董事、监事、高级管理人员的职责履行情况并结合年度绩效完成情况综合确定。</w:t>
      </w:r>
    </w:p>
    <w:p>
      <w:pPr>
        <w:pStyle w:val="BodyText"/>
        <w:spacing w:line="316" w:lineRule="auto" w:before="19"/>
        <w:ind w:left="473" w:right="5533"/>
        <w:jc w:val="left"/>
      </w:pPr>
      <w:r>
        <w:rPr/>
        <w:t>（三）董事、监事、高级管理人员报酬的实际支付情况 公司报告期内董事、监事和高级管理人员报酬报酬按月发放。</w:t>
      </w:r>
    </w:p>
    <w:p>
      <w:pPr>
        <w:pStyle w:val="BodyText"/>
        <w:spacing w:line="240" w:lineRule="auto" w:before="59"/>
        <w:ind w:left="112" w:right="0"/>
        <w:jc w:val="both"/>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李晓枫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222.58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12" w:right="0"/>
        <w:jc w:val="left"/>
      </w:pPr>
      <w:r>
        <w:rPr/>
        <w:t>公司董事、高级管理人员报告期内被授予的股权激励情况</w:t>
      </w:r>
    </w:p>
    <w:p>
      <w:pPr>
        <w:pStyle w:val="BodyText"/>
        <w:spacing w:line="240" w:lineRule="auto" w:before="117"/>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公司员工薪酬政策本着与公司发展战略高度结合的设计原则，遵循激励性、公平性和竞争性的要求，意在促进员工价值</w:t>
      </w:r>
      <w:r>
        <w:rPr/>
        <w:t> </w:t>
      </w:r>
      <w:r>
        <w:rPr>
          <w:spacing w:val="-2"/>
        </w:rPr>
        <w:t>观念的凝合，保障公司稳健发展。通过建立以岗位价值为基础的、结合行业市场薪酬水平的及公司发展要求相契合的薪酬管</w:t>
      </w:r>
      <w:r>
        <w:rPr>
          <w:spacing w:val="-63"/>
        </w:rPr>
        <w:t> </w:t>
      </w:r>
      <w:r>
        <w:rPr>
          <w:spacing w:val="-63"/>
        </w:rPr>
      </w:r>
      <w:r>
        <w:rPr/>
        <w:t>理体系，以更好地保留和激励人才，推进公司发展战略的实现。</w:t>
      </w:r>
    </w:p>
    <w:p>
      <w:pPr>
        <w:pStyle w:val="BodyText"/>
        <w:spacing w:line="300" w:lineRule="auto" w:before="19"/>
        <w:ind w:left="513" w:right="0"/>
        <w:jc w:val="left"/>
        <w:rPr>
          <w:rFonts w:ascii="Times New Roman" w:hAnsi="Times New Roman" w:cs="Times New Roman" w:eastAsia="Times New Roman" w:hint="default"/>
        </w:rPr>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4"/>
        </w:rPr>
        <w:t>公司报告期内的职工薪酬总额为</w:t>
      </w:r>
      <w:r>
        <w:rPr>
          <w:rFonts w:ascii="Times New Roman" w:hAnsi="Times New Roman" w:cs="Times New Roman" w:eastAsia="Times New Roman" w:hint="default"/>
          <w:spacing w:val="-4"/>
        </w:rPr>
        <w:t>101,118,908.86</w:t>
      </w:r>
      <w:r>
        <w:rPr>
          <w:spacing w:val="-4"/>
        </w:rPr>
        <w:t>元，占公司成本总额</w:t>
      </w:r>
      <w:r>
        <w:rPr>
          <w:rFonts w:ascii="Times New Roman" w:hAnsi="Times New Roman" w:cs="Times New Roman" w:eastAsia="Times New Roman" w:hint="default"/>
          <w:spacing w:val="-4"/>
        </w:rPr>
        <w:t>15.93%</w:t>
      </w:r>
      <w:r>
        <w:rPr>
          <w:spacing w:val="-4"/>
        </w:rPr>
        <w:t>。</w:t>
      </w:r>
      <w:r>
        <w:rPr>
          <w:rFonts w:ascii="Times New Roman" w:hAnsi="Times New Roman" w:cs="Times New Roman" w:eastAsia="Times New Roman" w:hint="default"/>
          <w:spacing w:val="-4"/>
        </w:rPr>
        <w:t>2018</w:t>
      </w:r>
      <w:r>
        <w:rPr>
          <w:spacing w:val="-4"/>
        </w:rPr>
        <w:t>年度核心技术人员数量占比</w:t>
      </w:r>
      <w:r>
        <w:rPr>
          <w:rFonts w:ascii="Times New Roman" w:hAnsi="Times New Roman" w:cs="Times New Roman" w:eastAsia="Times New Roman" w:hint="default"/>
          <w:spacing w:val="-4"/>
        </w:rPr>
        <w:t>0.42%</w:t>
      </w:r>
      <w:r>
        <w:rPr>
          <w:spacing w:val="-4"/>
        </w:rPr>
        <w:t>，</w:t>
      </w:r>
      <w:r>
        <w:rPr>
          <w:rFonts w:ascii="Times New Roman" w:hAnsi="Times New Roman" w:cs="Times New Roman" w:eastAsia="Times New Roman" w:hint="default"/>
          <w:spacing w:val="-4"/>
        </w:rPr>
        <w:t>2018</w:t>
      </w:r>
    </w:p>
    <w:p>
      <w:pPr>
        <w:pStyle w:val="BodyText"/>
        <w:spacing w:line="240" w:lineRule="auto" w:before="13"/>
        <w:ind w:right="1133"/>
        <w:jc w:val="left"/>
      </w:pPr>
      <w:r>
        <w:rPr/>
        <w:t>年度核心技术人员薪酬占比</w:t>
      </w:r>
      <w:r>
        <w:rPr>
          <w:rFonts w:ascii="Times New Roman" w:hAnsi="Times New Roman" w:cs="Times New Roman" w:eastAsia="Times New Roman" w:hint="default"/>
        </w:rPr>
        <w:t>0.53%</w:t>
      </w:r>
      <w:r>
        <w:rPr/>
        <w:t>，</w:t>
      </w:r>
      <w:r>
        <w:rPr>
          <w:rFonts w:ascii="Times New Roman" w:hAnsi="Times New Roman" w:cs="Times New Roman" w:eastAsia="Times New Roman" w:hint="default"/>
        </w:rPr>
        <w:t>2018</w:t>
      </w:r>
      <w:r>
        <w:rPr/>
        <w:t>年度公司未发生核心技术人员变动情况。</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w:t>
      </w:r>
      <w:r>
        <w:rPr>
          <w:rFonts w:ascii="Times New Roman" w:hAnsi="Times New Roman" w:cs="Times New Roman" w:eastAsia="Times New Roman" w:hint="default"/>
        </w:rPr>
        <w:t>1</w:t>
      </w:r>
      <w:r>
        <w:rPr/>
        <w:t>）根据公司未来发展战略、年度经营计划、重点项目与各层级员工实际培训需求相结合，制定符合公司发展要求的</w:t>
      </w:r>
    </w:p>
    <w:p>
      <w:pPr>
        <w:pStyle w:val="BodyText"/>
        <w:spacing w:line="240" w:lineRule="auto" w:before="63"/>
        <w:ind w:right="1133"/>
        <w:jc w:val="left"/>
      </w:pPr>
      <w:r>
        <w:rPr/>
        <w:t>《年度培训计划》，报公司总经理审批后执行；</w:t>
      </w:r>
    </w:p>
    <w:p>
      <w:pPr>
        <w:pStyle w:val="BodyText"/>
        <w:spacing w:line="300" w:lineRule="auto" w:before="76"/>
        <w:ind w:right="1050"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年将“管理技能</w:t>
      </w:r>
      <w:r>
        <w:rPr>
          <w:rFonts w:ascii="宋体" w:hAnsi="宋体" w:cs="宋体" w:eastAsia="宋体" w:hint="default"/>
        </w:rPr>
        <w:t>+</w:t>
      </w:r>
      <w:r>
        <w:rPr/>
        <w:t>新技术”作为核心培训内容，将公司中层的部门、项目、技术管理人员作为重点培训对象， 以手机</w:t>
      </w:r>
      <w:r>
        <w:rPr>
          <w:rFonts w:ascii="Times New Roman" w:hAnsi="Times New Roman" w:cs="Times New Roman" w:eastAsia="Times New Roman" w:hint="default"/>
        </w:rPr>
        <w:t>APP</w:t>
      </w:r>
      <w:r>
        <w:rPr/>
        <w:t>端口为主要培训手段，对公司培训实现全流程可控管理；</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44" w:firstLine="360"/>
        <w:jc w:val="left"/>
      </w:pPr>
      <w:r>
        <w:rPr/>
        <w:t>（</w:t>
      </w:r>
      <w:r>
        <w:rPr>
          <w:rFonts w:ascii="Times New Roman" w:hAnsi="Times New Roman" w:cs="Times New Roman" w:eastAsia="Times New Roman" w:hint="default"/>
        </w:rPr>
        <w:t>3</w:t>
      </w:r>
      <w:r>
        <w:rPr/>
        <w:t>）厂商合作方面，组织华为认证、思科渠道、</w:t>
      </w:r>
      <w:r>
        <w:rPr>
          <w:rFonts w:ascii="Times New Roman" w:hAnsi="Times New Roman" w:cs="Times New Roman" w:eastAsia="Times New Roman" w:hint="default"/>
        </w:rPr>
        <w:t>IBM</w:t>
      </w:r>
      <w:r>
        <w:rPr/>
        <w:t>认证、</w:t>
      </w:r>
      <w:r>
        <w:rPr>
          <w:rFonts w:ascii="Times New Roman" w:hAnsi="Times New Roman" w:cs="Times New Roman" w:eastAsia="Times New Roman" w:hint="default"/>
        </w:rPr>
        <w:t>ORACLE</w:t>
      </w:r>
      <w:r>
        <w:rPr/>
        <w:t>合规等厂商培训，根据业务需要，组织厂商相关 产品培训；</w:t>
      </w:r>
    </w:p>
    <w:p>
      <w:pPr>
        <w:pStyle w:val="BodyText"/>
        <w:spacing w:line="300" w:lineRule="auto" w:before="31"/>
        <w:ind w:right="1124" w:firstLine="360"/>
        <w:jc w:val="left"/>
      </w:pPr>
      <w:r>
        <w:rPr/>
        <w:t>（</w:t>
      </w:r>
      <w:r>
        <w:rPr>
          <w:rFonts w:ascii="Times New Roman" w:hAnsi="Times New Roman" w:cs="Times New Roman" w:eastAsia="Times New Roman" w:hint="default"/>
        </w:rPr>
        <w:t>4</w:t>
      </w:r>
      <w:r>
        <w:rPr/>
        <w:t>）整合公司内部培训资源，建立并完善公司培训讲师制度，帮助技术团队推进技术培训，进而培养出符合公司要求 的内部培训讲师队伍。</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0"/>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spacing w:val="-4"/>
        </w:rPr>
        <w:t>报告期内，公司严格按照《公司法》、《证券法》、《上市公司治理准则》、《深圳证券交易所创业板股票上市规则》、</w:t>
      </w:r>
    </w:p>
    <w:p>
      <w:pPr>
        <w:pStyle w:val="BodyText"/>
        <w:spacing w:line="316" w:lineRule="auto" w:before="76"/>
        <w:ind w:right="1131"/>
        <w:jc w:val="both"/>
      </w:pPr>
      <w:r>
        <w:rPr>
          <w:spacing w:val="-2"/>
        </w:rPr>
        <w:t>《深圳证券交易所创业板上市公司规范运作指引》等相关法律、法规的要求，结合公司实际情况，不断完善公司法人治理结</w:t>
      </w:r>
      <w:r>
        <w:rPr>
          <w:spacing w:val="-64"/>
        </w:rPr>
        <w:t> </w:t>
      </w:r>
      <w:r>
        <w:rPr>
          <w:spacing w:val="-64"/>
        </w:rPr>
      </w:r>
      <w:r>
        <w:rPr>
          <w:spacing w:val="-2"/>
        </w:rPr>
        <w:t>构，建立健全公司内部管理和控制制度，进一步规范公司运作，提高公司治理水平。截至报告期末，公司治理的实际状况符</w:t>
      </w:r>
      <w:r>
        <w:rPr>
          <w:spacing w:val="-67"/>
        </w:rPr>
        <w:t> </w:t>
      </w:r>
      <w:r>
        <w:rPr>
          <w:spacing w:val="-67"/>
        </w:rPr>
      </w:r>
      <w:r>
        <w:rPr/>
        <w:t>合《上市公司治理准则》和《深圳证券交易所创业板上市公司规范运作指引》的要求。</w:t>
      </w:r>
    </w:p>
    <w:p>
      <w:pPr>
        <w:pStyle w:val="BodyText"/>
        <w:spacing w:line="300" w:lineRule="auto" w:before="19"/>
        <w:ind w:left="513" w:right="1133"/>
        <w:jc w:val="left"/>
      </w:pPr>
      <w:r>
        <w:rPr>
          <w:rFonts w:ascii="Times New Roman" w:hAnsi="Times New Roman" w:cs="Times New Roman" w:eastAsia="Times New Roman" w:hint="default"/>
        </w:rPr>
        <w:t>1</w:t>
      </w:r>
      <w:r>
        <w:rPr/>
        <w:t>、关于股东与股东大会 </w:t>
      </w:r>
      <w:r>
        <w:rPr>
          <w:spacing w:val="-2"/>
        </w:rPr>
        <w:t>公司股东按照《公司章程》、《上市公司股东大会规则》的规定按其所持股份享有平等权利，并承担相应义务。公司在</w:t>
      </w:r>
    </w:p>
    <w:p>
      <w:pPr>
        <w:pStyle w:val="BodyText"/>
        <w:spacing w:line="312" w:lineRule="auto" w:before="31"/>
        <w:ind w:right="1130"/>
        <w:jc w:val="both"/>
      </w:pPr>
      <w:r>
        <w:rPr>
          <w:spacing w:val="-2"/>
        </w:rPr>
        <w:t>《公司章程》、《公司股东大会议事规则》框架下，规范股东大会的召集、召开，确保股东依法行使权利，保证了股东对公</w:t>
      </w:r>
      <w:r>
        <w:rPr>
          <w:spacing w:val="-65"/>
        </w:rPr>
        <w:t> </w:t>
      </w:r>
      <w:r>
        <w:rPr>
          <w:spacing w:val="-65"/>
        </w:rPr>
      </w:r>
      <w:r>
        <w:rPr>
          <w:spacing w:val="-2"/>
        </w:rPr>
        <w:t>司重大事项的知情权、参与权、表决权，相关程序及决议合法有效。公司治理结构能够保证所有股东，特别是中小股东享有</w:t>
      </w:r>
      <w:r>
        <w:rPr>
          <w:spacing w:val="-67"/>
        </w:rPr>
        <w:t> </w:t>
      </w:r>
      <w:r>
        <w:rPr>
          <w:spacing w:val="-67"/>
        </w:rPr>
      </w:r>
      <w:r>
        <w:rPr/>
        <w:t>平等地位。报告期内，公司共召开股东大会</w:t>
      </w:r>
      <w:r>
        <w:rPr>
          <w:rFonts w:ascii="Times New Roman" w:hAnsi="Times New Roman" w:cs="Times New Roman" w:eastAsia="Times New Roman" w:hint="default"/>
        </w:rPr>
        <w:t>4</w:t>
      </w:r>
      <w:r>
        <w:rPr/>
        <w:t>次，均由董事会召集召开，同时公司聘请了专业律师见证股东大会，确保会议 召集、召开以及表决程序符合相关法律规定，从而保障全体股东的合法权益。</w:t>
      </w:r>
    </w:p>
    <w:p>
      <w:pPr>
        <w:pStyle w:val="BodyText"/>
        <w:spacing w:line="300" w:lineRule="auto" w:before="22"/>
        <w:ind w:left="513" w:right="0"/>
        <w:jc w:val="left"/>
      </w:pPr>
      <w:r>
        <w:rPr>
          <w:rFonts w:ascii="Times New Roman" w:hAnsi="Times New Roman" w:cs="Times New Roman" w:eastAsia="Times New Roman" w:hint="default"/>
        </w:rPr>
        <w:t>2</w:t>
      </w:r>
      <w:r>
        <w:rPr/>
        <w:t>、关于公司与控股股东 </w:t>
      </w:r>
      <w:r>
        <w:rPr>
          <w:spacing w:val="-2"/>
        </w:rPr>
        <w:t>公司控股股东积极维护上市公司利益，履行控股股东的相关承诺与职责，有效保障了中小股东的利益。公司具有独立的</w:t>
      </w:r>
    </w:p>
    <w:p>
      <w:pPr>
        <w:pStyle w:val="BodyText"/>
        <w:spacing w:line="316" w:lineRule="auto" w:before="31"/>
        <w:ind w:right="1130"/>
        <w:jc w:val="both"/>
      </w:pPr>
      <w:r>
        <w:rPr>
          <w:spacing w:val="-2"/>
        </w:rPr>
        <w:t>业务经营能力及完备的运营体系，在业务、人员、资产、机构、财务上均独立于控股股东，公司董事会、监事会和管理层根</w:t>
      </w:r>
      <w:r>
        <w:rPr>
          <w:spacing w:val="-71"/>
        </w:rPr>
        <w:t> </w:t>
      </w:r>
      <w:r>
        <w:rPr>
          <w:spacing w:val="-71"/>
        </w:rPr>
      </w:r>
      <w:r>
        <w:rPr>
          <w:spacing w:val="-2"/>
        </w:rPr>
        <w:t>据其议事规则及公司制度独立运作。公司控股股东能严格规范自己的行为，通过股东大会依法行使其权利并承担义务，没有</w:t>
      </w:r>
      <w:r>
        <w:rPr>
          <w:spacing w:val="-63"/>
        </w:rPr>
        <w:t> </w:t>
      </w:r>
      <w:r>
        <w:rPr>
          <w:spacing w:val="-63"/>
        </w:rPr>
      </w:r>
      <w:r>
        <w:rPr/>
        <w:t>超越股东大会直接或间接干预公司经营活动。</w:t>
      </w:r>
    </w:p>
    <w:p>
      <w:pPr>
        <w:pStyle w:val="BodyText"/>
        <w:spacing w:line="300" w:lineRule="auto" w:before="19"/>
        <w:ind w:left="513" w:right="0"/>
        <w:jc w:val="left"/>
      </w:pPr>
      <w:r>
        <w:rPr>
          <w:rFonts w:ascii="Times New Roman" w:hAnsi="Times New Roman" w:cs="Times New Roman" w:eastAsia="Times New Roman" w:hint="default"/>
        </w:rPr>
        <w:t>3</w:t>
      </w:r>
      <w:r>
        <w:rPr/>
        <w:t>、关于董事和董事会 </w:t>
      </w:r>
      <w:r>
        <w:rPr>
          <w:spacing w:val="-2"/>
        </w:rPr>
        <w:t>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名。董事会的人数、任职资格、人员构成均符合有关法律、法规以及《公司</w:t>
      </w:r>
    </w:p>
    <w:p>
      <w:pPr>
        <w:pStyle w:val="BodyText"/>
        <w:spacing w:line="314" w:lineRule="auto" w:before="13"/>
        <w:ind w:right="1131"/>
        <w:jc w:val="both"/>
      </w:pPr>
      <w:r>
        <w:rPr>
          <w:spacing w:val="-2"/>
        </w:rPr>
        <w:t>章程》的要求。各位董事能够以认真负责的态度出席董事会和股东大会，依法行使职权，勤勉尽责地履行职责，能够持续关</w:t>
      </w:r>
      <w:r>
        <w:rPr>
          <w:spacing w:val="-67"/>
        </w:rPr>
        <w:t> </w:t>
      </w:r>
      <w:r>
        <w:rPr>
          <w:spacing w:val="-67"/>
        </w:rPr>
      </w:r>
      <w:r>
        <w:rPr>
          <w:spacing w:val="-2"/>
        </w:rPr>
        <w:t>注公司经营状况。公司董事会的召开符合《公司法》、《公司章程》及《董事会议事规则》等相关规定，履行了必要的法律</w:t>
      </w:r>
      <w:r>
        <w:rPr>
          <w:spacing w:val="-70"/>
        </w:rPr>
        <w:t> </w:t>
      </w:r>
      <w:r>
        <w:rPr>
          <w:spacing w:val="-70"/>
        </w:rPr>
      </w:r>
      <w:r>
        <w:rPr>
          <w:spacing w:val="-2"/>
        </w:rPr>
        <w:t>程序，会议召开及决议内容均合法有效，不存在董事会或高级管理人员违反《公司法》及其他规定行使职权的情形。报告期</w:t>
      </w:r>
      <w:r>
        <w:rPr>
          <w:spacing w:val="-67"/>
        </w:rPr>
        <w:t> </w:t>
      </w:r>
      <w:r>
        <w:rPr>
          <w:spacing w:val="-67"/>
        </w:rPr>
      </w:r>
      <w:r>
        <w:rPr>
          <w:spacing w:val="-2"/>
        </w:rPr>
        <w:t>内，公司董事会共召开了</w:t>
      </w:r>
      <w:r>
        <w:rPr>
          <w:rFonts w:ascii="Times New Roman" w:hAnsi="Times New Roman" w:cs="Times New Roman" w:eastAsia="Times New Roman" w:hint="default"/>
          <w:spacing w:val="-2"/>
        </w:rPr>
        <w:t>10</w:t>
      </w:r>
      <w:r>
        <w:rPr>
          <w:spacing w:val="-2"/>
        </w:rPr>
        <w:t>次董事会会议。公司董事会下设战略发展委员会、薪酬与考核委员会、提名委员会与审计委员会</w:t>
      </w:r>
      <w:r>
        <w:rPr>
          <w:spacing w:val="-63"/>
        </w:rPr>
        <w:t> </w:t>
      </w:r>
      <w:r>
        <w:rPr>
          <w:spacing w:val="-63"/>
        </w:rPr>
      </w:r>
      <w:r>
        <w:rPr/>
        <w:t>四个专门委员会。各委员会根据《公司章程》和各委员会工作细则的规定行使职权。</w:t>
      </w:r>
    </w:p>
    <w:p>
      <w:pPr>
        <w:pStyle w:val="BodyText"/>
        <w:spacing w:line="300" w:lineRule="auto" w:before="20"/>
        <w:ind w:left="513" w:right="1123"/>
        <w:jc w:val="left"/>
      </w:pPr>
      <w:r>
        <w:rPr>
          <w:rFonts w:ascii="Times New Roman" w:hAnsi="Times New Roman" w:cs="Times New Roman" w:eastAsia="Times New Roman" w:hint="default"/>
        </w:rPr>
        <w:t>4</w:t>
      </w:r>
      <w:r>
        <w:rPr/>
        <w:t>、关于监事和监事会 公司监事会由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名，设监事会主席</w:t>
      </w:r>
      <w:r>
        <w:rPr>
          <w:rFonts w:ascii="Times New Roman" w:hAnsi="Times New Roman" w:cs="Times New Roman" w:eastAsia="Times New Roman" w:hint="default"/>
        </w:rPr>
        <w:t>1</w:t>
      </w:r>
      <w:r>
        <w:rPr/>
        <w:t>名，监事会的人数、任职资格以及人员构成均符合</w:t>
      </w:r>
    </w:p>
    <w:p>
      <w:pPr>
        <w:pStyle w:val="BodyText"/>
        <w:spacing w:line="312" w:lineRule="auto" w:before="13"/>
        <w:ind w:right="1130"/>
        <w:jc w:val="both"/>
      </w:pPr>
      <w:r>
        <w:rPr>
          <w:spacing w:val="-2"/>
        </w:rPr>
        <w:t>相关法律、法规和《公司章程》的要求。公司已建立起《监事会议事规则》等制度，监事会会议的召开、提案的审议和表决</w:t>
      </w:r>
      <w:r>
        <w:rPr>
          <w:spacing w:val="-65"/>
        </w:rPr>
        <w:t> </w:t>
      </w:r>
      <w:r>
        <w:rPr>
          <w:spacing w:val="-65"/>
        </w:rPr>
      </w:r>
      <w:r>
        <w:rPr>
          <w:spacing w:val="-2"/>
        </w:rPr>
        <w:t>符合程序，监事能够按照法律法规和相关制度的要求，认真履行自己的职责，对公司的重大经营事项、财务状况、董事和高</w:t>
      </w:r>
      <w:r>
        <w:rPr>
          <w:spacing w:val="-66"/>
        </w:rPr>
        <w:t> </w:t>
      </w:r>
      <w:r>
        <w:rPr>
          <w:spacing w:val="-66"/>
        </w:rPr>
      </w:r>
      <w:r>
        <w:rPr/>
        <w:t>级管理人员履行职责情况进行监督，从而维护了公司及股东的合法权益。报告期内，公司监事会共召开了</w:t>
      </w:r>
      <w:r>
        <w:rPr>
          <w:rFonts w:ascii="Times New Roman" w:hAnsi="Times New Roman" w:cs="Times New Roman" w:eastAsia="Times New Roman" w:hint="default"/>
        </w:rPr>
        <w:t>8</w:t>
      </w:r>
      <w:r>
        <w:rPr/>
        <w:t>次监事会会议。</w:t>
      </w:r>
      <w:r>
        <w:rPr>
          <w:spacing w:val="-87"/>
        </w:rPr>
        <w:t> </w:t>
      </w:r>
      <w:r>
        <w:rPr/>
        <w:t>会议的召集召开程序符合法律法规、《公司章程》及《监事会议事规则》的相关规定。</w:t>
      </w:r>
    </w:p>
    <w:p>
      <w:pPr>
        <w:pStyle w:val="BodyText"/>
        <w:spacing w:line="300" w:lineRule="auto" w:before="22"/>
        <w:ind w:left="513" w:right="1033"/>
        <w:jc w:val="left"/>
      </w:pPr>
      <w:r>
        <w:rPr>
          <w:rFonts w:ascii="Times New Roman" w:hAnsi="Times New Roman" w:cs="Times New Roman" w:eastAsia="Times New Roman" w:hint="default"/>
        </w:rPr>
        <w:t>5</w:t>
      </w:r>
      <w:r>
        <w:rPr/>
        <w:t>、关于信息披露与透明度 公司已制定《信息披露管理制度》、《董事会秘书工作制度》、《重大信息内部报告制度》、《投资者关系管理制度》</w:t>
      </w:r>
    </w:p>
    <w:p>
      <w:pPr>
        <w:pStyle w:val="BodyText"/>
        <w:spacing w:line="316" w:lineRule="auto" w:before="32"/>
        <w:ind w:right="1044"/>
        <w:jc w:val="both"/>
      </w:pPr>
      <w:r>
        <w:rPr>
          <w:spacing w:val="-4"/>
        </w:rPr>
        <w:t>等，指定董事会秘书和证券事务部负责公司的信息披露和投资者关系管理，接待股东的来访和咨询。公司严格按照有关法律、</w:t>
      </w:r>
      <w:r>
        <w:rPr>
          <w:spacing w:val="-44"/>
        </w:rPr>
        <w:t> </w:t>
      </w:r>
      <w:r>
        <w:rPr>
          <w:spacing w:val="-44"/>
        </w:rPr>
      </w:r>
      <w:r>
        <w:rPr/>
        <w:t>法规和公司制度的要求，加强信息披露事务管理、履行信息披露义务，加强与投资者的信息沟通，公司指定《证券时报》、</w:t>
      </w:r>
    </w:p>
    <w:p>
      <w:pPr>
        <w:pStyle w:val="BodyText"/>
        <w:spacing w:line="300" w:lineRule="auto" w:before="19"/>
        <w:ind w:right="1040"/>
        <w:jc w:val="both"/>
      </w:pPr>
      <w:r>
        <w:rPr>
          <w:spacing w:val="-2"/>
        </w:rPr>
        <w:t>《上海证券报》和中国证监会指定的创业板信息披露网巨潮资讯网（</w:t>
      </w:r>
      <w:hyperlink r:id="rId11">
        <w:r>
          <w:rPr>
            <w:rFonts w:ascii="Times New Roman" w:hAnsi="Times New Roman" w:cs="Times New Roman" w:eastAsia="Times New Roman" w:hint="default"/>
            <w:spacing w:val="-2"/>
          </w:rPr>
          <w:t>http://www.cninfo.com.cn</w:t>
        </w:r>
      </w:hyperlink>
      <w:r>
        <w:rPr>
          <w:spacing w:val="-2"/>
        </w:rPr>
        <w:t>）为公司信息披露报纸和网站，</w:t>
      </w:r>
      <w:r>
        <w:rPr>
          <w:spacing w:val="-47"/>
        </w:rPr>
        <w:t> </w:t>
      </w:r>
      <w:r>
        <w:rPr>
          <w:spacing w:val="-47"/>
        </w:rPr>
      </w:r>
      <w:r>
        <w:rPr/>
        <w:t>真实、准确、及时、公平、完整地披露有关信息。</w:t>
      </w:r>
    </w:p>
    <w:p>
      <w:pPr>
        <w:pStyle w:val="BodyText"/>
        <w:spacing w:line="240" w:lineRule="auto" w:before="72"/>
        <w:ind w:right="0"/>
        <w:jc w:val="both"/>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360"/>
        <w:jc w:val="both"/>
      </w:pPr>
      <w:r>
        <w:rPr/>
        <w:t>公司严格按照《公司法》、《证券法》等有关法律、法规和《公司章程》的要求规范运作，与控股股东在业务、人员、 资产、机构、财务等方面完全独立，具有独立完整的业务及自主经营能力。</w:t>
      </w:r>
    </w:p>
    <w:p>
      <w:pPr>
        <w:pStyle w:val="BodyText"/>
        <w:spacing w:line="240" w:lineRule="auto" w:before="19"/>
        <w:ind w:left="513" w:right="1133"/>
        <w:jc w:val="left"/>
      </w:pPr>
      <w:r>
        <w:rPr>
          <w:rFonts w:ascii="Times New Roman" w:hAnsi="Times New Roman" w:cs="Times New Roman" w:eastAsia="Times New Roman" w:hint="default"/>
        </w:rPr>
        <w:t>1</w:t>
      </w:r>
      <w:r>
        <w:rPr/>
        <w:t>、资产完整方面：公司具备与经营有关的业务体系及主要相关资产；</w:t>
      </w:r>
    </w:p>
    <w:p>
      <w:pPr>
        <w:pStyle w:val="BodyText"/>
        <w:spacing w:line="309" w:lineRule="auto" w:before="63"/>
        <w:ind w:right="1131" w:firstLine="360"/>
        <w:jc w:val="both"/>
      </w:pPr>
      <w:r>
        <w:rPr>
          <w:rFonts w:ascii="Times New Roman" w:hAnsi="Times New Roman" w:cs="Times New Roman" w:eastAsia="Times New Roman" w:hint="default"/>
        </w:rPr>
        <w:t>2</w:t>
      </w:r>
      <w:r>
        <w:rPr/>
        <w:t>、人员独立方面：公司总经理、副总经理、财务负责人和董事会秘书等高级管理人员不在控股股东、实际控制人及其 </w:t>
      </w:r>
      <w:r>
        <w:rPr>
          <w:spacing w:val="-2"/>
        </w:rPr>
        <w:t>控制的其他企业中担任除董事、监事以外的其他职务，不在控股股东、实际控制人及其控制的其他企业领薪；公司的财务人</w:t>
      </w:r>
      <w:r>
        <w:rPr>
          <w:spacing w:val="-64"/>
        </w:rPr>
        <w:t> </w:t>
      </w:r>
      <w:r>
        <w:rPr>
          <w:spacing w:val="-64"/>
        </w:rPr>
      </w:r>
      <w:r>
        <w:rPr/>
        <w:t>员不在控股股东、实际控制人及其控制的其他企业中兼职；</w:t>
      </w:r>
    </w:p>
    <w:p>
      <w:pPr>
        <w:pStyle w:val="BodyText"/>
        <w:spacing w:line="300" w:lineRule="auto" w:before="24"/>
        <w:ind w:right="1140" w:firstLine="360"/>
        <w:jc w:val="both"/>
      </w:pPr>
      <w:r>
        <w:rPr>
          <w:rFonts w:ascii="Times New Roman" w:hAnsi="Times New Roman" w:cs="Times New Roman" w:eastAsia="Times New Roman" w:hint="default"/>
        </w:rPr>
        <w:t>3</w:t>
      </w:r>
      <w:r>
        <w:rPr/>
        <w:t>、财务独立方面：公司已建立独立的财务核算体系、能够独立作出财务决策、具有规范的财务会计制度和对子公司的 财务管理制度；公司未与控股股东、实际控制人及其控制的其他企业共用银行账户；</w:t>
      </w:r>
    </w:p>
    <w:p>
      <w:pPr>
        <w:pStyle w:val="BodyText"/>
        <w:spacing w:line="300" w:lineRule="auto" w:before="31"/>
        <w:ind w:right="1139" w:firstLine="360"/>
        <w:jc w:val="both"/>
      </w:pPr>
      <w:r>
        <w:rPr>
          <w:rFonts w:ascii="Times New Roman" w:hAnsi="Times New Roman" w:cs="Times New Roman" w:eastAsia="Times New Roman" w:hint="default"/>
        </w:rPr>
        <w:t>4</w:t>
      </w:r>
      <w:r>
        <w:rPr/>
        <w:t>、机构独立方面：公司已建立健全内部经营管理机构、独立行使经营管理职权，与控股股东和实际控制人及其控制的 其他企业间不存在机构混同的情形；</w:t>
      </w:r>
    </w:p>
    <w:p>
      <w:pPr>
        <w:pStyle w:val="BodyText"/>
        <w:spacing w:line="300" w:lineRule="auto" w:before="31"/>
        <w:ind w:right="1139" w:firstLine="360"/>
        <w:jc w:val="both"/>
      </w:pPr>
      <w:r>
        <w:rPr>
          <w:rFonts w:ascii="Times New Roman" w:hAnsi="Times New Roman" w:cs="Times New Roman" w:eastAsia="Times New Roman" w:hint="default"/>
        </w:rPr>
        <w:t>5</w:t>
      </w:r>
      <w:r>
        <w:rPr/>
        <w:t>、业务独立方面：公司业务独立于控股股东、实际控制人及其控制的其他企业，与控股股东、实际控制人及其控制的 其他企业间不存在同业竞争或者显失公平的关联交易。</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850"/>
        <w:gridCol w:w="1560"/>
        <w:gridCol w:w="1558"/>
        <w:gridCol w:w="2055"/>
      </w:tblGrid>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3"/>
        <w:rPr>
          <w:rFonts w:ascii="宋体" w:hAnsi="宋体" w:cs="宋体" w:eastAsia="宋体" w:hint="default"/>
          <w:b/>
          <w:bCs/>
          <w:sz w:val="25"/>
          <w:szCs w:val="25"/>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6pt;height:20.1pt;mso-position-horizontal-relative:char;mso-position-vertical-relative:line" type="#_x0000_t202" filled="true" fillcolor="#d2d2d2" stroked="true" strokeweight=".47998pt" strokecolor="#000000">
            <w10:anchorlock/>
            <v:textbox inset="0,0,0,0">
              <w:txbxContent>
                <w:p>
                  <w:pPr>
                    <w:pStyle w:val="BodyText"/>
                    <w:spacing w:line="240" w:lineRule="auto" w:before="50"/>
                    <w:ind w:left="-1" w:right="1"/>
                    <w:jc w:val="center"/>
                  </w:pPr>
                  <w:r>
                    <w:rPr/>
                    <w:t>独立董事出席董事会及股东大会的情况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006"/>
        <w:gridCol w:w="1561"/>
        <w:gridCol w:w="924"/>
      </w:tblGrid>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6" w:right="96"/>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李晓枫</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4" w:lineRule="auto" w:before="39"/>
        <w:ind w:right="1044" w:firstLine="360"/>
        <w:jc w:val="both"/>
      </w:pPr>
      <w:r>
        <w:rPr>
          <w:spacing w:val="-2"/>
        </w:rPr>
        <w:t>报告期内，公司独立董事严格按照《公司法》、《深圳证券交易所创业板股票上市规则》、《深圳证券交易所创业板上</w:t>
      </w:r>
      <w:r>
        <w:rPr/>
        <w:t> </w:t>
      </w:r>
      <w:r>
        <w:rPr>
          <w:spacing w:val="-2"/>
        </w:rPr>
        <w:t>市公司规范运作指引》等其他有关法律法规和《公司章程》、《独立董事工作制度》等公司相关制度的规定和要求，在</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6"/>
        </w:rPr>
        <w:t> </w:t>
      </w:r>
      <w:r>
        <w:rPr>
          <w:spacing w:val="-2"/>
        </w:rPr>
        <w:t>年度工作中勤勉尽责，忠实履行职责，积极出席相关会议，认真审议董事会各项议案，客观地发表自己的看法及观点，对公</w:t>
      </w:r>
      <w:r>
        <w:rPr>
          <w:spacing w:val="-67"/>
        </w:rPr>
        <w:t> </w:t>
      </w:r>
      <w:r>
        <w:rPr>
          <w:spacing w:val="-67"/>
        </w:rPr>
      </w:r>
      <w:r>
        <w:rPr>
          <w:spacing w:val="-2"/>
        </w:rPr>
        <w:t>司重大事项发表了独立意见，充分发挥了独立董事的独立作用，对公司董事会审议的事项未提出过异议。在公司的制度完善</w:t>
      </w:r>
      <w:r>
        <w:rPr>
          <w:spacing w:val="-63"/>
        </w:rPr>
        <w:t> </w:t>
      </w:r>
      <w:r>
        <w:rPr>
          <w:spacing w:val="-63"/>
        </w:rPr>
      </w:r>
      <w:r>
        <w:rPr>
          <w:spacing w:val="-4"/>
        </w:rPr>
        <w:t>和日常经营决策等方面提出了专业性建议，对公司的良性发展起到了积极作用，切实维护了公司和股东尤其是中小股东利益。</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9" w:firstLine="360"/>
        <w:jc w:val="both"/>
      </w:pPr>
      <w:r>
        <w:rPr/>
        <w:t>公司董事会下设审计委员会、战略发展委员会、薪酬与考核委员会、提名委员会</w:t>
      </w:r>
      <w:r>
        <w:rPr>
          <w:rFonts w:ascii="Times New Roman" w:hAnsi="Times New Roman" w:cs="Times New Roman" w:eastAsia="Times New Roman" w:hint="default"/>
        </w:rPr>
        <w:t>4</w:t>
      </w:r>
      <w:r>
        <w:rPr/>
        <w:t>个专门委员会，就各专业性事项进行 研究，提出意见及建议，各专门委员会对董事会负责。</w:t>
      </w:r>
    </w:p>
    <w:p>
      <w:pPr>
        <w:pStyle w:val="BodyText"/>
        <w:spacing w:line="316" w:lineRule="auto" w:before="31"/>
        <w:ind w:left="513" w:right="1133" w:firstLine="72"/>
        <w:jc w:val="left"/>
      </w:pPr>
      <w:r>
        <w:rPr/>
        <w:t>（一）董事会审计委员会 </w:t>
      </w:r>
      <w:r>
        <w:rPr>
          <w:spacing w:val="-2"/>
        </w:rPr>
        <w:t>董事会审计委员会主要依据《董事会审计委员会工作细则》、《董事会审计委员会年报工作规程》及其他有关规定，积</w:t>
      </w:r>
    </w:p>
    <w:p>
      <w:pPr>
        <w:pStyle w:val="BodyText"/>
        <w:spacing w:line="309" w:lineRule="auto" w:before="19"/>
        <w:ind w:right="1131"/>
        <w:jc w:val="both"/>
      </w:pPr>
      <w:r>
        <w:rPr>
          <w:spacing w:val="-2"/>
        </w:rPr>
        <w:t>极开展工作并认真履行职责，指导和监督内部审计工作，审查内控制度，审核公司财务信息及披露，协调与会计师事务所关</w:t>
      </w:r>
      <w:r>
        <w:rPr>
          <w:spacing w:val="-65"/>
        </w:rPr>
        <w:t> </w:t>
      </w:r>
      <w:r>
        <w:rPr>
          <w:spacing w:val="-65"/>
        </w:rPr>
      </w:r>
      <w:r>
        <w:rPr/>
        <w:t>系等。报告期内，公司共召开了</w:t>
      </w:r>
      <w:r>
        <w:rPr>
          <w:rFonts w:ascii="Times New Roman" w:hAnsi="Times New Roman" w:cs="Times New Roman" w:eastAsia="Times New Roman" w:hint="default"/>
        </w:rPr>
        <w:t>5</w:t>
      </w:r>
      <w:r>
        <w:rPr/>
        <w:t>次审计委员会会议，对定期报告、内部控制自我评价报告、募集资金使用情况、会计政策 变更、会计估计变更、聘请</w:t>
      </w:r>
      <w:r>
        <w:rPr>
          <w:rFonts w:ascii="Times New Roman" w:hAnsi="Times New Roman" w:cs="Times New Roman" w:eastAsia="Times New Roman" w:hint="default"/>
        </w:rPr>
        <w:t>2018</w:t>
      </w:r>
      <w:r>
        <w:rPr/>
        <w:t>年度会计师事务所等事项进行了讨论和审议，相关会议均按照有关规定的程序召开。</w:t>
      </w:r>
    </w:p>
    <w:p>
      <w:pPr>
        <w:pStyle w:val="BodyText"/>
        <w:spacing w:line="316" w:lineRule="auto" w:before="5"/>
        <w:ind w:left="513" w:right="1133"/>
        <w:jc w:val="left"/>
      </w:pPr>
      <w:r>
        <w:rPr/>
        <w:t>（二）董事会战略发展委员会 </w:t>
      </w:r>
      <w:r>
        <w:rPr>
          <w:spacing w:val="-2"/>
        </w:rPr>
        <w:t>董事会战略发展委员会主要依据《董事会战略发展委员工作细则》的相关规定，积极开展相关工作，认真履行职责，结</w:t>
      </w:r>
    </w:p>
    <w:p>
      <w:pPr>
        <w:pStyle w:val="BodyText"/>
        <w:spacing w:line="309" w:lineRule="auto" w:before="19"/>
        <w:ind w:right="1131"/>
        <w:jc w:val="both"/>
      </w:pPr>
      <w:r>
        <w:rPr>
          <w:spacing w:val="-2"/>
        </w:rPr>
        <w:t>合公司所处行业发展情况及公司自身发展状况，对公司发展规划、经营目标、发展方针以及投资、融资或重大资本运作提出</w:t>
      </w:r>
      <w:r>
        <w:rPr>
          <w:spacing w:val="-64"/>
        </w:rPr>
        <w:t> </w:t>
      </w:r>
      <w:r>
        <w:rPr>
          <w:spacing w:val="-64"/>
        </w:rPr>
      </w:r>
      <w:r>
        <w:rPr/>
        <w:t>建议。报告期内，公司共召开了</w:t>
      </w:r>
      <w:r>
        <w:rPr>
          <w:rFonts w:ascii="Times New Roman" w:hAnsi="Times New Roman" w:cs="Times New Roman" w:eastAsia="Times New Roman" w:hint="default"/>
        </w:rPr>
        <w:t>2</w:t>
      </w:r>
      <w:r>
        <w:rPr/>
        <w:t>次战略发展委员会会议，对公司</w:t>
      </w:r>
      <w:r>
        <w:rPr>
          <w:rFonts w:ascii="Times New Roman" w:hAnsi="Times New Roman" w:cs="Times New Roman" w:eastAsia="Times New Roman" w:hint="default"/>
        </w:rPr>
        <w:t>2018</w:t>
      </w:r>
      <w:r>
        <w:rPr/>
        <w:t>年度发展规划、现金收购北京瑞得音信息技术有限公 司部分股权等事项进行了讨论和审议，相关会议均按照有关规定的程序召开。</w:t>
      </w:r>
    </w:p>
    <w:p>
      <w:pPr>
        <w:pStyle w:val="BodyText"/>
        <w:spacing w:line="316" w:lineRule="auto" w:before="24"/>
        <w:ind w:left="513" w:right="1033"/>
        <w:jc w:val="left"/>
      </w:pPr>
      <w:r>
        <w:rPr/>
        <w:t>（三）董事会薪酬与考核委员会 董事会薪酬与考核委员会主要依据《董事会薪酬与考核委员工作细则》的相关规定，积极履行职责并提出合理化建议，</w:t>
      </w:r>
    </w:p>
    <w:p>
      <w:pPr>
        <w:pStyle w:val="BodyText"/>
        <w:spacing w:line="309" w:lineRule="auto" w:before="19"/>
        <w:ind w:right="1127"/>
        <w:jc w:val="both"/>
        <w:rPr>
          <w:rFonts w:ascii="Times New Roman" w:hAnsi="Times New Roman" w:cs="Times New Roman" w:eastAsia="Times New Roman" w:hint="default"/>
        </w:rPr>
      </w:pPr>
      <w:r>
        <w:rPr>
          <w:spacing w:val="-2"/>
        </w:rPr>
        <w:t>促进公司在规范运作的基础上，进一步完善考核体系。对公司实施限制性股票激励计划提出建议，有效地将股东利益、公司</w:t>
      </w:r>
      <w:r>
        <w:rPr>
          <w:spacing w:val="-66"/>
        </w:rPr>
        <w:t> </w:t>
      </w:r>
      <w:r>
        <w:rPr>
          <w:spacing w:val="-66"/>
        </w:rPr>
      </w:r>
      <w:r>
        <w:rPr/>
        <w:t>利益和核心团队个人利益结合在一起，使各方共同关注公司的长远发展。报告期内，公司共召开了</w:t>
      </w:r>
      <w:r>
        <w:rPr>
          <w:rFonts w:ascii="Times New Roman" w:hAnsi="Times New Roman" w:cs="Times New Roman" w:eastAsia="Times New Roman" w:hint="default"/>
        </w:rPr>
        <w:t>2</w:t>
      </w:r>
      <w:r>
        <w:rPr/>
        <w:t>次董事会薪酬与考核委</w:t>
      </w:r>
      <w:r>
        <w:rPr>
          <w:spacing w:val="-87"/>
        </w:rPr>
        <w:t> </w:t>
      </w:r>
      <w:r>
        <w:rPr>
          <w:spacing w:val="-2"/>
        </w:rPr>
        <w:t>员会会议，对公司</w:t>
      </w:r>
      <w:r>
        <w:rPr>
          <w:rFonts w:ascii="Times New Roman" w:hAnsi="Times New Roman" w:cs="Times New Roman" w:eastAsia="Times New Roman" w:hint="default"/>
          <w:spacing w:val="-2"/>
        </w:rPr>
        <w:t>2017</w:t>
      </w:r>
      <w:r>
        <w:rPr>
          <w:spacing w:val="-2"/>
        </w:rPr>
        <w:t>年度董事会薪酬与考核委员会工作报告、调整</w:t>
      </w:r>
      <w:r>
        <w:rPr>
          <w:rFonts w:ascii="Times New Roman" w:hAnsi="Times New Roman" w:cs="Times New Roman" w:eastAsia="Times New Roman" w:hint="default"/>
          <w:spacing w:val="-2"/>
        </w:rPr>
        <w:t>2017</w:t>
      </w:r>
      <w:r>
        <w:rPr>
          <w:spacing w:val="-2"/>
        </w:rPr>
        <w:t>年限制性股票激励计划股票数量及回购价格、</w:t>
      </w:r>
      <w:r>
        <w:rPr>
          <w:rFonts w:ascii="Times New Roman" w:hAnsi="Times New Roman" w:cs="Times New Roman" w:eastAsia="Times New Roman" w:hint="default"/>
          <w:spacing w:val="-2"/>
        </w:rPr>
        <w:t>2017</w:t>
      </w:r>
    </w:p>
    <w:p>
      <w:pPr>
        <w:spacing w:after="0" w:line="309"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r>
        <w:rPr/>
        <w:pict>
          <v:group style="position:absolute;margin-left:384.190002pt;margin-top:708.940002pt;width:149.550pt;height:15.6pt;mso-position-horizontal-relative:page;mso-position-vertical-relative:page;z-index:-888640" coordorigin="7684,14179" coordsize="2991,312">
            <v:shape style="position:absolute;left:7684;top:14179;width:2991;height:312" coordorigin="7684,14179" coordsize="2991,312" path="m7684,14491l10675,14491,10675,14179,7684,14179,7684,14491xe" filled="true" fillcolor="#ffffff" stroked="false">
              <v:path arrowok="t"/>
              <v:fill type="solid"/>
            </v:shape>
            <w10:wrap type="none"/>
          </v:group>
        </w:pict>
      </w:r>
    </w:p>
    <w:p>
      <w:pPr>
        <w:pStyle w:val="BodyText"/>
        <w:spacing w:line="319" w:lineRule="auto" w:before="44"/>
        <w:ind w:right="1214"/>
        <w:jc w:val="left"/>
      </w:pPr>
      <w:r>
        <w:rPr/>
        <w:t>年限制性股票激励计划第一个解除限售期解除限售条件成就等事项进行了讨论和审议，相关会议均按照有关规定的程序召 开。</w:t>
      </w:r>
    </w:p>
    <w:p>
      <w:pPr>
        <w:pStyle w:val="BodyText"/>
        <w:spacing w:line="316" w:lineRule="auto" w:before="17"/>
        <w:ind w:left="513" w:right="1133"/>
        <w:jc w:val="left"/>
      </w:pPr>
      <w:r>
        <w:rPr/>
        <w:t>（四）董事会提名委员会 </w:t>
      </w:r>
      <w:r>
        <w:rPr>
          <w:spacing w:val="-2"/>
        </w:rPr>
        <w:t>董事会提名委员会主要依据《董事会提名委员会工作细则》的相关规定，秉着勤勉尽职的态度履行职责，对董事、高级</w:t>
      </w:r>
    </w:p>
    <w:p>
      <w:pPr>
        <w:pStyle w:val="BodyText"/>
        <w:spacing w:line="309" w:lineRule="auto" w:before="19"/>
        <w:ind w:right="1128"/>
        <w:jc w:val="both"/>
      </w:pPr>
      <w:r>
        <w:rPr/>
        <w:t>管理人员的选择标准和程序进行调研与分析，并对相关人员的任职资格进行了认真核查。报告期内，公司共召开了</w:t>
      </w:r>
      <w:r>
        <w:rPr>
          <w:rFonts w:ascii="Times New Roman" w:hAnsi="Times New Roman" w:cs="Times New Roman" w:eastAsia="Times New Roman" w:hint="default"/>
        </w:rPr>
        <w:t>1</w:t>
      </w:r>
      <w:r>
        <w:rPr/>
        <w:t>次提名</w:t>
      </w:r>
      <w:r>
        <w:rPr>
          <w:spacing w:val="-87"/>
        </w:rPr>
        <w:t> </w:t>
      </w:r>
      <w:r>
        <w:rPr>
          <w:spacing w:val="-2"/>
        </w:rPr>
        <w:t>委员会会议，对公司正在履职的董事、高级管理人员履职情况等事项进行了讨论和审议，相关会议均按照有关规定的程序召</w:t>
      </w:r>
      <w:r>
        <w:rPr>
          <w:spacing w:val="-61"/>
        </w:rPr>
        <w:t> </w:t>
      </w:r>
      <w:r>
        <w:rPr>
          <w:spacing w:val="-61"/>
        </w:rPr>
      </w:r>
      <w:r>
        <w:rPr/>
        <w:t>开。</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24" w:firstLine="360"/>
        <w:jc w:val="left"/>
      </w:pPr>
      <w:r>
        <w:rPr/>
        <w:t>公司建立高级管理人员的薪酬收入与公司经营业绩挂钩的考核与激励约束机制，由公司董事会下设的薪酬与考核委员 </w:t>
      </w:r>
      <w:r>
        <w:rPr>
          <w:spacing w:val="-2"/>
        </w:rPr>
        <w:t>会，制定了高级管理人员薪酬制度和考评体系，订立针对高级管理人员的单独考核合同，以公司年度经营目标与岗位年度工</w:t>
      </w:r>
      <w:r>
        <w:rPr>
          <w:spacing w:val="-63"/>
        </w:rPr>
        <w:t> </w:t>
      </w:r>
      <w:r>
        <w:rPr>
          <w:spacing w:val="-63"/>
        </w:rPr>
      </w:r>
      <w:r>
        <w:rPr/>
        <w:t>作目标的实现为主要内容，进行</w:t>
      </w:r>
      <w:r>
        <w:rPr>
          <w:rFonts w:ascii="Times New Roman" w:hAnsi="Times New Roman" w:cs="Times New Roman" w:eastAsia="Times New Roman" w:hint="default"/>
        </w:rPr>
        <w:t>360</w:t>
      </w:r>
      <w:r>
        <w:rPr/>
        <w:t>度考核，并将考核结果及时应用到高级管理人员薪酬调整方面，力争最大限度地调动公 </w:t>
      </w:r>
      <w:r>
        <w:rPr>
          <w:spacing w:val="-2"/>
        </w:rPr>
        <w:t>司高级管理人员的积极性和创造性，确保公司各项业务工作顺利开展，促进公司业绩的稳步提升，从而更好地维护广大投资</w:t>
      </w:r>
      <w:r>
        <w:rPr>
          <w:spacing w:val="-62"/>
        </w:rPr>
        <w:t> </w:t>
      </w:r>
      <w:r>
        <w:rPr>
          <w:spacing w:val="-62"/>
        </w:rPr>
      </w:r>
      <w:r>
        <w:rPr/>
        <w:t>者的根本利益。</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818"/>
        <w:gridCol w:w="3704"/>
        <w:gridCol w:w="3037"/>
      </w:tblGrid>
      <w:tr>
        <w:trPr>
          <w:trHeight w:val="403" w:hRule="exact"/>
        </w:trPr>
        <w:tc>
          <w:tcPr>
            <w:tcW w:w="2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2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2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2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4" w:hRule="exact"/>
        </w:trPr>
        <w:tc>
          <w:tcPr>
            <w:tcW w:w="2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4" w:type="dxa"/>
            <w:vMerge w:val="restart"/>
            <w:tcBorders>
              <w:top w:val="single" w:sz="4" w:space="0" w:color="000000"/>
              <w:left w:val="single" w:sz="10" w:space="0" w:color="D2D2D2"/>
              <w:right w:val="single" w:sz="13" w:space="0" w:color="FFFFFF"/>
            </w:tcBorders>
          </w:tcPr>
          <w:p>
            <w:pPr>
              <w:pStyle w:val="TableParagraph"/>
              <w:spacing w:line="307" w:lineRule="auto" w:before="49"/>
              <w:ind w:left="22" w:right="-34"/>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公司确定的财务报告内部控制缺陷评价的定性 </w:t>
            </w:r>
            <w:r>
              <w:rPr>
                <w:rFonts w:ascii="宋体" w:hAnsi="宋体" w:cs="宋体" w:eastAsia="宋体" w:hint="default"/>
                <w:spacing w:val="-9"/>
                <w:sz w:val="18"/>
                <w:szCs w:val="18"/>
              </w:rPr>
              <w:t>标准如下：财务报告重大缺陷的迹象包括：（</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宋体" w:hAnsi="宋体" w:cs="宋体" w:eastAsia="宋体" w:hint="default"/>
                <w:spacing w:val="-78"/>
                <w:sz w:val="18"/>
                <w:szCs w:val="18"/>
              </w:rPr>
              <w:t> </w:t>
            </w:r>
            <w:r>
              <w:rPr>
                <w:rFonts w:ascii="宋体" w:hAnsi="宋体" w:cs="宋体" w:eastAsia="宋体" w:hint="default"/>
                <w:spacing w:val="-5"/>
                <w:sz w:val="18"/>
                <w:szCs w:val="18"/>
              </w:rPr>
              <w:t>控制环境无效；（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）公司董事、监事和高级管</w:t>
            </w:r>
            <w:r>
              <w:rPr>
                <w:rFonts w:ascii="宋体" w:hAnsi="宋体" w:cs="宋体" w:eastAsia="宋体" w:hint="default"/>
                <w:spacing w:val="-76"/>
                <w:sz w:val="18"/>
                <w:szCs w:val="18"/>
              </w:rPr>
              <w:t> </w:t>
            </w:r>
            <w:r>
              <w:rPr>
                <w:rFonts w:ascii="宋体" w:hAnsi="宋体" w:cs="宋体" w:eastAsia="宋体" w:hint="default"/>
                <w:spacing w:val="-5"/>
                <w:sz w:val="18"/>
                <w:szCs w:val="18"/>
              </w:rPr>
              <w:t>理人员的舞弊行为；（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）注册会计师发现的却</w:t>
            </w:r>
          </w:p>
        </w:tc>
        <w:tc>
          <w:tcPr>
            <w:tcW w:w="3037" w:type="dxa"/>
            <w:vMerge w:val="restart"/>
            <w:tcBorders>
              <w:top w:val="single" w:sz="4" w:space="0" w:color="000000"/>
              <w:left w:val="single" w:sz="13" w:space="0" w:color="FFFFFF"/>
              <w:right w:val="single" w:sz="4" w:space="0" w:color="000000"/>
            </w:tcBorders>
          </w:tcPr>
          <w:p>
            <w:pPr>
              <w:pStyle w:val="TableParagraph"/>
              <w:spacing w:line="316" w:lineRule="auto" w:before="49"/>
              <w:ind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5"/>
                <w:sz w:val="18"/>
                <w:szCs w:val="18"/>
              </w:rPr>
              <w:t>评价的定性标准如下：非财务报告缺陷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认定主要以缺陷对业务流程有效性的 </w:t>
            </w:r>
            <w:r>
              <w:rPr>
                <w:rFonts w:ascii="宋体" w:hAnsi="宋体" w:cs="宋体" w:eastAsia="宋体" w:hint="default"/>
                <w:spacing w:val="-4"/>
                <w:sz w:val="18"/>
                <w:szCs w:val="18"/>
              </w:rPr>
              <w:t>影响程度、发生的可能性作判定。如果</w:t>
            </w:r>
          </w:p>
        </w:tc>
      </w:tr>
      <w:tr>
        <w:trPr>
          <w:trHeight w:val="391" w:hRule="exact"/>
        </w:trPr>
        <w:tc>
          <w:tcPr>
            <w:tcW w:w="28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704" w:type="dxa"/>
            <w:vMerge/>
            <w:tcBorders>
              <w:left w:val="single" w:sz="10" w:space="0" w:color="D2D2D2"/>
              <w:right w:val="single" w:sz="13" w:space="0" w:color="FFFFFF"/>
            </w:tcBorders>
          </w:tcPr>
          <w:p>
            <w:pPr/>
          </w:p>
        </w:tc>
        <w:tc>
          <w:tcPr>
            <w:tcW w:w="3037" w:type="dxa"/>
            <w:vMerge/>
            <w:tcBorders>
              <w:left w:val="single" w:sz="13" w:space="0" w:color="FFFFFF"/>
              <w:right w:val="single" w:sz="4" w:space="0" w:color="000000"/>
            </w:tcBorders>
          </w:tcPr>
          <w:p>
            <w:pPr/>
          </w:p>
        </w:tc>
      </w:tr>
      <w:tr>
        <w:trPr>
          <w:trHeight w:val="454" w:hRule="exact"/>
        </w:trPr>
        <w:tc>
          <w:tcPr>
            <w:tcW w:w="2818" w:type="dxa"/>
            <w:tcBorders>
              <w:top w:val="nil" w:sz="6" w:space="0" w:color="auto"/>
              <w:left w:val="single" w:sz="4" w:space="0" w:color="000000"/>
              <w:bottom w:val="single" w:sz="4" w:space="0" w:color="000000"/>
              <w:right w:val="single" w:sz="4" w:space="0" w:color="000000"/>
            </w:tcBorders>
            <w:shd w:val="clear" w:color="auto" w:fill="D2D2D2"/>
          </w:tcPr>
          <w:p>
            <w:pPr/>
          </w:p>
        </w:tc>
        <w:tc>
          <w:tcPr>
            <w:tcW w:w="3704" w:type="dxa"/>
            <w:vMerge/>
            <w:tcBorders>
              <w:left w:val="single" w:sz="10" w:space="0" w:color="D2D2D2"/>
              <w:bottom w:val="single" w:sz="4" w:space="0" w:color="000000"/>
              <w:right w:val="single" w:sz="13" w:space="0" w:color="FFFFFF"/>
            </w:tcBorders>
          </w:tcPr>
          <w:p>
            <w:pPr/>
          </w:p>
        </w:tc>
        <w:tc>
          <w:tcPr>
            <w:tcW w:w="3037" w:type="dxa"/>
            <w:vMerge/>
            <w:tcBorders>
              <w:left w:val="single" w:sz="13" w:space="0" w:color="FFFFFF"/>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834"/>
        <w:gridCol w:w="3687"/>
        <w:gridCol w:w="3049"/>
      </w:tblGrid>
      <w:tr>
        <w:trPr>
          <w:trHeight w:val="379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48"/>
              <w:jc w:val="both"/>
              <w:rPr>
                <w:rFonts w:ascii="宋体" w:hAnsi="宋体" w:cs="宋体" w:eastAsia="宋体" w:hint="default"/>
                <w:sz w:val="18"/>
                <w:szCs w:val="18"/>
              </w:rPr>
            </w:pPr>
            <w:r>
              <w:rPr>
                <w:rFonts w:ascii="宋体" w:hAnsi="宋体" w:cs="宋体" w:eastAsia="宋体" w:hint="default"/>
                <w:sz w:val="18"/>
                <w:szCs w:val="18"/>
              </w:rPr>
              <w:t>未被公司内部控制识别的当期财务报告中的重 </w:t>
            </w:r>
            <w:r>
              <w:rPr>
                <w:rFonts w:ascii="宋体" w:hAnsi="宋体" w:cs="宋体" w:eastAsia="宋体" w:hint="default"/>
                <w:spacing w:val="-5"/>
                <w:sz w:val="18"/>
                <w:szCs w:val="18"/>
              </w:rPr>
              <w:t>大错误；（</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）审计委员会和审计部门对公司的</w:t>
            </w:r>
            <w:r>
              <w:rPr>
                <w:rFonts w:ascii="宋体" w:hAnsi="宋体" w:cs="宋体" w:eastAsia="宋体" w:hint="default"/>
                <w:spacing w:val="-76"/>
                <w:sz w:val="18"/>
                <w:szCs w:val="18"/>
              </w:rPr>
              <w:t> </w:t>
            </w:r>
            <w:r>
              <w:rPr>
                <w:rFonts w:ascii="宋体" w:hAnsi="宋体" w:cs="宋体" w:eastAsia="宋体" w:hint="default"/>
                <w:sz w:val="18"/>
                <w:szCs w:val="18"/>
              </w:rPr>
              <w:t>财务报告和财务报告内部控制监督无效。财务 </w:t>
            </w:r>
            <w:r>
              <w:rPr>
                <w:rFonts w:ascii="宋体" w:hAnsi="宋体" w:cs="宋体" w:eastAsia="宋体" w:hint="default"/>
                <w:spacing w:val="-5"/>
                <w:sz w:val="18"/>
                <w:szCs w:val="18"/>
              </w:rPr>
              <w:t>报告重要缺陷的迹象包括：（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76"/>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w:t>
            </w:r>
            <w:r>
              <w:rPr>
                <w:rFonts w:ascii="宋体" w:hAnsi="宋体" w:cs="宋体" w:eastAsia="宋体" w:hint="default"/>
                <w:spacing w:val="-74"/>
                <w:sz w:val="18"/>
                <w:szCs w:val="18"/>
              </w:rPr>
              <w:t> </w:t>
            </w:r>
            <w:r>
              <w:rPr>
                <w:rFonts w:ascii="宋体" w:hAnsi="宋体" w:cs="宋体" w:eastAsia="宋体" w:hint="default"/>
                <w:spacing w:val="-5"/>
                <w:sz w:val="18"/>
                <w:szCs w:val="18"/>
              </w:rPr>
              <w:t>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w:t>
            </w:r>
            <w:r>
              <w:rPr>
                <w:rFonts w:ascii="宋体" w:hAnsi="宋体" w:cs="宋体" w:eastAsia="宋体" w:hint="default"/>
                <w:spacing w:val="-76"/>
                <w:sz w:val="18"/>
                <w:szCs w:val="18"/>
              </w:rPr>
              <w:t> </w:t>
            </w:r>
            <w:r>
              <w:rPr>
                <w:rFonts w:ascii="宋体" w:hAnsi="宋体" w:cs="宋体" w:eastAsia="宋体" w:hint="default"/>
                <w:sz w:val="18"/>
                <w:szCs w:val="18"/>
              </w:rPr>
              <w:t>易的账务处理没有建立相应控制机制或没有实 </w:t>
            </w:r>
            <w:r>
              <w:rPr>
                <w:rFonts w:ascii="宋体" w:hAnsi="宋体" w:cs="宋体" w:eastAsia="宋体" w:hint="default"/>
                <w:spacing w:val="-5"/>
                <w:sz w:val="18"/>
                <w:szCs w:val="18"/>
              </w:rPr>
              <w:t>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w:t>
            </w:r>
            <w:r>
              <w:rPr>
                <w:rFonts w:ascii="宋体" w:hAnsi="宋体" w:cs="宋体" w:eastAsia="宋体" w:hint="default"/>
                <w:spacing w:val="-74"/>
                <w:sz w:val="18"/>
                <w:szCs w:val="18"/>
              </w:rPr>
              <w:t> </w:t>
            </w:r>
            <w:r>
              <w:rPr>
                <w:rFonts w:ascii="宋体" w:hAnsi="宋体" w:cs="宋体" w:eastAsia="宋体" w:hint="default"/>
                <w:sz w:val="18"/>
                <w:szCs w:val="18"/>
              </w:rPr>
              <w:t>务报告过程的控制存在一项或多项缺陷且不能 合理保证编制的财务报表达到真实、完整的目 标。一般缺陷是指除上述重大缺陷、重要缺陷 之外的其他控制缺陷。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both"/>
              <w:rPr>
                <w:rFonts w:ascii="宋体" w:hAnsi="宋体" w:cs="宋体" w:eastAsia="宋体" w:hint="default"/>
                <w:sz w:val="18"/>
                <w:szCs w:val="18"/>
              </w:rPr>
            </w:pPr>
            <w:r>
              <w:rPr>
                <w:rFonts w:ascii="宋体" w:hAnsi="宋体" w:cs="宋体" w:eastAsia="宋体" w:hint="default"/>
                <w:spacing w:val="-5"/>
                <w:sz w:val="18"/>
                <w:szCs w:val="18"/>
              </w:rPr>
              <w:t>缺陷发生的可能性高，会严重降低工作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效率或效果、或严重加大效果的不确定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性、或使之严重偏离预期目标为重大缺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陷；如果缺陷发生的可能性较高，会显</w:t>
            </w:r>
            <w:r>
              <w:rPr>
                <w:rFonts w:ascii="宋体" w:hAnsi="宋体" w:cs="宋体" w:eastAsia="宋体" w:hint="default"/>
                <w:sz w:val="18"/>
                <w:szCs w:val="18"/>
              </w:rPr>
              <w:t> </w:t>
            </w:r>
            <w:r>
              <w:rPr>
                <w:rFonts w:ascii="宋体" w:hAnsi="宋体" w:cs="宋体" w:eastAsia="宋体" w:hint="default"/>
                <w:spacing w:val="-5"/>
                <w:sz w:val="18"/>
                <w:szCs w:val="18"/>
              </w:rPr>
              <w:t>著降低工作效率或效果、或显著加大效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果的不确定性、或使之显著偏离预期目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标为重要缺陷；如果缺陷发生的可能性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较小，会降低工作效率或效果、或加大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效果的不确定性、或使之偏离预期目标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为一般缺陷。</w:t>
            </w:r>
          </w:p>
        </w:tc>
      </w:tr>
      <w:tr>
        <w:trPr>
          <w:trHeight w:val="3209"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6"/>
              <w:ind w:left="24" w:right="17"/>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公司确定的财务报告内部控制缺陷评价的定量 </w:t>
            </w:r>
            <w:r>
              <w:rPr>
                <w:rFonts w:ascii="宋体" w:hAnsi="宋体" w:cs="宋体" w:eastAsia="宋体" w:hint="default"/>
                <w:spacing w:val="-3"/>
                <w:sz w:val="18"/>
                <w:szCs w:val="18"/>
              </w:rPr>
              <w:t>标准如下：公司以营业总收入的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作为利润 表整体重要性水平的衡量指标。当潜在错报金 额大于或等于营业总收入的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，则认定为重</w:t>
            </w:r>
          </w:p>
          <w:p>
            <w:pPr>
              <w:pStyle w:val="TableParagraph"/>
              <w:spacing w:line="300" w:lineRule="auto" w:before="3"/>
              <w:ind w:left="24" w:right="18"/>
              <w:jc w:val="left"/>
              <w:rPr>
                <w:rFonts w:ascii="宋体" w:hAnsi="宋体" w:cs="宋体" w:eastAsia="宋体" w:hint="default"/>
                <w:sz w:val="18"/>
                <w:szCs w:val="18"/>
              </w:rPr>
            </w:pPr>
            <w:r>
              <w:rPr>
                <w:rFonts w:ascii="宋体" w:hAnsi="宋体" w:cs="宋体" w:eastAsia="宋体" w:hint="default"/>
                <w:spacing w:val="-4"/>
                <w:sz w:val="18"/>
                <w:szCs w:val="18"/>
              </w:rPr>
              <w:t>大缺陷；当潜在错报金额小于营业总收入的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但大于或等于营业总收入的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，则认定为重要</w:t>
            </w:r>
            <w:r>
              <w:rPr>
                <w:rFonts w:ascii="宋体" w:hAnsi="宋体" w:cs="宋体" w:eastAsia="宋体" w:hint="default"/>
                <w:sz w:val="18"/>
                <w:szCs w:val="18"/>
              </w:rPr>
              <w:t> 缺陷；当潜在错报金额小于营业总收入的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时，则认定为一般缺陷。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5"/>
                <w:sz w:val="18"/>
                <w:szCs w:val="18"/>
              </w:rPr>
              <w:t>评价的定量标准如下：公司以直接损失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占公司资产总额的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作为非财务报告 </w:t>
            </w:r>
            <w:r>
              <w:rPr>
                <w:rFonts w:ascii="宋体" w:hAnsi="宋体" w:cs="宋体" w:eastAsia="宋体" w:hint="default"/>
                <w:spacing w:val="-5"/>
                <w:sz w:val="18"/>
                <w:szCs w:val="18"/>
              </w:rPr>
              <w:t>重要性水平的衡量指标。当直接缺失金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额大于或等于资产总额的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，则认定 </w:t>
            </w:r>
            <w:r>
              <w:rPr>
                <w:rFonts w:ascii="宋体" w:hAnsi="宋体" w:cs="宋体" w:eastAsia="宋体" w:hint="default"/>
                <w:spacing w:val="-5"/>
                <w:sz w:val="18"/>
                <w:szCs w:val="18"/>
              </w:rPr>
              <w:t>为重大缺陷；当直接缺失金额小于资产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但大于或等于资产总额的</w:t>
            </w:r>
          </w:p>
          <w:p>
            <w:pPr>
              <w:pStyle w:val="TableParagraph"/>
              <w:spacing w:line="300" w:lineRule="auto" w:before="3"/>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，则认定为重要缺陷；当直接缺失</w:t>
            </w:r>
            <w:r>
              <w:rPr>
                <w:rFonts w:ascii="宋体" w:hAnsi="宋体" w:cs="宋体" w:eastAsia="宋体" w:hint="default"/>
                <w:sz w:val="18"/>
                <w:szCs w:val="18"/>
              </w:rPr>
              <w:t> 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时，则认定为 一般缺陷。</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02060035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雷波涛、杨鸿博</w:t>
            </w:r>
          </w:p>
        </w:tc>
      </w:tr>
    </w:tbl>
    <w:p>
      <w:pPr>
        <w:pStyle w:val="BodyText"/>
        <w:spacing w:line="240" w:lineRule="auto" w:before="49"/>
        <w:ind w:left="494" w:right="1472"/>
        <w:jc w:val="center"/>
      </w:pPr>
      <w:r>
        <w:rPr/>
        <w:t>审计报告正文</w:t>
      </w:r>
    </w:p>
    <w:p>
      <w:pPr>
        <w:spacing w:before="157"/>
        <w:ind w:left="494" w:right="1472"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77"/>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left="0" w:right="1155"/>
        <w:jc w:val="right"/>
      </w:pPr>
      <w:r>
        <w:rPr>
          <w:spacing w:val="-1"/>
        </w:rPr>
        <w:t>瑞华审字【</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02060035</w:t>
      </w:r>
      <w:r>
        <w:rPr>
          <w:spacing w:val="-1"/>
        </w:rPr>
        <w:t>号</w:t>
      </w:r>
    </w:p>
    <w:p>
      <w:pPr>
        <w:pStyle w:val="Heading4"/>
        <w:spacing w:line="240" w:lineRule="auto"/>
        <w:ind w:left="152" w:right="1133"/>
        <w:jc w:val="left"/>
        <w:rPr>
          <w:b w:val="0"/>
          <w:bCs w:val="0"/>
        </w:rPr>
      </w:pPr>
      <w:r>
        <w:rPr/>
        <w:t>新晨科技股份有限公司全体股东：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44"/>
        <w:ind w:left="633" w:right="1113" w:firstLine="2"/>
        <w:jc w:val="left"/>
      </w:pPr>
      <w:r>
        <w:rPr>
          <w:rFonts w:ascii="宋体" w:hAnsi="宋体" w:cs="宋体" w:eastAsia="宋体" w:hint="default"/>
          <w:b/>
          <w:bCs/>
        </w:rPr>
        <w:t>一、审计意见</w:t>
      </w:r>
      <w:r>
        <w:rPr>
          <w:rFonts w:ascii="宋体" w:hAnsi="宋体" w:cs="宋体" w:eastAsia="宋体" w:hint="default"/>
          <w:b/>
          <w:bCs/>
          <w:w w:val="99"/>
        </w:rPr>
        <w:t> </w:t>
      </w:r>
      <w:r>
        <w:rPr/>
        <w:t>我们审计了新晨科技股份有限公司（以下简称</w:t>
      </w:r>
      <w:r>
        <w:rPr>
          <w:rFonts w:ascii="Times New Roman" w:hAnsi="Times New Roman" w:cs="Times New Roman" w:eastAsia="Times New Roman" w:hint="default"/>
        </w:rPr>
        <w:t>“</w:t>
      </w:r>
      <w:r>
        <w:rPr/>
        <w:t>新晨科技公司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w:t>
      </w:r>
    </w:p>
    <w:p>
      <w:pPr>
        <w:pStyle w:val="BodyText"/>
        <w:spacing w:line="300" w:lineRule="auto"/>
        <w:ind w:left="633" w:right="0" w:hanging="481"/>
        <w:jc w:val="left"/>
      </w:pPr>
      <w:r>
        <w:rPr/>
        <w:t>债表，</w:t>
      </w:r>
      <w:r>
        <w:rPr>
          <w:rFonts w:ascii="Times New Roman" w:hAnsi="Times New Roman" w:cs="Times New Roman" w:eastAsia="Times New Roman" w:hint="default"/>
        </w:rPr>
        <w:t>2018</w:t>
      </w:r>
      <w:r>
        <w:rPr/>
        <w:t>年度的合并及公司利润表、合并及公司现金流量表、合并及公司股东权益变动表以及相关财务报表附注。 </w:t>
      </w:r>
      <w:r>
        <w:rPr>
          <w:spacing w:val="-1"/>
        </w:rPr>
        <w:t>我们认为，后附的财务报表在所有重大方面按照企业会计准则的规定编制，公允反映了新晨科技公司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pStyle w:val="BodyText"/>
        <w:spacing w:line="240" w:lineRule="auto" w:before="13"/>
        <w:ind w:right="1133"/>
        <w:jc w:val="left"/>
      </w:pPr>
      <w:r>
        <w:rPr/>
        <w:t>合并及公司的财务状况以及</w:t>
      </w:r>
      <w:r>
        <w:rPr>
          <w:rFonts w:ascii="Times New Roman" w:hAnsi="Times New Roman" w:cs="Times New Roman" w:eastAsia="Times New Roman" w:hint="default"/>
        </w:rPr>
        <w:t>2018</w:t>
      </w:r>
      <w:r>
        <w:rPr/>
        <w:t>年度合并及公司的经营成果和现金流量。</w:t>
      </w:r>
    </w:p>
    <w:p>
      <w:pPr>
        <w:spacing w:line="240" w:lineRule="auto" w:before="0"/>
        <w:rPr>
          <w:rFonts w:ascii="宋体" w:hAnsi="宋体" w:cs="宋体" w:eastAsia="宋体" w:hint="default"/>
          <w:sz w:val="18"/>
          <w:szCs w:val="18"/>
        </w:rPr>
      </w:pPr>
    </w:p>
    <w:p>
      <w:pPr>
        <w:pStyle w:val="BodyText"/>
        <w:spacing w:line="316" w:lineRule="auto" w:before="139"/>
        <w:ind w:left="633" w:right="1113"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0"/>
        <w:jc w:val="left"/>
      </w:pPr>
      <w:r>
        <w:rPr>
          <w:spacing w:val="-2"/>
        </w:rPr>
        <w:t>步阐述了我们在这些准则下的责任。按照中国注册会计师职业道德守则，我们独立于新晨科技公司，并履行了职业道德方面</w:t>
      </w:r>
      <w:r>
        <w:rPr>
          <w:spacing w:val="-62"/>
        </w:rPr>
        <w:t> </w:t>
      </w:r>
      <w:r>
        <w:rPr>
          <w:spacing w:val="-62"/>
        </w:rPr>
      </w:r>
      <w:r>
        <w:rPr/>
        <w:t>的其他责任。我们相信，我们获取的审计证据是充分、适当的，为发表审计意见提供了基础。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633" w:right="1133"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16" w:lineRule="auto" w:before="19"/>
        <w:ind w:right="1117"/>
        <w:jc w:val="left"/>
      </w:pP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Heading4"/>
        <w:spacing w:line="240" w:lineRule="auto" w:before="19"/>
        <w:ind w:right="1133"/>
        <w:jc w:val="left"/>
        <w:rPr>
          <w:b w:val="0"/>
          <w:bCs w:val="0"/>
        </w:rPr>
      </w:pPr>
      <w:r>
        <w:rPr/>
        <w:t>（一）收入确认</w:t>
      </w:r>
      <w:r>
        <w:rPr>
          <w:b w:val="0"/>
          <w:bCs w:val="0"/>
        </w:rPr>
      </w:r>
    </w:p>
    <w:p>
      <w:pPr>
        <w:pStyle w:val="BodyText"/>
        <w:spacing w:line="300" w:lineRule="auto" w:before="76"/>
        <w:ind w:left="633" w:right="1117"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1"/>
        </w:rPr>
        <w:t>新晨科技公司</w:t>
      </w:r>
      <w:r>
        <w:rPr>
          <w:rFonts w:ascii="Times New Roman" w:hAnsi="Times New Roman" w:cs="Times New Roman" w:eastAsia="Times New Roman" w:hint="default"/>
          <w:spacing w:val="-1"/>
        </w:rPr>
        <w:t>2018</w:t>
      </w:r>
      <w:r>
        <w:rPr>
          <w:spacing w:val="-1"/>
        </w:rPr>
        <w:t>年度营业收入为</w:t>
      </w:r>
      <w:r>
        <w:rPr>
          <w:rFonts w:ascii="Times New Roman" w:hAnsi="Times New Roman" w:cs="Times New Roman" w:eastAsia="Times New Roman" w:hint="default"/>
          <w:spacing w:val="-1"/>
        </w:rPr>
        <w:t>81,918.98</w:t>
      </w:r>
      <w:r>
        <w:rPr>
          <w:spacing w:val="-1"/>
        </w:rPr>
        <w:t>万元，比</w:t>
      </w:r>
      <w:r>
        <w:rPr>
          <w:rFonts w:ascii="Times New Roman" w:hAnsi="Times New Roman" w:cs="Times New Roman" w:eastAsia="Times New Roman" w:hint="default"/>
          <w:spacing w:val="-1"/>
        </w:rPr>
        <w:t>2017</w:t>
      </w:r>
      <w:r>
        <w:rPr>
          <w:spacing w:val="-1"/>
        </w:rPr>
        <w:t>年度营业收入增长</w:t>
      </w:r>
      <w:r>
        <w:rPr>
          <w:rFonts w:ascii="Times New Roman" w:hAnsi="Times New Roman" w:cs="Times New Roman" w:eastAsia="Times New Roman" w:hint="default"/>
          <w:spacing w:val="-1"/>
        </w:rPr>
        <w:t>35.08%</w:t>
      </w:r>
      <w:r>
        <w:rPr>
          <w:spacing w:val="-1"/>
        </w:rPr>
        <w:t>。由于营业收入是新晨科技公司的</w:t>
      </w:r>
    </w:p>
    <w:p>
      <w:pPr>
        <w:pStyle w:val="BodyText"/>
        <w:spacing w:line="316" w:lineRule="auto" w:before="13"/>
        <w:ind w:right="1117"/>
        <w:jc w:val="left"/>
      </w:pPr>
      <w:r>
        <w:rPr>
          <w:spacing w:val="-2"/>
        </w:rPr>
        <w:t>关键业绩指标之一，存在管理层为了达到特定目标或期望而操纵收入确认的固有风险。因此，我们将收入确认确定为关键审</w:t>
      </w:r>
      <w:r>
        <w:rPr>
          <w:spacing w:val="-63"/>
        </w:rPr>
        <w:t> </w:t>
      </w:r>
      <w:r>
        <w:rPr>
          <w:spacing w:val="-63"/>
        </w:rPr>
      </w:r>
      <w:r>
        <w:rPr/>
        <w:t>计事项。</w:t>
      </w:r>
    </w:p>
    <w:p>
      <w:pPr>
        <w:pStyle w:val="BodyText"/>
        <w:spacing w:line="300" w:lineRule="auto" w:before="19"/>
        <w:ind w:left="633" w:right="6493"/>
        <w:jc w:val="left"/>
      </w:pPr>
      <w:r>
        <w:rPr/>
        <w:t>相关披露请参见附注五、</w:t>
      </w:r>
      <w:r>
        <w:rPr>
          <w:rFonts w:ascii="Times New Roman" w:hAnsi="Times New Roman" w:cs="Times New Roman" w:eastAsia="Times New Roman" w:hint="default"/>
        </w:rPr>
        <w:t>28</w:t>
      </w:r>
      <w:r>
        <w:rPr/>
        <w:t>及附注七、</w:t>
      </w:r>
      <w:r>
        <w:rPr>
          <w:rFonts w:ascii="Times New Roman" w:hAnsi="Times New Roman" w:cs="Times New Roman" w:eastAsia="Times New Roman" w:hint="default"/>
        </w:rPr>
        <w:t>52</w:t>
      </w:r>
      <w:r>
        <w:rPr/>
        <w:t>。 </w:t>
      </w:r>
      <w:r>
        <w:rPr>
          <w:rFonts w:ascii="Times New Roman" w:hAnsi="Times New Roman" w:cs="Times New Roman" w:eastAsia="Times New Roman" w:hint="default"/>
          <w:b/>
          <w:bCs/>
        </w:rPr>
        <w:t>2</w:t>
      </w:r>
      <w:r>
        <w:rPr>
          <w:rFonts w:ascii="宋体" w:hAnsi="宋体" w:cs="宋体" w:eastAsia="宋体" w:hint="default"/>
          <w:b/>
          <w:bCs/>
        </w:rPr>
        <w:t>、审计应对</w:t>
      </w:r>
      <w:r>
        <w:rPr>
          <w:rFonts w:ascii="宋体" w:hAnsi="宋体" w:cs="宋体" w:eastAsia="宋体" w:hint="default"/>
          <w:b/>
          <w:bCs/>
          <w:w w:val="99"/>
        </w:rPr>
        <w:t> </w:t>
      </w:r>
      <w:r>
        <w:rPr/>
        <w:t>针对收入确认，我们实施的审计程序主要包括：</w:t>
      </w:r>
    </w:p>
    <w:p>
      <w:pPr>
        <w:pStyle w:val="BodyText"/>
        <w:spacing w:line="240" w:lineRule="auto" w:before="31"/>
        <w:ind w:left="633" w:right="1133"/>
        <w:jc w:val="left"/>
      </w:pPr>
      <w:r>
        <w:rPr/>
        <w:t>（</w:t>
      </w:r>
      <w:r>
        <w:rPr>
          <w:rFonts w:ascii="Times New Roman" w:hAnsi="Times New Roman" w:cs="Times New Roman" w:eastAsia="Times New Roman" w:hint="default"/>
        </w:rPr>
        <w:t>1</w:t>
      </w:r>
      <w:r>
        <w:rPr/>
        <w:t>）了解和评估管理层与收入确认相关内部控制设计的合理性，测试关键控制执行的有效性；</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633" w:right="1133"/>
        <w:jc w:val="left"/>
      </w:pPr>
      <w:r>
        <w:rPr/>
        <w:t>（</w:t>
      </w:r>
      <w:r>
        <w:rPr>
          <w:rFonts w:ascii="Times New Roman" w:hAnsi="Times New Roman" w:cs="Times New Roman" w:eastAsia="Times New Roman" w:hint="default"/>
        </w:rPr>
        <w:t>2</w:t>
      </w:r>
      <w:r>
        <w:rPr/>
        <w:t>）了解各类业务收入的具体确认方法，评估其是否符合公司业务特点及会计准则的规定；</w:t>
      </w:r>
    </w:p>
    <w:p>
      <w:pPr>
        <w:pStyle w:val="BodyText"/>
        <w:spacing w:line="240" w:lineRule="auto" w:before="63"/>
        <w:ind w:left="633" w:right="1133"/>
        <w:jc w:val="left"/>
      </w:pPr>
      <w:r>
        <w:rPr/>
        <w:t>（</w:t>
      </w:r>
      <w:r>
        <w:rPr>
          <w:rFonts w:ascii="Times New Roman" w:hAnsi="Times New Roman" w:cs="Times New Roman" w:eastAsia="Times New Roman" w:hint="default"/>
        </w:rPr>
        <w:t>3</w:t>
      </w:r>
      <w:r>
        <w:rPr/>
        <w:t>）执行分析程序，检查收入、成本、毛利率变动的合理性；</w:t>
      </w:r>
    </w:p>
    <w:p>
      <w:pPr>
        <w:pStyle w:val="BodyText"/>
        <w:spacing w:line="300" w:lineRule="auto" w:before="63"/>
        <w:ind w:right="1133" w:firstLine="480"/>
        <w:jc w:val="left"/>
      </w:pPr>
      <w:r>
        <w:rPr/>
        <w:t>（</w:t>
      </w:r>
      <w:r>
        <w:rPr>
          <w:rFonts w:ascii="Times New Roman" w:hAnsi="Times New Roman" w:cs="Times New Roman" w:eastAsia="Times New Roman" w:hint="default"/>
        </w:rPr>
        <w:t>4</w:t>
      </w:r>
      <w:r>
        <w:rPr/>
        <w:t>）选取样本，检查系统集成业务的合同条款，是否取得客户验收报告等依据；检查软件开发收入确定完工百分比 的基础数据是否准确，复核预计总成本的合理性以及已发生成本的真实性；</w:t>
      </w:r>
    </w:p>
    <w:p>
      <w:pPr>
        <w:pStyle w:val="BodyText"/>
        <w:spacing w:line="240" w:lineRule="auto" w:before="31"/>
        <w:ind w:left="633" w:right="1133"/>
        <w:jc w:val="left"/>
      </w:pPr>
      <w:r>
        <w:rPr/>
        <w:t>（</w:t>
      </w:r>
      <w:r>
        <w:rPr>
          <w:rFonts w:ascii="Times New Roman" w:hAnsi="Times New Roman" w:cs="Times New Roman" w:eastAsia="Times New Roman" w:hint="default"/>
        </w:rPr>
        <w:t>5</w:t>
      </w:r>
      <w:r>
        <w:rPr/>
        <w:t>）结合应收账款审计，对重要客户的营业收入进行函证；</w:t>
      </w:r>
    </w:p>
    <w:p>
      <w:pPr>
        <w:pStyle w:val="BodyText"/>
        <w:spacing w:line="240" w:lineRule="auto" w:before="63"/>
        <w:ind w:left="633" w:right="1133"/>
        <w:jc w:val="left"/>
      </w:pPr>
      <w:r>
        <w:rPr/>
        <w:t>（</w:t>
      </w:r>
      <w:r>
        <w:rPr>
          <w:rFonts w:ascii="Times New Roman" w:hAnsi="Times New Roman" w:cs="Times New Roman" w:eastAsia="Times New Roman" w:hint="default"/>
        </w:rPr>
        <w:t>6</w:t>
      </w:r>
      <w:r>
        <w:rPr/>
        <w:t>）对资产负债表日前后记录的收入交易实施截止性测试，以检查收入是否被记录于恰当的会计期间。</w:t>
      </w:r>
    </w:p>
    <w:p>
      <w:pPr>
        <w:pStyle w:val="Heading4"/>
        <w:spacing w:line="240" w:lineRule="auto"/>
        <w:ind w:right="1133"/>
        <w:jc w:val="left"/>
        <w:rPr>
          <w:b w:val="0"/>
          <w:bCs w:val="0"/>
        </w:rPr>
      </w:pPr>
      <w:r>
        <w:rPr/>
        <w:t>（二）商誉确认及其减值</w:t>
      </w:r>
      <w:r>
        <w:rPr>
          <w:b w:val="0"/>
          <w:bCs w:val="0"/>
        </w:rPr>
      </w:r>
    </w:p>
    <w:p>
      <w:pPr>
        <w:pStyle w:val="BodyText"/>
        <w:spacing w:line="300" w:lineRule="auto" w:before="76"/>
        <w:ind w:left="633" w:right="1117"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2"/>
        </w:rPr>
        <w:t>新晨科技公司于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日以非同一控制下企业合并方式取得了北京瑞得音信息技术有限公司</w:t>
      </w:r>
      <w:r>
        <w:rPr>
          <w:rFonts w:ascii="Times New Roman" w:hAnsi="Times New Roman" w:cs="Times New Roman" w:eastAsia="Times New Roman" w:hint="default"/>
          <w:spacing w:val="-2"/>
        </w:rPr>
        <w:t>51%</w:t>
      </w:r>
      <w:r>
        <w:rPr>
          <w:spacing w:val="-2"/>
        </w:rPr>
        <w:t>的股权，确认商</w:t>
      </w:r>
    </w:p>
    <w:p>
      <w:pPr>
        <w:pStyle w:val="BodyText"/>
        <w:spacing w:line="309" w:lineRule="auto" w:before="13"/>
        <w:ind w:right="1128"/>
        <w:jc w:val="both"/>
      </w:pPr>
      <w:r>
        <w:rPr>
          <w:spacing w:val="-2"/>
        </w:rPr>
        <w:t>誉</w:t>
      </w:r>
      <w:r>
        <w:rPr>
          <w:rFonts w:ascii="Times New Roman" w:hAnsi="Times New Roman" w:cs="Times New Roman" w:eastAsia="Times New Roman" w:hint="default"/>
          <w:spacing w:val="-2"/>
        </w:rPr>
        <w:t>15,272.71</w:t>
      </w:r>
      <w:r>
        <w:rPr>
          <w:spacing w:val="-2"/>
        </w:rPr>
        <w:t>万元。根据企业会计准则的规定，管理层在每年年度终了对商誉进行减值测试，并依据减值测试的结果调整商誉</w:t>
      </w:r>
      <w:r>
        <w:rPr>
          <w:spacing w:val="-56"/>
        </w:rPr>
        <w:t> </w:t>
      </w:r>
      <w:r>
        <w:rPr>
          <w:spacing w:val="-56"/>
        </w:rPr>
      </w:r>
      <w:r>
        <w:rPr>
          <w:spacing w:val="-2"/>
        </w:rPr>
        <w:t>的账面价值。商誉减值测试的结果很大程度上依赖于管理层所做的估计和采用的假设，因此，我们将商誉确认及其减值确定</w:t>
      </w:r>
      <w:r>
        <w:rPr>
          <w:spacing w:val="-63"/>
        </w:rPr>
        <w:t> </w:t>
      </w:r>
      <w:r>
        <w:rPr>
          <w:spacing w:val="-63"/>
        </w:rPr>
      </w:r>
      <w:r>
        <w:rPr/>
        <w:t>为关键审计事项。</w:t>
      </w:r>
    </w:p>
    <w:p>
      <w:pPr>
        <w:pStyle w:val="BodyText"/>
        <w:spacing w:line="300" w:lineRule="auto" w:before="24"/>
        <w:ind w:left="633" w:right="6223"/>
        <w:jc w:val="left"/>
      </w:pPr>
      <w:r>
        <w:rPr/>
        <w:t>相关披露请参见附注五、</w:t>
      </w:r>
      <w:r>
        <w:rPr>
          <w:rFonts w:ascii="Times New Roman" w:hAnsi="Times New Roman" w:cs="Times New Roman" w:eastAsia="Times New Roman" w:hint="default"/>
        </w:rPr>
        <w:t>5</w:t>
      </w:r>
      <w:r>
        <w:rPr/>
        <w:t>、附注七、</w:t>
      </w:r>
      <w:r>
        <w:rPr>
          <w:rFonts w:ascii="Times New Roman" w:hAnsi="Times New Roman" w:cs="Times New Roman" w:eastAsia="Times New Roman" w:hint="default"/>
        </w:rPr>
        <w:t>22</w:t>
      </w:r>
      <w:r>
        <w:rPr/>
        <w:t>及附注八。 </w:t>
      </w:r>
      <w:r>
        <w:rPr>
          <w:rFonts w:ascii="Times New Roman" w:hAnsi="Times New Roman" w:cs="Times New Roman" w:eastAsia="Times New Roman" w:hint="default"/>
          <w:b/>
          <w:bCs/>
        </w:rPr>
        <w:t>2</w:t>
      </w:r>
      <w:r>
        <w:rPr>
          <w:rFonts w:ascii="宋体" w:hAnsi="宋体" w:cs="宋体" w:eastAsia="宋体" w:hint="default"/>
          <w:b/>
          <w:bCs/>
        </w:rPr>
        <w:t>、审计应对</w:t>
      </w:r>
      <w:r>
        <w:rPr>
          <w:rFonts w:ascii="宋体" w:hAnsi="宋体" w:cs="宋体" w:eastAsia="宋体" w:hint="default"/>
          <w:b/>
          <w:bCs/>
          <w:w w:val="99"/>
        </w:rPr>
        <w:t> </w:t>
      </w:r>
      <w:r>
        <w:rPr/>
        <w:t>针对商誉确认，我们实施的审计程序主要包括：</w:t>
      </w:r>
    </w:p>
    <w:p>
      <w:pPr>
        <w:pStyle w:val="BodyText"/>
        <w:spacing w:line="240" w:lineRule="auto" w:before="31"/>
        <w:ind w:left="633" w:right="1133"/>
        <w:jc w:val="left"/>
      </w:pPr>
      <w:r>
        <w:rPr/>
        <w:t>（</w:t>
      </w:r>
      <w:r>
        <w:rPr>
          <w:rFonts w:ascii="Times New Roman" w:hAnsi="Times New Roman" w:cs="Times New Roman" w:eastAsia="Times New Roman" w:hint="default"/>
        </w:rPr>
        <w:t>1</w:t>
      </w:r>
      <w:r>
        <w:rPr/>
        <w:t>）检查协议生效条件、合并价款的支付情况等；</w:t>
      </w:r>
    </w:p>
    <w:p>
      <w:pPr>
        <w:pStyle w:val="BodyText"/>
        <w:spacing w:line="240" w:lineRule="auto" w:before="63"/>
        <w:ind w:left="633" w:right="1133"/>
        <w:jc w:val="left"/>
      </w:pPr>
      <w:r>
        <w:rPr/>
        <w:t>（</w:t>
      </w:r>
      <w:r>
        <w:rPr>
          <w:rFonts w:ascii="Times New Roman" w:hAnsi="Times New Roman" w:cs="Times New Roman" w:eastAsia="Times New Roman" w:hint="default"/>
        </w:rPr>
        <w:t>2</w:t>
      </w:r>
      <w:r>
        <w:rPr/>
        <w:t>）评价管理层所引入的外部估值专家的胜任能力、专业素质和客观性；</w:t>
      </w:r>
    </w:p>
    <w:p>
      <w:pPr>
        <w:pStyle w:val="BodyText"/>
        <w:spacing w:line="240" w:lineRule="auto" w:before="63"/>
        <w:ind w:left="633" w:right="1133"/>
        <w:jc w:val="left"/>
      </w:pPr>
      <w:r>
        <w:rPr/>
        <w:t>（</w:t>
      </w:r>
      <w:r>
        <w:rPr>
          <w:rFonts w:ascii="Times New Roman" w:hAnsi="Times New Roman" w:cs="Times New Roman" w:eastAsia="Times New Roman" w:hint="default"/>
        </w:rPr>
        <w:t>3</w:t>
      </w:r>
      <w:r>
        <w:rPr/>
        <w:t>）复核购买日被并购方可辨认资产和负债公允价值确认的合理性；</w:t>
      </w:r>
    </w:p>
    <w:p>
      <w:pPr>
        <w:pStyle w:val="BodyText"/>
        <w:spacing w:line="300" w:lineRule="auto" w:before="63"/>
        <w:ind w:left="633" w:right="6493"/>
        <w:jc w:val="left"/>
      </w:pPr>
      <w:r>
        <w:rPr/>
        <w:t>（</w:t>
      </w:r>
      <w:r>
        <w:rPr>
          <w:rFonts w:ascii="Times New Roman" w:hAnsi="Times New Roman" w:cs="Times New Roman" w:eastAsia="Times New Roman" w:hint="default"/>
        </w:rPr>
        <w:t>4</w:t>
      </w:r>
      <w:r>
        <w:rPr/>
        <w:t>）复核商誉的计算。 针对商誉减值，我们实施的审计程序主要包括：</w:t>
      </w:r>
    </w:p>
    <w:p>
      <w:pPr>
        <w:pStyle w:val="BodyText"/>
        <w:spacing w:line="240" w:lineRule="auto" w:before="31"/>
        <w:ind w:left="633" w:right="1133"/>
        <w:jc w:val="left"/>
      </w:pPr>
      <w:r>
        <w:rPr/>
        <w:t>（</w:t>
      </w:r>
      <w:r>
        <w:rPr>
          <w:rFonts w:ascii="Times New Roman" w:hAnsi="Times New Roman" w:cs="Times New Roman" w:eastAsia="Times New Roman" w:hint="default"/>
        </w:rPr>
        <w:t>1</w:t>
      </w:r>
      <w:r>
        <w:rPr/>
        <w:t>）评价、测试管理层与商誉减值相关的内部控制的设计和运行的有效性；</w:t>
      </w:r>
    </w:p>
    <w:p>
      <w:pPr>
        <w:pStyle w:val="BodyText"/>
        <w:spacing w:line="240" w:lineRule="auto" w:before="63"/>
        <w:ind w:left="633" w:right="1133"/>
        <w:jc w:val="left"/>
      </w:pPr>
      <w:r>
        <w:rPr/>
        <w:t>（</w:t>
      </w:r>
      <w:r>
        <w:rPr>
          <w:rFonts w:ascii="Times New Roman" w:hAnsi="Times New Roman" w:cs="Times New Roman" w:eastAsia="Times New Roman" w:hint="default"/>
        </w:rPr>
        <w:t>2</w:t>
      </w:r>
      <w:r>
        <w:rPr/>
        <w:t>）评价管理层所引入的外部估值专家的胜任能力、专业素质和客观性；</w:t>
      </w:r>
    </w:p>
    <w:p>
      <w:pPr>
        <w:pStyle w:val="BodyText"/>
        <w:spacing w:line="240" w:lineRule="auto" w:before="63"/>
        <w:ind w:left="633" w:right="1133"/>
        <w:jc w:val="left"/>
      </w:pPr>
      <w:r>
        <w:rPr/>
        <w:t>（</w:t>
      </w:r>
      <w:r>
        <w:rPr>
          <w:rFonts w:ascii="Times New Roman" w:hAnsi="Times New Roman" w:cs="Times New Roman" w:eastAsia="Times New Roman" w:hint="default"/>
        </w:rPr>
        <w:t>3</w:t>
      </w:r>
      <w:r>
        <w:rPr/>
        <w:t>）与外部估值专家进行沟通，了解其评估范围、评估方法等；</w:t>
      </w:r>
    </w:p>
    <w:p>
      <w:pPr>
        <w:pStyle w:val="BodyText"/>
        <w:spacing w:line="300" w:lineRule="auto" w:before="63"/>
        <w:ind w:right="1133" w:firstLine="480"/>
        <w:jc w:val="left"/>
      </w:pPr>
      <w:r>
        <w:rPr/>
        <w:t>（</w:t>
      </w:r>
      <w:r>
        <w:rPr>
          <w:rFonts w:ascii="Times New Roman" w:hAnsi="Times New Roman" w:cs="Times New Roman" w:eastAsia="Times New Roman" w:hint="default"/>
        </w:rPr>
        <w:t>4</w:t>
      </w:r>
      <w:r>
        <w:rPr/>
        <w:t>）利用本所内部估值专家的工作，评价外部估值专家估值时所采用的评估方法的恰当性，以及采用的重要假设、 判断和折现率等关键参数的合理性；</w:t>
      </w:r>
    </w:p>
    <w:p>
      <w:pPr>
        <w:pStyle w:val="BodyText"/>
        <w:spacing w:line="240" w:lineRule="auto" w:before="32"/>
        <w:ind w:left="633" w:right="1133"/>
        <w:jc w:val="left"/>
      </w:pPr>
      <w:r>
        <w:rPr/>
        <w:t>（</w:t>
      </w:r>
      <w:r>
        <w:rPr>
          <w:rFonts w:ascii="Times New Roman" w:hAnsi="Times New Roman" w:cs="Times New Roman" w:eastAsia="Times New Roman" w:hint="default"/>
        </w:rPr>
        <w:t>5</w:t>
      </w:r>
      <w:r>
        <w:rPr/>
        <w:t>）检查商誉减值在财务报表中的列报与披露。</w:t>
      </w:r>
    </w:p>
    <w:p>
      <w:pPr>
        <w:spacing w:line="240" w:lineRule="auto" w:before="0"/>
        <w:rPr>
          <w:rFonts w:ascii="宋体" w:hAnsi="宋体" w:cs="宋体" w:eastAsia="宋体" w:hint="default"/>
          <w:sz w:val="18"/>
          <w:szCs w:val="18"/>
        </w:rPr>
      </w:pPr>
    </w:p>
    <w:p>
      <w:pPr>
        <w:pStyle w:val="BodyText"/>
        <w:spacing w:line="316" w:lineRule="auto" w:before="139"/>
        <w:ind w:left="633" w:right="1133" w:firstLine="2"/>
        <w:jc w:val="left"/>
      </w:pPr>
      <w:r>
        <w:rPr>
          <w:rFonts w:ascii="宋体" w:hAnsi="宋体" w:cs="宋体" w:eastAsia="宋体" w:hint="default"/>
          <w:b/>
          <w:bCs/>
        </w:rPr>
        <w:t>四、其他信息</w:t>
      </w:r>
      <w:r>
        <w:rPr>
          <w:rFonts w:ascii="宋体" w:hAnsi="宋体" w:cs="宋体" w:eastAsia="宋体" w:hint="default"/>
          <w:b/>
          <w:bCs/>
          <w:w w:val="99"/>
        </w:rPr>
        <w:t> </w:t>
      </w:r>
      <w:r>
        <w:rPr>
          <w:spacing w:val="-1"/>
        </w:rPr>
        <w:t>新晨科技公司管理层对其他信息负责。其他信息包括新晨科技公司</w:t>
      </w:r>
      <w:r>
        <w:rPr>
          <w:rFonts w:ascii="Times New Roman" w:hAnsi="Times New Roman" w:cs="Times New Roman" w:eastAsia="Times New Roman" w:hint="default"/>
          <w:spacing w:val="-1"/>
        </w:rPr>
        <w:t>2018</w:t>
      </w:r>
      <w:r>
        <w:rPr>
          <w:spacing w:val="-1"/>
        </w:rPr>
        <w:t>年年度报告中涵盖的信息，但不包括财务报表</w:t>
      </w:r>
    </w:p>
    <w:p>
      <w:pPr>
        <w:pStyle w:val="BodyText"/>
        <w:spacing w:line="316" w:lineRule="auto"/>
        <w:ind w:left="633" w:right="2533" w:hanging="481"/>
        <w:jc w:val="left"/>
      </w:pPr>
      <w:r>
        <w:rPr/>
        <w:t>和我们的审计报告。 我们对财务报表发表的审计意见不涵盖其他信息，我们也不对其他信息发表任何形式的鉴证结论。</w:t>
      </w:r>
    </w:p>
    <w:p>
      <w:pPr>
        <w:pStyle w:val="BodyText"/>
        <w:spacing w:line="316" w:lineRule="auto" w:before="19"/>
        <w:ind w:right="0" w:firstLine="480"/>
        <w:jc w:val="left"/>
      </w:pPr>
      <w:r>
        <w:rPr>
          <w:spacing w:val="-1"/>
        </w:rPr>
        <w:t>结合我们对财务报表的审计，我们的责任是阅读其他信息，在此过程中，考虑其他信息是否与财务报表或我们在审计</w:t>
      </w:r>
      <w:r>
        <w:rPr/>
        <w:t> 过程中了解到的情况存在重大不一致或者似乎存在重大错报。</w:t>
      </w:r>
    </w:p>
    <w:p>
      <w:pPr>
        <w:pStyle w:val="BodyText"/>
        <w:spacing w:line="316" w:lineRule="auto" w:before="19"/>
        <w:ind w:right="1117" w:firstLine="480"/>
        <w:jc w:val="left"/>
      </w:pPr>
      <w:r>
        <w:rPr>
          <w:spacing w:val="-1"/>
        </w:rPr>
        <w:t>基于我们已执行的工作，如果我们确定其他信息存在重大错报，我们应当报告该事实。在这方面，我们无任何事项需</w:t>
      </w:r>
      <w:r>
        <w:rPr/>
        <w:t> 要报告。</w:t>
      </w:r>
    </w:p>
    <w:p>
      <w:pPr>
        <w:spacing w:line="240" w:lineRule="auto" w:before="4"/>
        <w:rPr>
          <w:rFonts w:ascii="宋体" w:hAnsi="宋体" w:cs="宋体" w:eastAsia="宋体" w:hint="default"/>
          <w:sz w:val="25"/>
          <w:szCs w:val="25"/>
        </w:rPr>
      </w:pPr>
    </w:p>
    <w:p>
      <w:pPr>
        <w:spacing w:line="319" w:lineRule="auto" w:before="0"/>
        <w:ind w:left="633" w:right="1093"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新晨科技公司管理层（以下简称管理层）负责按照企业会计准则的规定编制财务报表，使其实现公允反映，并设计、</w:t>
      </w:r>
    </w:p>
    <w:p>
      <w:pPr>
        <w:pStyle w:val="BodyText"/>
        <w:spacing w:line="316" w:lineRule="auto" w:before="17"/>
        <w:ind w:left="633" w:right="1133" w:hanging="481"/>
        <w:jc w:val="left"/>
      </w:pPr>
      <w:r>
        <w:rPr/>
        <w:t>执行和维护必要的内部控制，以使财务报表不存在由于舞弊或错误导致的重大错报。 </w:t>
      </w:r>
      <w:r>
        <w:rPr>
          <w:spacing w:val="-1"/>
        </w:rPr>
        <w:t>在编制财务报表时，管理层负责评估新晨科技公司的持续经营能力，披露与持续经营相关的事项（如适用），并运用</w:t>
      </w:r>
    </w:p>
    <w:p>
      <w:pPr>
        <w:pStyle w:val="BodyText"/>
        <w:spacing w:line="316" w:lineRule="auto" w:before="19"/>
        <w:ind w:left="633" w:right="3914" w:hanging="481"/>
        <w:jc w:val="left"/>
      </w:pPr>
      <w:r>
        <w:rPr/>
        <w:t>持续经营假设，除非管理层计划清算新晨科技公司、终止运营或别无其他现实的选择。 治理层负责监督新晨科技公司的财务报告过程。</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534" w:right="1133" w:firstLine="10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我们的目标是对财务报表整体是否不存在由于舞弊或错误导致的重大错报获取合理保证，并出具包含审计意见的审计</w:t>
      </w:r>
    </w:p>
    <w:p>
      <w:pPr>
        <w:pStyle w:val="BodyText"/>
        <w:spacing w:line="316" w:lineRule="auto" w:before="17"/>
        <w:ind w:right="1128"/>
        <w:jc w:val="both"/>
      </w:pPr>
      <w:r>
        <w:rPr>
          <w:spacing w:val="-2"/>
        </w:rPr>
        <w:t>报告。合理保证是高水平的保证，但并不能保证按照审计准则执行的审计在某一重大错报存在时总能发现。错报可能由于舞</w:t>
      </w:r>
      <w:r>
        <w:rPr>
          <w:spacing w:val="-61"/>
        </w:rPr>
        <w:t> </w:t>
      </w:r>
      <w:r>
        <w:rPr>
          <w:spacing w:val="-61"/>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33" w:right="1133"/>
        <w:jc w:val="left"/>
      </w:pPr>
      <w:r>
        <w:rPr/>
        <w:t>在按照审计准则执行审计工作的过程中，我们运用职业判断，并保持职业怀疑。同时，我们也执行以下工作：</w:t>
      </w:r>
    </w:p>
    <w:p>
      <w:pPr>
        <w:pStyle w:val="BodyText"/>
        <w:spacing w:line="316" w:lineRule="auto" w:before="76"/>
        <w:ind w:right="1041" w:firstLine="480"/>
        <w:jc w:val="both"/>
      </w:pPr>
      <w:r>
        <w:rPr>
          <w:spacing w:val="-3"/>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633" w:right="1133"/>
        <w:jc w:val="left"/>
      </w:pPr>
      <w:r>
        <w:rPr/>
        <w:t>（二）了解与审计相关的内部控制，以设计恰当的审计程序，但目的并非对内部控制的有效性发表意见。</w:t>
      </w:r>
    </w:p>
    <w:p>
      <w:pPr>
        <w:pStyle w:val="BodyText"/>
        <w:spacing w:line="240" w:lineRule="auto" w:before="76"/>
        <w:ind w:left="633" w:right="1133"/>
        <w:jc w:val="left"/>
      </w:pPr>
      <w:r>
        <w:rPr/>
        <w:t>（三）评价管理层选用会计政策的恰当性和作出会计估计及相关披露的合理性。</w:t>
      </w:r>
    </w:p>
    <w:p>
      <w:pPr>
        <w:pStyle w:val="BodyText"/>
        <w:spacing w:line="319" w:lineRule="auto" w:before="76"/>
        <w:ind w:right="0" w:firstLine="480"/>
        <w:jc w:val="left"/>
      </w:pPr>
      <w:r>
        <w:rPr>
          <w:spacing w:val="-1"/>
        </w:rPr>
        <w:t>（四）对管理层使用持续经营假设的恰当性得出结论。同时，根据获取的审计证据，就可能导致对新晨科技公司持续</w:t>
      </w:r>
      <w:r>
        <w:rPr/>
        <w:t> 经营能力产生重大疑虑的事项或情况是否存在重大不确定性得出结论。如果我们得出结论认为存在重大不确定性，审计 准则要求我们在审计报告中提请报表使用者注意财务报表中的相关披露；如果披 露不充分，我们应当发表非无保留意见。我们的结论基于截至审计报告日可获得 的信息。然而，未来的事项或情况可能导致新晨科技公司不能持续经营。</w:t>
      </w:r>
    </w:p>
    <w:p>
      <w:pPr>
        <w:pStyle w:val="BodyText"/>
        <w:spacing w:line="240" w:lineRule="auto" w:before="17"/>
        <w:ind w:left="633" w:right="1133"/>
        <w:jc w:val="left"/>
      </w:pPr>
      <w:r>
        <w:rPr/>
        <w:t>（五）评价财务报表的总体列报、结构和内容（包括披露），并评价财务报表是否公允反映相关交易和事项。</w:t>
      </w:r>
    </w:p>
    <w:p>
      <w:pPr>
        <w:pStyle w:val="BodyText"/>
        <w:spacing w:line="316" w:lineRule="auto" w:before="76"/>
        <w:ind w:right="0" w:firstLine="480"/>
        <w:jc w:val="left"/>
      </w:pPr>
      <w:r>
        <w:rPr>
          <w:spacing w:val="-1"/>
        </w:rPr>
        <w:t>（六）就新晨科技公司中实体或业务活动的财务信息获取充分、适当的审计证据，以对财务报表发表意见。我们负责</w:t>
      </w:r>
      <w:r>
        <w:rPr/>
        <w:t> 指导、监督和执行集团审计。我们对审计意见承担全部责任。</w:t>
      </w:r>
    </w:p>
    <w:p>
      <w:pPr>
        <w:pStyle w:val="BodyText"/>
        <w:spacing w:line="316" w:lineRule="auto" w:before="19"/>
        <w:ind w:right="1133" w:firstLine="480"/>
        <w:jc w:val="left"/>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0" w:firstLine="480"/>
        <w:jc w:val="left"/>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9" w:lineRule="auto" w:before="19"/>
        <w:ind w:right="1132"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781" w:type="dxa"/>
        <w:tblLayout w:type="fixed"/>
        <w:tblCellMar>
          <w:top w:w="0" w:type="dxa"/>
          <w:left w:w="0" w:type="dxa"/>
          <w:bottom w:w="0" w:type="dxa"/>
          <w:right w:w="0" w:type="dxa"/>
        </w:tblCellMar>
        <w:tblLook w:val="01E0"/>
      </w:tblPr>
      <w:tblGrid>
        <w:gridCol w:w="3499"/>
        <w:gridCol w:w="2962"/>
      </w:tblGrid>
      <w:tr>
        <w:trPr>
          <w:trHeight w:val="1036"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180" w:lineRule="exact"/>
              <w:ind w:right="217"/>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2962" w:type="dxa"/>
            <w:tcBorders>
              <w:top w:val="nil" w:sz="6" w:space="0" w:color="auto"/>
              <w:left w:val="nil" w:sz="6" w:space="0" w:color="auto"/>
              <w:bottom w:val="nil" w:sz="6" w:space="0" w:color="auto"/>
              <w:right w:val="nil" w:sz="6" w:space="0" w:color="auto"/>
            </w:tcBorders>
          </w:tcPr>
          <w:p>
            <w:pPr>
              <w:pStyle w:val="TableParagraph"/>
              <w:spacing w:line="180" w:lineRule="exact"/>
              <w:ind w:left="419"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tabs>
                <w:tab w:pos="3341" w:val="left" w:leader="none"/>
              </w:tabs>
              <w:spacing w:line="240" w:lineRule="auto" w:before="76"/>
              <w:ind w:left="419" w:right="-38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（项目合伙人）：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6"/>
              <w:ind w:right="198"/>
              <w:jc w:val="right"/>
              <w:rPr>
                <w:rFonts w:ascii="宋体" w:hAnsi="宋体" w:cs="宋体" w:eastAsia="宋体" w:hint="default"/>
                <w:sz w:val="18"/>
                <w:szCs w:val="18"/>
              </w:rPr>
            </w:pPr>
            <w:r>
              <w:rPr>
                <w:rFonts w:ascii="宋体" w:hAnsi="宋体" w:cs="宋体" w:eastAsia="宋体" w:hint="default"/>
                <w:sz w:val="18"/>
                <w:szCs w:val="18"/>
              </w:rPr>
              <w:t>雷波涛</w:t>
            </w:r>
          </w:p>
        </w:tc>
      </w:tr>
      <w:tr>
        <w:trPr>
          <w:trHeight w:val="80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4"/>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3250" w:val="left" w:leader="none"/>
              </w:tabs>
              <w:spacing w:line="240" w:lineRule="auto"/>
              <w:ind w:left="419" w:right="-289"/>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6"/>
              <w:ind w:right="198"/>
              <w:jc w:val="right"/>
              <w:rPr>
                <w:rFonts w:ascii="宋体" w:hAnsi="宋体" w:cs="宋体" w:eastAsia="宋体" w:hint="default"/>
                <w:sz w:val="18"/>
                <w:szCs w:val="18"/>
              </w:rPr>
            </w:pPr>
            <w:r>
              <w:rPr>
                <w:rFonts w:ascii="宋体" w:hAnsi="宋体" w:cs="宋体" w:eastAsia="宋体" w:hint="default"/>
                <w:sz w:val="18"/>
                <w:szCs w:val="18"/>
              </w:rPr>
              <w:t>杨鸿博</w:t>
            </w:r>
          </w:p>
        </w:tc>
      </w:tr>
      <w:tr>
        <w:trPr>
          <w:trHeight w:val="267" w:hRule="exact"/>
        </w:trPr>
        <w:tc>
          <w:tcPr>
            <w:tcW w:w="3499"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26"/>
        <w:ind w:right="1133"/>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编制单位：新晨科技股份有限公司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2853" w:space="1223"/>
            <w:col w:w="1642" w:space="3202"/>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410,845,981.88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291,786,700.71</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330,464,990.65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325,919,206.44</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330,364,990.65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322,544,206.44</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35,336,132.18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8,259,938.18</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27,134,801.83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7,794,789.86</w:t>
            </w:r>
          </w:p>
        </w:tc>
      </w:tr>
      <w:tr>
        <w:trPr>
          <w:trHeight w:val="40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116,497,014.34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33,186,538.52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6,226,729.25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6,247,725.48</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926,505,650.13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673,194,899.19</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69,618,710.92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1,322,731.05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39,510,920.81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12,868,828.23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89,622,829.57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6,981,161.00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2,373,423.64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152,727,059.26</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953,946.93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726,627.23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12,170,540.78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8,376,588.25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8,691,104.00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293,046,443.70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116,291,027.97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1,219,552,093.83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789,485,927.16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206,501,879.81</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189,698,699.34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110,603,743.70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19,017,803.40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7,367,252.73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26,907,404.13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18,464,652.49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22,707,459.32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31,442,724.51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17,678,484.15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25,485,551.81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357,033.89</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316,901.88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482,511,730.15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193,680,827.12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79,200,000.00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671,202.46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79,200,000.00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671,202.46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561,711,730.15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194,352,029.58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155,025,550.00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91,191,500.00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162,420,974.17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224,707,239.03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14,553,921.00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41,999,301.17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39,991,615.35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292,577,404.61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263,511,881.12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637,469,308.95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595,145,700.50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20,371,054.73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-11,802.92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657,840,363.68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595,133,897.58</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1,219,552,093.83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789,485,927.16</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9" w:val="left" w:leader="none"/>
        </w:tabs>
        <w:spacing w:line="240" w:lineRule="auto" w:before="44"/>
        <w:ind w:right="1133"/>
        <w:jc w:val="left"/>
      </w:pPr>
      <w:r>
        <w:rPr/>
        <w:t>法定代表人：康路</w:t>
        <w:tab/>
      </w:r>
      <w:r>
        <w:rPr>
          <w:spacing w:val="-1"/>
        </w:rPr>
        <w:t>主管会计工作负责人：余克俭</w:t>
        <w:tab/>
      </w:r>
      <w:r>
        <w:rPr/>
        <w:t>会计机构负责人：朱惠文</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0"/>
        <w:gridCol w:w="2711"/>
        <w:gridCol w:w="2338"/>
      </w:tblGrid>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285,429,336.63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201,998,962.49</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297,756,467.25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308,512,737.98</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3,375,000.00</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297,756,467.25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305,137,737.98</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33,279,037.54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6,661,259.27</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8,347,789.54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6,663,567.66</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82,264,844.11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33,019,753.14</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6,202,879.44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5,791,598.36</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713,280,354.51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562,647,878.90</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237,538,264.06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63,818,349.80</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76,842,599.76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1,322,731.05</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30,186,416.44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10,557,709.16</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89,622,829.57</w:t>
            </w: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6,773,910.19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2,136,979.95</w:t>
            </w: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71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7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11,493,674.50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7,998,936.56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365,227,864.95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176,457,536.09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1,078,508,219.46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739,105,414.99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206,501,879.81</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153,284,996.82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108,409,914.51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4,871,342.59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5,342,922.73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16,172,489.64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10,913,072.30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16,179,893.07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27,333,689.03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17,430,524.44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25,282,556.33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357,033.89</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316,901.88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414,441,126.37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177,599,056.78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79,200,000.00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671,202.46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79,200,000.00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671,202.46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493,641,126.37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178,270,259.24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155,025,550.00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91,191,500.00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159,795,584.60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222,081,849.46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14,553,921.00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41,999,301.17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39,991,615.35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242,600,578.32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231,826,725.94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584,867,093.09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560,835,155.75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1,078,508,219.46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739,105,414.99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561"/>
        <w:gridCol w:w="2057"/>
      </w:tblGrid>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819,189,756.97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606,451,812.65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819,189,756.97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606,451,812.65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769,003,939.33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570,361,349.57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634,597,765.28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463,013,272.12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5,090,779.43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4,642,431.24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26,509,656.10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23,956,657.52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51,568,373.07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41,911,316.83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37,494,343.64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26,294,210.82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5,068,510.77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-2,040,523.80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6,026,328.03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58,603.43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963"/>
        <w:gridCol w:w="2549"/>
        <w:gridCol w:w="2057"/>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1,784,467.22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2,303,268.36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8,674,511.04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12,583,984.84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1,711,928.89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2,336,973.17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1,097,228.77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31,171.14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-30,165.61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53,026,146.44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38,397,270.64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0.65</w:t>
            </w:r>
            <w:r>
              <w:rPr>
                <w:rFonts w:ascii="Times New Roman"/>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153,821.39</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34,818.28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52,991,328.81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38,551,092.03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4,302,179.03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2,364,528.98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48,689,149.78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36,186,563.05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48,689,149.78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36,186,563.05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38,368,529.31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36,187,810.88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10,320,620.47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-1,247.83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归属母公司所有者的其他综合收益的税后净额</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归属于少数股东的其他综合收益的税后净额</w:t>
            </w:r>
          </w:p>
        </w:tc>
        <w:tc>
          <w:tcPr>
            <w:tcW w:w="254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48,689,149.78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36,186,563.05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归属于母公司所有者的综合收益总额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38,368,529.31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36,187,810.88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10,320,620.47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-1,247.83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940"/>
        <w:gridCol w:w="2561"/>
        <w:gridCol w:w="2057"/>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bl>
    <w:p>
      <w:pPr>
        <w:pStyle w:val="BodyText"/>
        <w:tabs>
          <w:tab w:pos="3487" w:val="left" w:leader="none"/>
          <w:tab w:pos="7719" w:val="left" w:leader="none"/>
        </w:tabs>
        <w:spacing w:line="595" w:lineRule="auto" w:before="49"/>
        <w:ind w:right="1224"/>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法定代表人：康路</w:t>
        <w:tab/>
      </w:r>
      <w:r>
        <w:rPr>
          <w:spacing w:val="-1"/>
        </w:rPr>
        <w:t>主管会计工作负责人：余克俭</w:t>
        <w:tab/>
      </w:r>
      <w:r>
        <w:rPr/>
        <w:t>会计机构负责人：朱惠文</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561"/>
        <w:gridCol w:w="2057"/>
      </w:tblGrid>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648,060,198.64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492,233,454.58</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529,938,734.36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382,766,723.09</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4,171,351.86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3,614,001.86</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15,325,336.13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13,305,843.59</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40,433,934.41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31,435,974.76</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27,189,054.50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19,501,592.88</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5,382,304.52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-1,813,499.23</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6,026,328.03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58,603.43</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1,448,703.34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2,053,047.98</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7,826,268.73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12,550,064.74</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1,298,104.34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746,973.17</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1,097,228.77</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18,333.22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-30,165.61</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20,206,880.46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31,589,560.45</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142,382.73</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32,649.08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20,174,232.03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31,731,943.18</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97,373.83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1,070,398.22</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20,076,858.20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30,661,544.96</w:t>
            </w: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20,076,858.20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30,661,544.96</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940"/>
        <w:gridCol w:w="2561"/>
        <w:gridCol w:w="2057"/>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485" w:right="0"/>
              <w:jc w:val="left"/>
              <w:rPr>
                <w:rFonts w:ascii="Times New Roman" w:hAnsi="Times New Roman" w:cs="Times New Roman" w:eastAsia="Times New Roman" w:hint="default"/>
                <w:sz w:val="18"/>
                <w:szCs w:val="18"/>
              </w:rPr>
            </w:pPr>
            <w:r>
              <w:rPr>
                <w:rFonts w:ascii="Times New Roman"/>
                <w:sz w:val="18"/>
              </w:rPr>
              <w:t>20,076,858.20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1" w:right="0"/>
              <w:jc w:val="left"/>
              <w:rPr>
                <w:rFonts w:ascii="Times New Roman" w:hAnsi="Times New Roman" w:cs="Times New Roman" w:eastAsia="Times New Roman" w:hint="default"/>
                <w:sz w:val="18"/>
                <w:szCs w:val="18"/>
              </w:rPr>
            </w:pPr>
            <w:r>
              <w:rPr>
                <w:rFonts w:ascii="Times New Roman"/>
                <w:sz w:val="18"/>
              </w:rPr>
              <w:t>30,661,544.96</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8"/>
        <w:gridCol w:w="2138"/>
        <w:gridCol w:w="1913"/>
      </w:tblGrid>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846,852,557.11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549,481,558.15</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处置以公允价值计量且其变动计入当期损益的金融资产净增加额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733,120.84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23,820,342.53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22,148,363.64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870,672,899.64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572,363,042.63</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511,552,530.45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317,719,047.11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08"/>
        <w:gridCol w:w="2138"/>
        <w:gridCol w:w="1913"/>
      </w:tblGrid>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194,748,709.07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163,046,236.06</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28,672,562.63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17,239,892.06</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111,848,606.68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74,849,483.94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846,822,408.83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572,854,659.17</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23,850,490.81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-491,616.54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1,163,062.49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11,931,107.49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1,310.00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78,094,169.98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1,310.00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24,279,172.52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4,170,910.21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66,393,000.00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56,579,323.45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147,251,495.97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5,170,910.21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-69,157,325.99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-5,169,600.21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151,649,227.81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151,649,227.81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35,628,836.63</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13,233,245.83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6,472,430.88</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30"/>
        <w:gridCol w:w="2127"/>
        <w:gridCol w:w="1913"/>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13,233,245.83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42,101,267.51</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138,415,981.98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-17,844,732.51</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8,268.09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-20,189.51</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93,117,414.89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-23,526,138.77</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286,177,805.71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309,703,944.48</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379,295,220.60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286,177,805.71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3"/>
        <w:gridCol w:w="2143"/>
        <w:gridCol w:w="1913"/>
      </w:tblGrid>
      <w:tr>
        <w:trPr>
          <w:trHeight w:val="403"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708,486,460.57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410,343,519.72</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2143"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450,069.52</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38,886,054.09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33,848,003.27</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747,372,514.66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444,641,592.51</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502,014,244.23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285,383,235.76</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103,275,151.72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89,176,203.29</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18,648,200.76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9,449,235.17</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106,781,781.06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72,931,453.82</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730,719,377.77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456,940,128.04</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16,653,136.89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-12,298,535.53</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1,163,062.49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11,881,107.49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1,310.00</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2143"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2143"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78,044,169.98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1,310.00</w:t>
            </w:r>
          </w:p>
        </w:tc>
      </w:tr>
      <w:tr>
        <w:trPr>
          <w:trHeight w:val="403"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15,240,049.08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3,743,452.04</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160,393,000.00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2143"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2143"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175,633,049.08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12,743,452.04</w:t>
            </w:r>
          </w:p>
        </w:tc>
      </w:tr>
      <w:tr>
        <w:trPr>
          <w:trHeight w:val="402"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-97,588,879.10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-12,742,142.04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08"/>
        <w:gridCol w:w="2138"/>
        <w:gridCol w:w="1913"/>
      </w:tblGrid>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151,649,227.81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151,649,227.81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35,628,836.63</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13,233,245.83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6,472,430.88</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213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13,233,245.83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42,101,267.51</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138,415,981.98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-17,844,732.51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8,268.09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-20,189.51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57,488,507.86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-42,905,599.59</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196,390,067.49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239,295,667.08</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253,878,575.35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196,390,067.49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67"/>
        <w:gridCol w:w="1142"/>
        <w:gridCol w:w="228"/>
        <w:gridCol w:w="228"/>
        <w:gridCol w:w="230"/>
        <w:gridCol w:w="1145"/>
        <w:gridCol w:w="1056"/>
        <w:gridCol w:w="228"/>
        <w:gridCol w:w="230"/>
        <w:gridCol w:w="1056"/>
        <w:gridCol w:w="230"/>
        <w:gridCol w:w="1142"/>
        <w:gridCol w:w="1057"/>
        <w:gridCol w:w="1145"/>
      </w:tblGrid>
      <w:tr>
        <w:trPr>
          <w:trHeight w:val="401" w:hRule="exact"/>
        </w:trPr>
        <w:tc>
          <w:tcPr>
            <w:tcW w:w="567" w:type="dxa"/>
            <w:vMerge w:val="restart"/>
            <w:tcBorders>
              <w:top w:val="single" w:sz="4" w:space="0" w:color="000000"/>
              <w:left w:val="single" w:sz="4" w:space="0" w:color="000000"/>
              <w:right w:val="single" w:sz="4" w:space="0" w:color="000000"/>
            </w:tcBorders>
            <w:shd w:val="clear" w:color="auto" w:fill="D2D2D2"/>
          </w:tcPr>
          <w:p>
            <w:pPr/>
          </w:p>
        </w:tc>
        <w:tc>
          <w:tcPr>
            <w:tcW w:w="911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567" w:type="dxa"/>
            <w:vMerge/>
            <w:tcBorders>
              <w:left w:val="single" w:sz="4" w:space="0" w:color="000000"/>
              <w:right w:val="single" w:sz="4" w:space="0" w:color="000000"/>
            </w:tcBorders>
            <w:shd w:val="clear" w:color="auto" w:fill="D2D2D2"/>
          </w:tcPr>
          <w:p>
            <w:pPr/>
          </w:p>
        </w:tc>
        <w:tc>
          <w:tcPr>
            <w:tcW w:w="69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
        </w:tc>
      </w:tr>
      <w:tr>
        <w:trPr>
          <w:trHeight w:val="354" w:hRule="exact"/>
        </w:trPr>
        <w:tc>
          <w:tcPr>
            <w:tcW w:w="567" w:type="dxa"/>
            <w:vMerge/>
            <w:tcBorders>
              <w:left w:val="single" w:sz="4" w:space="0" w:color="000000"/>
              <w:bottom w:val="nil" w:sz="6" w:space="0" w:color="auto"/>
              <w:right w:val="single" w:sz="4" w:space="0" w:color="000000"/>
            </w:tcBorders>
            <w:shd w:val="clear" w:color="auto" w:fill="D2D2D2"/>
          </w:tcPr>
          <w:p>
            <w:pPr/>
          </w:p>
        </w:tc>
        <w:tc>
          <w:tcPr>
            <w:tcW w:w="1142" w:type="dxa"/>
            <w:vMerge w:val="restart"/>
            <w:tcBorders>
              <w:top w:val="single" w:sz="4" w:space="0" w:color="000000"/>
              <w:left w:val="single" w:sz="4" w:space="0" w:color="000000"/>
              <w:right w:val="single" w:sz="4" w:space="0" w:color="000000"/>
            </w:tcBorders>
            <w:shd w:val="clear" w:color="auto" w:fill="D2D2D2"/>
          </w:tcPr>
          <w:p>
            <w:pPr/>
          </w:p>
        </w:tc>
        <w:tc>
          <w:tcPr>
            <w:tcW w:w="68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69" w:right="65"/>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145" w:type="dxa"/>
            <w:vMerge w:val="restart"/>
            <w:tcBorders>
              <w:top w:val="single" w:sz="4" w:space="0" w:color="000000"/>
              <w:left w:val="single" w:sz="4" w:space="0" w:color="000000"/>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
        </w:tc>
        <w:tc>
          <w:tcPr>
            <w:tcW w:w="2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 w:right="12"/>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
        </w:tc>
        <w:tc>
          <w:tcPr>
            <w:tcW w:w="2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4"/>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42"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r>
      <w:tr>
        <w:trPr>
          <w:trHeight w:val="383" w:hRule="exact"/>
        </w:trPr>
        <w:tc>
          <w:tcPr>
            <w:tcW w:w="5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2"/>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142" w:type="dxa"/>
            <w:vMerge/>
            <w:tcBorders>
              <w:left w:val="single" w:sz="4" w:space="0" w:color="000000"/>
              <w:bottom w:val="nil" w:sz="6" w:space="0" w:color="auto"/>
              <w:right w:val="single" w:sz="4" w:space="0" w:color="000000"/>
            </w:tcBorders>
            <w:shd w:val="clear" w:color="auto" w:fill="D2D2D2"/>
          </w:tcPr>
          <w:p>
            <w:pPr/>
          </w:p>
        </w:tc>
        <w:tc>
          <w:tcPr>
            <w:tcW w:w="686" w:type="dxa"/>
            <w:gridSpan w:val="3"/>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228" w:type="dxa"/>
            <w:vMerge/>
            <w:tcBorders>
              <w:left w:val="single" w:sz="4" w:space="0" w:color="000000"/>
              <w:right w:val="single" w:sz="4" w:space="0" w:color="000000"/>
            </w:tcBorders>
            <w:shd w:val="clear" w:color="auto" w:fill="D2D2D2"/>
          </w:tcPr>
          <w:p>
            <w:pPr/>
          </w:p>
        </w:tc>
        <w:tc>
          <w:tcPr>
            <w:tcW w:w="2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4" w:right="1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56" w:type="dxa"/>
            <w:vMerge/>
            <w:tcBorders>
              <w:left w:val="single" w:sz="4" w:space="0" w:color="000000"/>
              <w:bottom w:val="nil" w:sz="6" w:space="0" w:color="auto"/>
              <w:right w:val="single" w:sz="4" w:space="0" w:color="000000"/>
            </w:tcBorders>
            <w:shd w:val="clear" w:color="auto" w:fill="D2D2D2"/>
          </w:tcPr>
          <w:p>
            <w:pPr/>
          </w:p>
        </w:tc>
        <w:tc>
          <w:tcPr>
            <w:tcW w:w="230"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8"/>
              <w:ind w:left="434" w:right="7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8"/>
              <w:ind w:left="477" w:right="26"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4" w:hRule="exact"/>
        </w:trPr>
        <w:tc>
          <w:tcPr>
            <w:tcW w:w="567" w:type="dxa"/>
            <w:vMerge w:val="restart"/>
            <w:tcBorders>
              <w:top w:val="nil" w:sz="6" w:space="0" w:color="auto"/>
              <w:left w:val="single" w:sz="4" w:space="0" w:color="000000"/>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3" w:right="12"/>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3" w:right="1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0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 w:type="dxa"/>
            <w:vMerge/>
            <w:tcBorders>
              <w:left w:val="single" w:sz="4" w:space="0" w:color="000000"/>
              <w:right w:val="single" w:sz="4" w:space="0" w:color="000000"/>
            </w:tcBorders>
            <w:shd w:val="clear" w:color="auto" w:fill="D2D2D2"/>
          </w:tcPr>
          <w:p>
            <w:pPr/>
          </w:p>
        </w:tc>
        <w:tc>
          <w:tcPr>
            <w:tcW w:w="230" w:type="dxa"/>
            <w:vMerge/>
            <w:tcBorders>
              <w:left w:val="single" w:sz="4" w:space="0" w:color="000000"/>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0" w:type="dxa"/>
            <w:vMerge/>
            <w:tcBorders>
              <w:left w:val="single" w:sz="4" w:space="0" w:color="000000"/>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57"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r>
      <w:tr>
        <w:trPr>
          <w:trHeight w:val="169" w:hRule="exact"/>
        </w:trPr>
        <w:tc>
          <w:tcPr>
            <w:tcW w:w="567"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228" w:type="dxa"/>
            <w:vMerge/>
            <w:tcBorders>
              <w:left w:val="single" w:sz="4" w:space="0" w:color="000000"/>
              <w:right w:val="single" w:sz="4" w:space="0" w:color="000000"/>
            </w:tcBorders>
            <w:shd w:val="clear" w:color="auto" w:fill="D2D2D2"/>
          </w:tcPr>
          <w:p>
            <w:pPr/>
          </w:p>
        </w:tc>
        <w:tc>
          <w:tcPr>
            <w:tcW w:w="228" w:type="dxa"/>
            <w:vMerge/>
            <w:tcBorders>
              <w:left w:val="single" w:sz="4" w:space="0" w:color="000000"/>
              <w:right w:val="single" w:sz="4" w:space="0" w:color="000000"/>
            </w:tcBorders>
            <w:shd w:val="clear" w:color="auto" w:fill="D2D2D2"/>
          </w:tcPr>
          <w:p>
            <w:pPr/>
          </w:p>
        </w:tc>
        <w:tc>
          <w:tcPr>
            <w:tcW w:w="2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 w:right="12"/>
              <w:jc w:val="left"/>
              <w:rPr>
                <w:rFonts w:ascii="宋体" w:hAnsi="宋体" w:cs="宋体" w:eastAsia="宋体" w:hint="default"/>
                <w:sz w:val="18"/>
                <w:szCs w:val="18"/>
              </w:rPr>
            </w:pPr>
            <w:r>
              <w:rPr>
                <w:rFonts w:ascii="宋体" w:hAnsi="宋体" w:cs="宋体" w:eastAsia="宋体" w:hint="default"/>
                <w:sz w:val="18"/>
                <w:szCs w:val="18"/>
              </w:rPr>
              <w:t>其 他</w:t>
            </w:r>
          </w:p>
        </w:tc>
        <w:tc>
          <w:tcPr>
            <w:tcW w:w="1145" w:type="dxa"/>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228" w:type="dxa"/>
            <w:vMerge/>
            <w:tcBorders>
              <w:left w:val="single" w:sz="4" w:space="0" w:color="000000"/>
              <w:right w:val="single" w:sz="4" w:space="0" w:color="000000"/>
            </w:tcBorders>
            <w:shd w:val="clear" w:color="auto" w:fill="D2D2D2"/>
          </w:tcPr>
          <w:p>
            <w:pPr/>
          </w:p>
        </w:tc>
        <w:tc>
          <w:tcPr>
            <w:tcW w:w="230" w:type="dxa"/>
            <w:vMerge/>
            <w:tcBorders>
              <w:left w:val="single" w:sz="4" w:space="0" w:color="000000"/>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230"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r>
      <w:tr>
        <w:trPr>
          <w:trHeight w:val="496" w:hRule="exact"/>
        </w:trPr>
        <w:tc>
          <w:tcPr>
            <w:tcW w:w="567" w:type="dxa"/>
            <w:vMerge/>
            <w:tcBorders>
              <w:left w:val="single" w:sz="4" w:space="0" w:color="000000"/>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
        </w:tc>
        <w:tc>
          <w:tcPr>
            <w:tcW w:w="228" w:type="dxa"/>
            <w:vMerge/>
            <w:tcBorders>
              <w:left w:val="single" w:sz="4" w:space="0" w:color="000000"/>
              <w:right w:val="single" w:sz="4" w:space="0" w:color="000000"/>
            </w:tcBorders>
            <w:shd w:val="clear" w:color="auto" w:fill="D2D2D2"/>
          </w:tcPr>
          <w:p>
            <w:pPr/>
          </w:p>
        </w:tc>
        <w:tc>
          <w:tcPr>
            <w:tcW w:w="228" w:type="dxa"/>
            <w:vMerge/>
            <w:tcBorders>
              <w:left w:val="single" w:sz="4" w:space="0" w:color="000000"/>
              <w:right w:val="single" w:sz="4" w:space="0" w:color="000000"/>
            </w:tcBorders>
            <w:shd w:val="clear" w:color="auto" w:fill="D2D2D2"/>
          </w:tcPr>
          <w:p>
            <w:pPr/>
          </w:p>
        </w:tc>
        <w:tc>
          <w:tcPr>
            <w:tcW w:w="230"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
        </w:tc>
        <w:tc>
          <w:tcPr>
            <w:tcW w:w="228" w:type="dxa"/>
            <w:vMerge/>
            <w:tcBorders>
              <w:left w:val="single" w:sz="4" w:space="0" w:color="000000"/>
              <w:right w:val="single" w:sz="4" w:space="0" w:color="000000"/>
            </w:tcBorders>
            <w:shd w:val="clear" w:color="auto" w:fill="D2D2D2"/>
          </w:tcPr>
          <w:p>
            <w:pPr/>
          </w:p>
        </w:tc>
        <w:tc>
          <w:tcPr>
            <w:tcW w:w="230" w:type="dxa"/>
            <w:vMerge/>
            <w:tcBorders>
              <w:left w:val="single" w:sz="4" w:space="0" w:color="000000"/>
              <w:bottom w:val="nil" w:sz="6" w:space="0" w:color="auto"/>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
        </w:tc>
        <w:tc>
          <w:tcPr>
            <w:tcW w:w="230" w:type="dxa"/>
            <w:vMerge/>
            <w:tcBorders>
              <w:left w:val="single" w:sz="4" w:space="0" w:color="000000"/>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r>
      <w:tr>
        <w:trPr>
          <w:trHeight w:val="294" w:hRule="exact"/>
        </w:trPr>
        <w:tc>
          <w:tcPr>
            <w:tcW w:w="567" w:type="dxa"/>
            <w:vMerge/>
            <w:tcBorders>
              <w:left w:val="single" w:sz="4" w:space="0" w:color="000000"/>
              <w:bottom w:val="single" w:sz="4" w:space="0" w:color="000000"/>
              <w:right w:val="single" w:sz="4" w:space="0" w:color="000000"/>
            </w:tcBorders>
            <w:shd w:val="clear" w:color="auto" w:fill="D2D2D2"/>
          </w:tcPr>
          <w:p>
            <w:pPr/>
          </w:p>
        </w:tc>
        <w:tc>
          <w:tcPr>
            <w:tcW w:w="1142" w:type="dxa"/>
            <w:vMerge/>
            <w:tcBorders>
              <w:left w:val="single" w:sz="4" w:space="0" w:color="000000"/>
              <w:bottom w:val="single" w:sz="4" w:space="0" w:color="000000"/>
              <w:right w:val="single" w:sz="4" w:space="0" w:color="000000"/>
            </w:tcBorders>
            <w:shd w:val="clear" w:color="auto" w:fill="D2D2D2"/>
          </w:tcPr>
          <w:p>
            <w:pPr/>
          </w:p>
        </w:tc>
        <w:tc>
          <w:tcPr>
            <w:tcW w:w="228" w:type="dxa"/>
            <w:vMerge/>
            <w:tcBorders>
              <w:left w:val="single" w:sz="4" w:space="0" w:color="000000"/>
              <w:bottom w:val="single" w:sz="4" w:space="0" w:color="000000"/>
              <w:right w:val="single" w:sz="4" w:space="0" w:color="000000"/>
            </w:tcBorders>
            <w:shd w:val="clear" w:color="auto" w:fill="D2D2D2"/>
          </w:tcPr>
          <w:p>
            <w:pPr/>
          </w:p>
        </w:tc>
        <w:tc>
          <w:tcPr>
            <w:tcW w:w="228" w:type="dxa"/>
            <w:vMerge/>
            <w:tcBorders>
              <w:left w:val="single" w:sz="4" w:space="0" w:color="000000"/>
              <w:bottom w:val="single" w:sz="4" w:space="0" w:color="000000"/>
              <w:right w:val="single" w:sz="4" w:space="0" w:color="000000"/>
            </w:tcBorders>
            <w:shd w:val="clear" w:color="auto" w:fill="D2D2D2"/>
          </w:tcPr>
          <w:p>
            <w:pPr/>
          </w:p>
        </w:tc>
        <w:tc>
          <w:tcPr>
            <w:tcW w:w="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228" w:type="dxa"/>
            <w:vMerge/>
            <w:tcBorders>
              <w:left w:val="single" w:sz="4" w:space="0" w:color="000000"/>
              <w:bottom w:val="single" w:sz="4" w:space="0" w:color="000000"/>
              <w:right w:val="single" w:sz="4" w:space="0" w:color="000000"/>
            </w:tcBorders>
            <w:shd w:val="clear" w:color="auto" w:fill="D2D2D2"/>
          </w:tcPr>
          <w:p>
            <w:pPr/>
          </w:p>
        </w:tc>
        <w:tc>
          <w:tcPr>
            <w:tcW w:w="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230" w:type="dxa"/>
            <w:vMerge/>
            <w:tcBorders>
              <w:left w:val="single" w:sz="4" w:space="0" w:color="000000"/>
              <w:bottom w:val="single" w:sz="4" w:space="0" w:color="000000"/>
              <w:right w:val="single" w:sz="4" w:space="0" w:color="000000"/>
            </w:tcBorders>
            <w:shd w:val="clear" w:color="auto" w:fill="D2D2D2"/>
          </w:tcPr>
          <w:p>
            <w:pPr/>
          </w:p>
        </w:tc>
        <w:tc>
          <w:tcPr>
            <w:tcW w:w="1142"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2"/>
              <w:jc w:val="left"/>
              <w:rPr>
                <w:rFonts w:ascii="宋体" w:hAnsi="宋体" w:cs="宋体" w:eastAsia="宋体" w:hint="default"/>
                <w:sz w:val="18"/>
                <w:szCs w:val="18"/>
              </w:rPr>
            </w:pPr>
            <w:r>
              <w:rPr>
                <w:rFonts w:ascii="宋体" w:hAnsi="宋体" w:cs="宋体" w:eastAsia="宋体" w:hint="default"/>
                <w:spacing w:val="-7"/>
                <w:sz w:val="18"/>
                <w:szCs w:val="18"/>
              </w:rPr>
              <w:t>一、上</w:t>
            </w:r>
            <w:r>
              <w:rPr>
                <w:rFonts w:ascii="宋体" w:hAnsi="宋体" w:cs="宋体" w:eastAsia="宋体" w:hint="default"/>
                <w:sz w:val="18"/>
                <w:szCs w:val="18"/>
              </w:rPr>
              <w:t> 年期 末余 额</w:t>
            </w:r>
          </w:p>
        </w:tc>
        <w:tc>
          <w:tcPr>
            <w:tcW w:w="11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91,191,500.00</w:t>
            </w:r>
          </w:p>
        </w:tc>
        <w:tc>
          <w:tcPr>
            <w:tcW w:w="228" w:type="dxa"/>
            <w:tcBorders>
              <w:top w:val="single" w:sz="48" w:space="0" w:color="D2D2D2"/>
              <w:left w:val="single" w:sz="4" w:space="0" w:color="000000"/>
              <w:bottom w:val="single" w:sz="4" w:space="0" w:color="000000"/>
              <w:right w:val="single" w:sz="4" w:space="0" w:color="000000"/>
            </w:tcBorders>
          </w:tcPr>
          <w:p>
            <w:pPr/>
          </w:p>
        </w:tc>
        <w:tc>
          <w:tcPr>
            <w:tcW w:w="228" w:type="dxa"/>
            <w:tcBorders>
              <w:top w:val="single" w:sz="48" w:space="0" w:color="D2D2D2"/>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224,707,239.0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24,256,535.0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39,991,615.3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263,511,881.1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-11,802.92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595,133,897.5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649"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计政</w:t>
            </w:r>
            <w:r>
              <w:rPr>
                <w:rFonts w:ascii="宋体" w:hAnsi="宋体" w:cs="宋体" w:eastAsia="宋体" w:hint="default"/>
                <w:sz w:val="18"/>
                <w:szCs w:val="18"/>
              </w:rPr>
              <w:t> 策变 更</w:t>
            </w:r>
          </w:p>
        </w:tc>
        <w:tc>
          <w:tcPr>
            <w:tcW w:w="1142"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 w:right="0"/>
              <w:jc w:val="center"/>
              <w:rPr>
                <w:rFonts w:ascii="宋体" w:hAnsi="宋体" w:cs="宋体" w:eastAsia="宋体" w:hint="default"/>
                <w:sz w:val="18"/>
                <w:szCs w:val="18"/>
              </w:rPr>
            </w:pPr>
            <w:r>
              <w:rPr>
                <w:rFonts w:ascii="宋体"/>
                <w:spacing w:val="90"/>
                <w:sz w:val="18"/>
              </w:rPr>
              <w:t>  </w:t>
            </w:r>
            <w:r>
              <w:rPr>
                <w:rFonts w:ascii="宋体"/>
                <w:sz w:val="18"/>
              </w:rPr>
              <w:t>  </w:t>
            </w:r>
          </w:p>
        </w:tc>
        <w:tc>
          <w:tcPr>
            <w:tcW w:w="1142"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67"/>
        <w:gridCol w:w="1153"/>
        <w:gridCol w:w="228"/>
        <w:gridCol w:w="228"/>
        <w:gridCol w:w="230"/>
        <w:gridCol w:w="1145"/>
        <w:gridCol w:w="1056"/>
        <w:gridCol w:w="228"/>
        <w:gridCol w:w="230"/>
        <w:gridCol w:w="1056"/>
        <w:gridCol w:w="230"/>
        <w:gridCol w:w="1142"/>
        <w:gridCol w:w="1057"/>
        <w:gridCol w:w="1145"/>
      </w:tblGrid>
      <w:tr>
        <w:trPr>
          <w:trHeight w:val="98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72"/>
              <w:jc w:val="both"/>
              <w:rPr>
                <w:rFonts w:ascii="宋体" w:hAnsi="宋体" w:cs="宋体" w:eastAsia="宋体" w:hint="default"/>
                <w:sz w:val="18"/>
                <w:szCs w:val="18"/>
              </w:rPr>
            </w:pPr>
            <w:r>
              <w:rPr>
                <w:rFonts w:ascii="宋体" w:hAnsi="宋体" w:cs="宋体" w:eastAsia="宋体" w:hint="default"/>
                <w:sz w:val="18"/>
                <w:szCs w:val="18"/>
              </w:rPr>
              <w:t>前期 差错 更正</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 下企 业合</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
              <w:jc w:val="left"/>
              <w:rPr>
                <w:rFonts w:ascii="宋体" w:hAnsi="宋体" w:cs="宋体" w:eastAsia="宋体" w:hint="default"/>
                <w:sz w:val="18"/>
                <w:szCs w:val="18"/>
              </w:rPr>
            </w:pPr>
            <w:r>
              <w:rPr>
                <w:rFonts w:ascii="宋体" w:hAnsi="宋体" w:cs="宋体" w:eastAsia="宋体" w:hint="default"/>
                <w:spacing w:val="-7"/>
                <w:sz w:val="18"/>
                <w:szCs w:val="18"/>
              </w:rPr>
              <w:t>二、本</w:t>
            </w:r>
            <w:r>
              <w:rPr>
                <w:rFonts w:ascii="宋体" w:hAnsi="宋体" w:cs="宋体" w:eastAsia="宋体" w:hint="default"/>
                <w:sz w:val="18"/>
                <w:szCs w:val="18"/>
              </w:rPr>
              <w:t> 年期 初余 额</w:t>
            </w:r>
          </w:p>
        </w:tc>
        <w:tc>
          <w:tcPr>
            <w:tcW w:w="11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91,191,500.00</w:t>
            </w: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224,707,239.0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24,256,535.0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39,991,615.3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263,511,881.1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52" w:right="0"/>
              <w:jc w:val="left"/>
              <w:rPr>
                <w:rFonts w:ascii="Times New Roman" w:hAnsi="Times New Roman" w:cs="Times New Roman" w:eastAsia="Times New Roman" w:hint="default"/>
                <w:sz w:val="18"/>
                <w:szCs w:val="18"/>
              </w:rPr>
            </w:pPr>
            <w:r>
              <w:rPr>
                <w:rFonts w:ascii="Times New Roman"/>
                <w:sz w:val="18"/>
              </w:rPr>
              <w:t>-11,802.92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595,133,897.5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258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6"/>
              <w:jc w:val="left"/>
              <w:rPr>
                <w:rFonts w:ascii="宋体" w:hAnsi="宋体" w:cs="宋体" w:eastAsia="宋体" w:hint="default"/>
                <w:sz w:val="18"/>
                <w:szCs w:val="18"/>
              </w:rPr>
            </w:pPr>
            <w:r>
              <w:rPr>
                <w:rFonts w:ascii="宋体" w:hAnsi="宋体" w:cs="宋体" w:eastAsia="宋体" w:hint="default"/>
                <w:spacing w:val="-7"/>
                <w:sz w:val="18"/>
                <w:szCs w:val="18"/>
              </w:rPr>
              <w:t>三、本</w:t>
            </w:r>
            <w:r>
              <w:rPr>
                <w:rFonts w:ascii="宋体" w:hAnsi="宋体" w:cs="宋体" w:eastAsia="宋体" w:hint="default"/>
                <w:sz w:val="18"/>
                <w:szCs w:val="18"/>
              </w:rPr>
              <w:t> 期增 减变 动金 </w:t>
            </w:r>
            <w:r>
              <w:rPr>
                <w:rFonts w:ascii="宋体" w:hAnsi="宋体" w:cs="宋体" w:eastAsia="宋体" w:hint="default"/>
                <w:spacing w:val="-7"/>
                <w:sz w:val="18"/>
                <w:szCs w:val="18"/>
              </w:rPr>
              <w:t>额（减</w:t>
            </w:r>
            <w:r>
              <w:rPr>
                <w:rFonts w:ascii="宋体" w:hAnsi="宋体" w:cs="宋体" w:eastAsia="宋体" w:hint="default"/>
                <w:sz w:val="18"/>
                <w:szCs w:val="18"/>
              </w:rPr>
              <w:t> 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1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-62,286,264.8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-9,702,614.0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9" w:right="0"/>
              <w:jc w:val="left"/>
              <w:rPr>
                <w:rFonts w:ascii="Times New Roman" w:hAnsi="Times New Roman" w:cs="Times New Roman" w:eastAsia="Times New Roman" w:hint="default"/>
                <w:sz w:val="18"/>
                <w:szCs w:val="18"/>
              </w:rPr>
            </w:pPr>
            <w:r>
              <w:rPr>
                <w:rFonts w:ascii="Times New Roman"/>
                <w:sz w:val="18"/>
              </w:rPr>
              <w:t>2,007,685.82</w:t>
            </w: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5" w:right="0"/>
              <w:jc w:val="center"/>
              <w:rPr>
                <w:rFonts w:ascii="Times New Roman" w:hAnsi="Times New Roman" w:cs="Times New Roman" w:eastAsia="Times New Roman" w:hint="default"/>
                <w:sz w:val="18"/>
                <w:szCs w:val="18"/>
              </w:rPr>
            </w:pPr>
            <w:r>
              <w:rPr>
                <w:rFonts w:ascii="Times New Roman"/>
                <w:sz w:val="18"/>
              </w:rPr>
              <w:t>29,065,523.49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20,382,857.6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62,706,466.10</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
              <w:jc w:val="left"/>
              <w:rPr>
                <w:rFonts w:ascii="宋体" w:hAnsi="宋体" w:cs="宋体" w:eastAsia="宋体" w:hint="default"/>
                <w:sz w:val="18"/>
                <w:szCs w:val="18"/>
              </w:rPr>
            </w:pPr>
            <w:r>
              <w:rPr>
                <w:rFonts w:ascii="宋体" w:hAnsi="宋体" w:cs="宋体" w:eastAsia="宋体" w:hint="default"/>
                <w:sz w:val="18"/>
                <w:szCs w:val="18"/>
              </w:rPr>
              <w:t>（一） 综合 收益 总额</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5" w:right="0"/>
              <w:jc w:val="center"/>
              <w:rPr>
                <w:rFonts w:ascii="Times New Roman" w:hAnsi="Times New Roman" w:cs="Times New Roman" w:eastAsia="Times New Roman" w:hint="default"/>
                <w:sz w:val="18"/>
                <w:szCs w:val="18"/>
              </w:rPr>
            </w:pPr>
            <w:r>
              <w:rPr>
                <w:rFonts w:ascii="Times New Roman"/>
                <w:sz w:val="18"/>
              </w:rPr>
              <w:t>38,368,529.31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10,320,620.4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48,689,149.78</w:t>
            </w:r>
          </w:p>
        </w:tc>
      </w:tr>
      <w:tr>
        <w:trPr>
          <w:trHeight w:val="196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
              <w:jc w:val="left"/>
              <w:rPr>
                <w:rFonts w:ascii="宋体" w:hAnsi="宋体" w:cs="宋体" w:eastAsia="宋体" w:hint="default"/>
                <w:sz w:val="18"/>
                <w:szCs w:val="18"/>
              </w:rPr>
            </w:pPr>
            <w:r>
              <w:rPr>
                <w:rFonts w:ascii="宋体" w:hAnsi="宋体" w:cs="宋体" w:eastAsia="宋体" w:hint="default"/>
                <w:sz w:val="18"/>
                <w:szCs w:val="18"/>
              </w:rPr>
              <w:t>（二） 所有 者投 入和 减少 资本</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1,547,785.14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-9,702,614.0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11,250,399.14</w:t>
            </w:r>
          </w:p>
        </w:tc>
      </w:tr>
      <w:tr>
        <w:trPr>
          <w:trHeight w:val="1649"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 有者 投入 的普 通股</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 他权 益工 具持</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67"/>
        <w:gridCol w:w="1153"/>
        <w:gridCol w:w="228"/>
        <w:gridCol w:w="228"/>
        <w:gridCol w:w="230"/>
        <w:gridCol w:w="1145"/>
        <w:gridCol w:w="1056"/>
        <w:gridCol w:w="228"/>
        <w:gridCol w:w="230"/>
        <w:gridCol w:w="1056"/>
        <w:gridCol w:w="230"/>
        <w:gridCol w:w="1142"/>
        <w:gridCol w:w="1057"/>
        <w:gridCol w:w="1145"/>
      </w:tblGrid>
      <w:tr>
        <w:trPr>
          <w:trHeight w:val="98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72"/>
              <w:jc w:val="both"/>
              <w:rPr>
                <w:rFonts w:ascii="宋体" w:hAnsi="宋体" w:cs="宋体" w:eastAsia="宋体" w:hint="default"/>
                <w:sz w:val="18"/>
                <w:szCs w:val="18"/>
              </w:rPr>
            </w:pPr>
            <w:r>
              <w:rPr>
                <w:rFonts w:ascii="宋体" w:hAnsi="宋体" w:cs="宋体" w:eastAsia="宋体" w:hint="default"/>
                <w:sz w:val="18"/>
                <w:szCs w:val="18"/>
              </w:rPr>
              <w:t>有者 投入 资本</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 份支 付计 入所 有者 权益 的金 额</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65" w:right="0"/>
              <w:jc w:val="left"/>
              <w:rPr>
                <w:rFonts w:ascii="Times New Roman" w:hAnsi="Times New Roman" w:cs="Times New Roman" w:eastAsia="Times New Roman" w:hint="default"/>
                <w:sz w:val="18"/>
                <w:szCs w:val="18"/>
              </w:rPr>
            </w:pPr>
            <w:r>
              <w:rPr>
                <w:rFonts w:ascii="Times New Roman"/>
                <w:sz w:val="18"/>
              </w:rPr>
              <w:t>1,547,785.14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-9,702,614.0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11,250,399.14</w:t>
            </w:r>
          </w:p>
        </w:tc>
      </w:tr>
      <w:tr>
        <w:trPr>
          <w:trHeight w:val="716"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 他</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
              <w:jc w:val="left"/>
              <w:rPr>
                <w:rFonts w:ascii="宋体" w:hAnsi="宋体" w:cs="宋体" w:eastAsia="宋体" w:hint="default"/>
                <w:sz w:val="18"/>
                <w:szCs w:val="18"/>
              </w:rPr>
            </w:pPr>
            <w:r>
              <w:rPr>
                <w:rFonts w:ascii="宋体" w:hAnsi="宋体" w:cs="宋体" w:eastAsia="宋体" w:hint="default"/>
                <w:sz w:val="18"/>
                <w:szCs w:val="18"/>
              </w:rPr>
              <w:t>（三） 利润 分配</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2,007,685.82</w:t>
            </w: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-9,303,005.82</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-7,295,320.00</w:t>
            </w:r>
          </w:p>
        </w:tc>
      </w:tr>
      <w:tr>
        <w:trPr>
          <w:trHeight w:val="1339"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 取盈 余公 积</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2,007,685.82</w:t>
            </w: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-2,007,685.82</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 取一 般风 险准 备</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 所有 </w:t>
            </w:r>
            <w:r>
              <w:rPr>
                <w:rFonts w:ascii="宋体" w:hAnsi="宋体" w:cs="宋体" w:eastAsia="宋体" w:hint="default"/>
                <w:spacing w:val="-7"/>
                <w:sz w:val="18"/>
                <w:szCs w:val="18"/>
              </w:rPr>
              <w:t>者（或</w:t>
            </w:r>
            <w:r>
              <w:rPr>
                <w:rFonts w:ascii="宋体" w:hAnsi="宋体" w:cs="宋体" w:eastAsia="宋体" w:hint="default"/>
                <w:sz w:val="18"/>
                <w:szCs w:val="18"/>
              </w:rPr>
              <w:t> 股东） 的分</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-7,295,320.00</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-7,295,320.00</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 他</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
              <w:jc w:val="left"/>
              <w:rPr>
                <w:rFonts w:ascii="宋体" w:hAnsi="宋体" w:cs="宋体" w:eastAsia="宋体" w:hint="default"/>
                <w:sz w:val="18"/>
                <w:szCs w:val="18"/>
              </w:rPr>
            </w:pPr>
            <w:r>
              <w:rPr>
                <w:rFonts w:ascii="宋体" w:hAnsi="宋体" w:cs="宋体" w:eastAsia="宋体" w:hint="default"/>
                <w:sz w:val="18"/>
                <w:szCs w:val="18"/>
              </w:rPr>
              <w:t>（四） 所有 者权 益内 部结</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1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-63,834,050.0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 本公 积转</w:t>
            </w:r>
          </w:p>
        </w:tc>
        <w:tc>
          <w:tcPr>
            <w:tcW w:w="11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-63,834,050.0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67"/>
        <w:gridCol w:w="1153"/>
        <w:gridCol w:w="228"/>
        <w:gridCol w:w="228"/>
        <w:gridCol w:w="230"/>
        <w:gridCol w:w="1145"/>
        <w:gridCol w:w="1056"/>
        <w:gridCol w:w="228"/>
        <w:gridCol w:w="230"/>
        <w:gridCol w:w="1056"/>
        <w:gridCol w:w="230"/>
        <w:gridCol w:w="1142"/>
        <w:gridCol w:w="1057"/>
        <w:gridCol w:w="1145"/>
      </w:tblGrid>
      <w:tr>
        <w:trPr>
          <w:trHeight w:val="98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6"/>
              <w:jc w:val="left"/>
              <w:rPr>
                <w:rFonts w:ascii="宋体" w:hAnsi="宋体" w:cs="宋体" w:eastAsia="宋体" w:hint="default"/>
                <w:sz w:val="18"/>
                <w:szCs w:val="18"/>
              </w:rPr>
            </w:pPr>
            <w:r>
              <w:rPr>
                <w:rFonts w:ascii="宋体" w:hAnsi="宋体" w:cs="宋体" w:eastAsia="宋体" w:hint="default"/>
                <w:sz w:val="18"/>
                <w:szCs w:val="18"/>
              </w:rPr>
              <w:t>增资 </w:t>
            </w:r>
            <w:r>
              <w:rPr>
                <w:rFonts w:ascii="宋体" w:hAnsi="宋体" w:cs="宋体" w:eastAsia="宋体" w:hint="default"/>
                <w:spacing w:val="-7"/>
                <w:sz w:val="18"/>
                <w:szCs w:val="18"/>
              </w:rPr>
              <w:t>本（或</w:t>
            </w:r>
            <w:r>
              <w:rPr>
                <w:rFonts w:ascii="宋体" w:hAnsi="宋体" w:cs="宋体" w:eastAsia="宋体" w:hint="default"/>
                <w:sz w:val="18"/>
                <w:szCs w:val="18"/>
              </w:rPr>
              <w:t> 股本）</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 余公 积转 增资 </w:t>
            </w:r>
            <w:r>
              <w:rPr>
                <w:rFonts w:ascii="宋体" w:hAnsi="宋体" w:cs="宋体" w:eastAsia="宋体" w:hint="default"/>
                <w:spacing w:val="-7"/>
                <w:sz w:val="18"/>
                <w:szCs w:val="18"/>
              </w:rPr>
              <w:t>本（或</w:t>
            </w:r>
            <w:r>
              <w:rPr>
                <w:rFonts w:ascii="宋体" w:hAnsi="宋体" w:cs="宋体" w:eastAsia="宋体" w:hint="default"/>
                <w:sz w:val="18"/>
                <w:szCs w:val="18"/>
              </w:rPr>
              <w:t> 股本）</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 余公 积弥 补亏 损</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 定受 益计 划变 动额 结转 留存 收益</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 他</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
              <w:jc w:val="left"/>
              <w:rPr>
                <w:rFonts w:ascii="宋体" w:hAnsi="宋体" w:cs="宋体" w:eastAsia="宋体" w:hint="default"/>
                <w:sz w:val="18"/>
                <w:szCs w:val="18"/>
              </w:rPr>
            </w:pPr>
            <w:r>
              <w:rPr>
                <w:rFonts w:ascii="宋体" w:hAnsi="宋体" w:cs="宋体" w:eastAsia="宋体" w:hint="default"/>
                <w:sz w:val="18"/>
                <w:szCs w:val="18"/>
              </w:rPr>
              <w:t>（五） 专项 储备</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 期提 取</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期使 用</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
              <w:jc w:val="left"/>
              <w:rPr>
                <w:rFonts w:ascii="宋体" w:hAnsi="宋体" w:cs="宋体" w:eastAsia="宋体" w:hint="default"/>
                <w:sz w:val="18"/>
                <w:szCs w:val="18"/>
              </w:rPr>
            </w:pPr>
            <w:r>
              <w:rPr>
                <w:rFonts w:ascii="宋体" w:hAnsi="宋体" w:cs="宋体" w:eastAsia="宋体" w:hint="default"/>
                <w:sz w:val="18"/>
                <w:szCs w:val="18"/>
              </w:rPr>
              <w:t>（六） 其他</w:t>
            </w:r>
          </w:p>
        </w:tc>
        <w:tc>
          <w:tcPr>
            <w:tcW w:w="1153" w:type="dxa"/>
            <w:tcBorders>
              <w:top w:val="single" w:sz="4" w:space="0" w:color="000000"/>
              <w:left w:val="single" w:sz="12" w:space="0" w:color="D2D2D2"/>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10,062,237.1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10,062,237.18</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
              <w:jc w:val="left"/>
              <w:rPr>
                <w:rFonts w:ascii="宋体" w:hAnsi="宋体" w:cs="宋体" w:eastAsia="宋体" w:hint="default"/>
                <w:sz w:val="18"/>
                <w:szCs w:val="18"/>
              </w:rPr>
            </w:pPr>
            <w:r>
              <w:rPr>
                <w:rFonts w:ascii="宋体" w:hAnsi="宋体" w:cs="宋体" w:eastAsia="宋体" w:hint="default"/>
                <w:spacing w:val="-7"/>
                <w:sz w:val="18"/>
                <w:szCs w:val="18"/>
              </w:rPr>
              <w:t>四、本</w:t>
            </w:r>
            <w:r>
              <w:rPr>
                <w:rFonts w:ascii="宋体" w:hAnsi="宋体" w:cs="宋体" w:eastAsia="宋体" w:hint="default"/>
                <w:sz w:val="18"/>
                <w:szCs w:val="18"/>
              </w:rPr>
              <w:t> 期期 末余 额</w:t>
            </w:r>
          </w:p>
        </w:tc>
        <w:tc>
          <w:tcPr>
            <w:tcW w:w="11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155,025,550.0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228" w:type="dxa"/>
            <w:tcBorders>
              <w:top w:val="single" w:sz="4" w:space="0" w:color="000000"/>
              <w:left w:val="single" w:sz="4" w:space="0" w:color="000000"/>
              <w:bottom w:val="single" w:sz="4" w:space="0" w:color="000000"/>
              <w:right w:val="single" w:sz="4" w:space="0" w:color="000000"/>
            </w:tcBorders>
          </w:tcPr>
          <w:p>
            <w:pP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162,420,974.1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14,553,921.0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228" w:type="dxa"/>
            <w:tcBorders>
              <w:top w:val="single" w:sz="4" w:space="0" w:color="000000"/>
              <w:left w:val="single" w:sz="4" w:space="0" w:color="000000"/>
              <w:bottom w:val="single" w:sz="4" w:space="0" w:color="000000"/>
              <w:right w:val="single" w:sz="4" w:space="0" w:color="000000"/>
            </w:tcBorders>
          </w:tcPr>
          <w:p>
            <w:pPr/>
          </w:p>
        </w:tc>
        <w:tc>
          <w:tcPr>
            <w:tcW w:w="2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41,999,301.1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23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292,577,404.6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20,371,054.7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657,840,363.6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1133"/>
        <w:jc w:val="left"/>
      </w:pPr>
      <w:r>
        <w:rPr/>
        <w:t>上期金额</w:t>
      </w:r>
    </w:p>
    <w:p>
      <w:pPr>
        <w:pStyle w:val="BodyText"/>
        <w:spacing w:line="240" w:lineRule="auto" w:before="117"/>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86.903999pt;margin-top:447.289978pt;width:54pt;height:7.8pt;mso-position-horizontal-relative:page;mso-position-vertical-relative:page;z-index:-888568" coordorigin="1738,8946" coordsize="1080,156">
            <v:shape style="position:absolute;left:1738;top:8946;width:1080;height:156" coordorigin="1738,8946" coordsize="1080,156" path="m1738,9102l2818,9102,2818,8946,1738,8946,1738,910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604"/>
        <w:gridCol w:w="1103"/>
        <w:gridCol w:w="235"/>
        <w:gridCol w:w="235"/>
        <w:gridCol w:w="238"/>
        <w:gridCol w:w="1181"/>
        <w:gridCol w:w="1090"/>
        <w:gridCol w:w="238"/>
        <w:gridCol w:w="236"/>
        <w:gridCol w:w="1092"/>
        <w:gridCol w:w="235"/>
        <w:gridCol w:w="1181"/>
        <w:gridCol w:w="835"/>
        <w:gridCol w:w="1183"/>
      </w:tblGrid>
      <w:tr>
        <w:trPr>
          <w:trHeight w:val="402" w:hRule="exact"/>
        </w:trPr>
        <w:tc>
          <w:tcPr>
            <w:tcW w:w="604" w:type="dxa"/>
            <w:vMerge w:val="restart"/>
            <w:tcBorders>
              <w:top w:val="single" w:sz="4" w:space="0" w:color="000000"/>
              <w:left w:val="single" w:sz="4" w:space="0" w:color="000000"/>
              <w:right w:val="single" w:sz="4" w:space="0" w:color="000000"/>
            </w:tcBorders>
            <w:shd w:val="clear" w:color="auto" w:fill="D2D2D2"/>
          </w:tcPr>
          <w:p>
            <w:pPr/>
          </w:p>
        </w:tc>
        <w:tc>
          <w:tcPr>
            <w:tcW w:w="908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604" w:type="dxa"/>
            <w:vMerge/>
            <w:tcBorders>
              <w:left w:val="single" w:sz="4" w:space="0" w:color="000000"/>
              <w:right w:val="single" w:sz="4" w:space="0" w:color="000000"/>
            </w:tcBorders>
            <w:shd w:val="clear" w:color="auto" w:fill="D2D2D2"/>
          </w:tcPr>
          <w:p>
            <w:pPr/>
          </w:p>
        </w:tc>
        <w:tc>
          <w:tcPr>
            <w:tcW w:w="70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35"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
        </w:tc>
      </w:tr>
      <w:tr>
        <w:trPr>
          <w:trHeight w:val="355" w:hRule="exact"/>
        </w:trPr>
        <w:tc>
          <w:tcPr>
            <w:tcW w:w="604" w:type="dxa"/>
            <w:vMerge/>
            <w:tcBorders>
              <w:left w:val="single" w:sz="4" w:space="0" w:color="000000"/>
              <w:bottom w:val="nil" w:sz="6" w:space="0" w:color="auto"/>
              <w:right w:val="single" w:sz="4" w:space="0" w:color="000000"/>
            </w:tcBorders>
            <w:shd w:val="clear" w:color="auto" w:fill="D2D2D2"/>
          </w:tcPr>
          <w:p>
            <w:pPr/>
          </w:p>
        </w:tc>
        <w:tc>
          <w:tcPr>
            <w:tcW w:w="1103" w:type="dxa"/>
            <w:vMerge w:val="restart"/>
            <w:tcBorders>
              <w:top w:val="single" w:sz="4" w:space="0" w:color="000000"/>
              <w:left w:val="single" w:sz="4" w:space="0" w:color="000000"/>
              <w:right w:val="single" w:sz="4" w:space="0" w:color="000000"/>
            </w:tcBorders>
            <w:shd w:val="clear" w:color="auto" w:fill="D2D2D2"/>
          </w:tcPr>
          <w:p>
            <w:pPr/>
          </w:p>
        </w:tc>
        <w:tc>
          <w:tcPr>
            <w:tcW w:w="7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77"/>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6" w:right="19"/>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 w:right="19"/>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835"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383" w:hRule="exact"/>
        </w:trPr>
        <w:tc>
          <w:tcPr>
            <w:tcW w:w="6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4"/>
              <w:ind w:left="11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03" w:type="dxa"/>
            <w:vMerge/>
            <w:tcBorders>
              <w:left w:val="single" w:sz="4" w:space="0" w:color="000000"/>
              <w:bottom w:val="nil" w:sz="6" w:space="0" w:color="auto"/>
              <w:right w:val="single" w:sz="4" w:space="0" w:color="000000"/>
            </w:tcBorders>
            <w:shd w:val="clear" w:color="auto" w:fill="D2D2D2"/>
          </w:tcPr>
          <w:p>
            <w:pPr/>
          </w:p>
        </w:tc>
        <w:tc>
          <w:tcPr>
            <w:tcW w:w="708"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5"/>
              <w:ind w:left="23" w:right="2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7"/>
              <w:ind w:left="232" w:right="5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7"/>
              <w:ind w:left="499" w:right="43"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6" w:hRule="exact"/>
        </w:trPr>
        <w:tc>
          <w:tcPr>
            <w:tcW w:w="604" w:type="dxa"/>
            <w:vMerge w:val="restart"/>
            <w:tcBorders>
              <w:top w:val="nil" w:sz="6" w:space="0" w:color="auto"/>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3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3"/>
              <w:ind w:left="24" w:right="1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3"/>
              <w:ind w:left="24" w:right="1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8" w:type="dxa"/>
            <w:vMerge/>
            <w:tcBorders>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35"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68" w:hRule="exact"/>
        </w:trPr>
        <w:tc>
          <w:tcPr>
            <w:tcW w:w="604"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835"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496" w:hRule="exact"/>
        </w:trPr>
        <w:tc>
          <w:tcPr>
            <w:tcW w:w="604" w:type="dxa"/>
            <w:vMerge/>
            <w:tcBorders>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6"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
        </w:tc>
      </w:tr>
      <w:tr>
        <w:trPr>
          <w:trHeight w:val="294" w:hRule="exact"/>
        </w:trPr>
        <w:tc>
          <w:tcPr>
            <w:tcW w:w="604"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23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835"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both"/>
              <w:rPr>
                <w:rFonts w:ascii="宋体" w:hAnsi="宋体" w:cs="宋体" w:eastAsia="宋体" w:hint="default"/>
                <w:sz w:val="18"/>
                <w:szCs w:val="18"/>
              </w:rPr>
            </w:pPr>
            <w:r>
              <w:rPr>
                <w:rFonts w:ascii="宋体" w:hAnsi="宋体" w:cs="宋体" w:eastAsia="宋体" w:hint="default"/>
                <w:sz w:val="18"/>
                <w:szCs w:val="18"/>
              </w:rPr>
              <w:t>一、上 年期末 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90,150,000.00</w:t>
            </w:r>
          </w:p>
        </w:tc>
        <w:tc>
          <w:tcPr>
            <w:tcW w:w="235" w:type="dxa"/>
            <w:tcBorders>
              <w:top w:val="single" w:sz="48" w:space="0" w:color="D2D2D2"/>
              <w:left w:val="single" w:sz="4" w:space="0" w:color="000000"/>
              <w:bottom w:val="single" w:sz="4" w:space="0" w:color="000000"/>
              <w:right w:val="single" w:sz="4" w:space="0" w:color="000000"/>
            </w:tcBorders>
          </w:tcPr>
          <w:p>
            <w:pPr/>
          </w:p>
        </w:tc>
        <w:tc>
          <w:tcPr>
            <w:tcW w:w="235" w:type="dxa"/>
            <w:tcBorders>
              <w:top w:val="single" w:sz="48" w:space="0" w:color="D2D2D2"/>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199,256,514.42</w:t>
            </w: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36,925,460.85</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236,700,724.74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-10,555.09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563,022,144.92</w:t>
            </w:r>
          </w:p>
        </w:tc>
      </w:tr>
      <w:tr>
        <w:trPr>
          <w:trHeight w:val="133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 计政策 变更</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312" w:lineRule="exact"/>
              <w:ind w:left="6"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4pt;height:15.6pt;mso-position-horizontal-relative:char;mso-position-vertical-relative:line" coordorigin="0,0" coordsize="1080,312">
                  <v:group style="position:absolute;left:0;top:0;width:1080;height:312" coordorigin="0,0" coordsize="1080,312">
                    <v:shape style="position:absolute;left:0;top:0;width:1080;height:312" coordorigin="0,0" coordsize="1080,312" path="m0,312l1080,312,108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 业合并</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468" w:lineRule="exact"/>
              <w:ind w:left="6"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4pt;height:23.4pt;mso-position-horizontal-relative:char;mso-position-vertical-relative:line" coordorigin="0,0" coordsize="1080,468">
                  <v:group style="position:absolute;left:0;top:0;width:1080;height:468" coordorigin="0,0" coordsize="1080,468">
                    <v:shape style="position:absolute;left:0;top:0;width:1080;height:468" coordorigin="0,0" coordsize="1080,468" path="m0,468l1080,468,1080,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60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51"/>
              <w:ind w:left="12" w:right="-6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103"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both"/>
              <w:rPr>
                <w:rFonts w:ascii="宋体" w:hAnsi="宋体" w:cs="宋体" w:eastAsia="宋体" w:hint="default"/>
                <w:sz w:val="18"/>
                <w:szCs w:val="18"/>
              </w:rPr>
            </w:pPr>
            <w:r>
              <w:rPr>
                <w:rFonts w:ascii="宋体" w:hAnsi="宋体" w:cs="宋体" w:eastAsia="宋体" w:hint="default"/>
                <w:sz w:val="18"/>
                <w:szCs w:val="18"/>
              </w:rPr>
              <w:t>二、本 年期初 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90,150,000.00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199,256,514.42</w:t>
            </w: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36,925,460.85</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236,700,724.74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-10,555.09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563,022,144.92</w:t>
            </w:r>
          </w:p>
        </w:tc>
      </w:tr>
      <w:tr>
        <w:trPr>
          <w:trHeight w:val="2275"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三、本 期增减 变动金 额（减 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1,041,500.00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25,450,724.61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3,066,154.50</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26,811,156.38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-1,247.83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32,111,752.66</w:t>
            </w:r>
          </w:p>
        </w:tc>
      </w:tr>
      <w:tr>
        <w:trPr>
          <w:trHeight w:val="1025"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both"/>
              <w:rPr>
                <w:rFonts w:ascii="宋体" w:hAnsi="宋体" w:cs="宋体" w:eastAsia="宋体" w:hint="default"/>
                <w:sz w:val="18"/>
                <w:szCs w:val="18"/>
              </w:rPr>
            </w:pPr>
            <w:r>
              <w:rPr>
                <w:rFonts w:ascii="宋体" w:hAnsi="宋体" w:cs="宋体" w:eastAsia="宋体" w:hint="default"/>
                <w:sz w:val="18"/>
                <w:szCs w:val="18"/>
              </w:rPr>
              <w:t>（一） 综合收 益总额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36,187,810.88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-1,247.83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36,186,563.05</w:t>
            </w:r>
          </w:p>
        </w:tc>
      </w:tr>
      <w:tr>
        <w:trPr>
          <w:trHeight w:val="1298"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both"/>
              <w:rPr>
                <w:rFonts w:ascii="宋体" w:hAnsi="宋体" w:cs="宋体" w:eastAsia="宋体" w:hint="default"/>
                <w:sz w:val="18"/>
                <w:szCs w:val="18"/>
              </w:rPr>
            </w:pPr>
            <w:r>
              <w:rPr>
                <w:rFonts w:ascii="宋体" w:hAnsi="宋体" w:cs="宋体" w:eastAsia="宋体" w:hint="default"/>
                <w:sz w:val="18"/>
                <w:szCs w:val="18"/>
              </w:rPr>
              <w:t>（二） 所有者 投入和 减少资</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1,041,500.00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92" w:right="0"/>
              <w:jc w:val="center"/>
              <w:rPr>
                <w:rFonts w:ascii="Times New Roman" w:hAnsi="Times New Roman" w:cs="Times New Roman" w:eastAsia="Times New Roman" w:hint="default"/>
                <w:sz w:val="18"/>
                <w:szCs w:val="18"/>
              </w:rPr>
            </w:pPr>
            <w:r>
              <w:rPr>
                <w:rFonts w:ascii="Times New Roman"/>
                <w:sz w:val="18"/>
              </w:rPr>
              <w:t>25,450,724.61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sz w:val="18"/>
              </w:rPr>
              <w:t>24,256,535.00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2,235,689.61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615"/>
        <w:gridCol w:w="1103"/>
        <w:gridCol w:w="235"/>
        <w:gridCol w:w="235"/>
        <w:gridCol w:w="238"/>
        <w:gridCol w:w="1181"/>
        <w:gridCol w:w="1090"/>
        <w:gridCol w:w="238"/>
        <w:gridCol w:w="236"/>
        <w:gridCol w:w="1092"/>
        <w:gridCol w:w="235"/>
        <w:gridCol w:w="1181"/>
        <w:gridCol w:w="835"/>
        <w:gridCol w:w="1183"/>
      </w:tblGrid>
      <w:tr>
        <w:trPr>
          <w:trHeight w:val="362"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．所有</w:t>
            </w:r>
            <w:r>
              <w:rPr>
                <w:rFonts w:ascii="宋体" w:hAnsi="宋体" w:cs="宋体" w:eastAsia="宋体" w:hint="default"/>
                <w:sz w:val="18"/>
                <w:szCs w:val="18"/>
              </w:rPr>
              <w:t> 者投入 的普通 股</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6" w:right="0"/>
              <w:jc w:val="left"/>
              <w:rPr>
                <w:rFonts w:ascii="Times New Roman" w:hAnsi="Times New Roman" w:cs="Times New Roman" w:eastAsia="Times New Roman" w:hint="default"/>
                <w:sz w:val="18"/>
                <w:szCs w:val="18"/>
              </w:rPr>
            </w:pPr>
            <w:r>
              <w:rPr>
                <w:rFonts w:ascii="Times New Roman"/>
                <w:sz w:val="18"/>
              </w:rPr>
              <w:t>1,041,500.00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23,215,035.00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1651"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．其他</w:t>
            </w:r>
            <w:r>
              <w:rPr>
                <w:rFonts w:ascii="宋体" w:hAnsi="宋体" w:cs="宋体" w:eastAsia="宋体" w:hint="default"/>
                <w:sz w:val="18"/>
                <w:szCs w:val="18"/>
              </w:rPr>
              <w:t> 权益工 具持有 者投入 资本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．股份</w:t>
            </w:r>
            <w:r>
              <w:rPr>
                <w:rFonts w:ascii="宋体" w:hAnsi="宋体" w:cs="宋体" w:eastAsia="宋体" w:hint="default"/>
                <w:sz w:val="18"/>
                <w:szCs w:val="18"/>
              </w:rPr>
              <w:t> 支付计 入所有 者权益 的金额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2,235,689.61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-22,020,845.39</w:t>
            </w:r>
          </w:p>
        </w:tc>
      </w:tr>
      <w:tr>
        <w:trPr>
          <w:trHeight w:val="403"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both"/>
              <w:rPr>
                <w:rFonts w:ascii="宋体" w:hAnsi="宋体" w:cs="宋体" w:eastAsia="宋体" w:hint="default"/>
                <w:sz w:val="18"/>
                <w:szCs w:val="18"/>
              </w:rPr>
            </w:pPr>
            <w:r>
              <w:rPr>
                <w:rFonts w:ascii="宋体" w:hAnsi="宋体" w:cs="宋体" w:eastAsia="宋体" w:hint="default"/>
                <w:sz w:val="18"/>
                <w:szCs w:val="18"/>
              </w:rPr>
              <w:t>（三） 利润分 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3,066,154.50</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-9,376,654.50</w:t>
            </w: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-6,310,500.00</w:t>
            </w:r>
          </w:p>
        </w:tc>
      </w:tr>
      <w:tr>
        <w:trPr>
          <w:trHeight w:val="1027"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．提取</w:t>
            </w:r>
            <w:r>
              <w:rPr>
                <w:rFonts w:ascii="宋体" w:hAnsi="宋体" w:cs="宋体" w:eastAsia="宋体" w:hint="default"/>
                <w:sz w:val="18"/>
                <w:szCs w:val="18"/>
              </w:rPr>
              <w:t> 盈余公 积</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3,066,154.50</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-3,066,154.50</w:t>
            </w: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．提取</w:t>
            </w:r>
            <w:r>
              <w:rPr>
                <w:rFonts w:ascii="宋体" w:hAnsi="宋体" w:cs="宋体" w:eastAsia="宋体" w:hint="default"/>
                <w:sz w:val="18"/>
                <w:szCs w:val="18"/>
              </w:rPr>
              <w:t> 一般风 险准备</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．对所</w:t>
            </w:r>
            <w:r>
              <w:rPr>
                <w:rFonts w:ascii="宋体" w:hAnsi="宋体" w:cs="宋体" w:eastAsia="宋体" w:hint="default"/>
                <w:sz w:val="18"/>
                <w:szCs w:val="18"/>
              </w:rPr>
              <w:t> 有者</w:t>
            </w:r>
          </w:p>
          <w:p>
            <w:pPr>
              <w:pStyle w:val="TableParagraph"/>
              <w:spacing w:line="316" w:lineRule="auto" w:before="31"/>
              <w:ind w:left="22" w:right="40"/>
              <w:jc w:val="both"/>
              <w:rPr>
                <w:rFonts w:ascii="宋体" w:hAnsi="宋体" w:cs="宋体" w:eastAsia="宋体" w:hint="default"/>
                <w:sz w:val="18"/>
                <w:szCs w:val="18"/>
              </w:rPr>
            </w:pPr>
            <w:r>
              <w:rPr>
                <w:rFonts w:ascii="宋体" w:hAnsi="宋体" w:cs="宋体" w:eastAsia="宋体" w:hint="default"/>
                <w:sz w:val="18"/>
                <w:szCs w:val="18"/>
              </w:rPr>
              <w:t>（或股 东）的 分配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-6,310,500.00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-6,310,500.00</w:t>
            </w:r>
          </w:p>
        </w:tc>
      </w:tr>
      <w:tr>
        <w:trPr>
          <w:trHeight w:val="401"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0"/>
              <w:jc w:val="both"/>
              <w:rPr>
                <w:rFonts w:ascii="宋体" w:hAnsi="宋体" w:cs="宋体" w:eastAsia="宋体" w:hint="default"/>
                <w:sz w:val="18"/>
                <w:szCs w:val="18"/>
              </w:rPr>
            </w:pPr>
            <w:r>
              <w:rPr>
                <w:rFonts w:ascii="宋体" w:hAnsi="宋体" w:cs="宋体" w:eastAsia="宋体" w:hint="default"/>
                <w:sz w:val="18"/>
                <w:szCs w:val="18"/>
              </w:rPr>
              <w:t>（四） 所有者 权益内 部结转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．资本</w:t>
            </w:r>
            <w:r>
              <w:rPr>
                <w:rFonts w:ascii="宋体" w:hAnsi="宋体" w:cs="宋体" w:eastAsia="宋体" w:hint="default"/>
                <w:sz w:val="18"/>
                <w:szCs w:val="18"/>
              </w:rPr>
              <w:t> 公积转 增资本</w:t>
            </w:r>
          </w:p>
          <w:p>
            <w:pPr>
              <w:pStyle w:val="TableParagraph"/>
              <w:spacing w:line="316" w:lineRule="auto" w:before="24"/>
              <w:ind w:left="22" w:right="40"/>
              <w:jc w:val="both"/>
              <w:rPr>
                <w:rFonts w:ascii="宋体" w:hAnsi="宋体" w:cs="宋体" w:eastAsia="宋体" w:hint="default"/>
                <w:sz w:val="18"/>
                <w:szCs w:val="18"/>
              </w:rPr>
            </w:pPr>
            <w:r>
              <w:rPr>
                <w:rFonts w:ascii="宋体" w:hAnsi="宋体" w:cs="宋体" w:eastAsia="宋体" w:hint="default"/>
                <w:sz w:val="18"/>
                <w:szCs w:val="18"/>
              </w:rPr>
              <w:t>（或股 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．盈余</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615"/>
        <w:gridCol w:w="1103"/>
        <w:gridCol w:w="235"/>
        <w:gridCol w:w="235"/>
        <w:gridCol w:w="238"/>
        <w:gridCol w:w="1181"/>
        <w:gridCol w:w="1090"/>
        <w:gridCol w:w="238"/>
        <w:gridCol w:w="236"/>
        <w:gridCol w:w="1092"/>
        <w:gridCol w:w="235"/>
        <w:gridCol w:w="1181"/>
        <w:gridCol w:w="835"/>
        <w:gridCol w:w="1183"/>
      </w:tblGrid>
      <w:tr>
        <w:trPr>
          <w:trHeight w:val="1299"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40"/>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316" w:lineRule="auto" w:before="17"/>
              <w:ind w:left="22" w:right="40"/>
              <w:jc w:val="left"/>
              <w:rPr>
                <w:rFonts w:ascii="宋体" w:hAnsi="宋体" w:cs="宋体" w:eastAsia="宋体" w:hint="default"/>
                <w:sz w:val="18"/>
                <w:szCs w:val="18"/>
              </w:rPr>
            </w:pPr>
            <w:r>
              <w:rPr>
                <w:rFonts w:ascii="宋体" w:hAnsi="宋体" w:cs="宋体" w:eastAsia="宋体" w:hint="default"/>
                <w:sz w:val="18"/>
                <w:szCs w:val="18"/>
              </w:rPr>
              <w:t>（或股 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．盈余</w:t>
            </w:r>
            <w:r>
              <w:rPr>
                <w:rFonts w:ascii="宋体" w:hAnsi="宋体" w:cs="宋体" w:eastAsia="宋体" w:hint="default"/>
                <w:sz w:val="18"/>
                <w:szCs w:val="18"/>
              </w:rPr>
              <w:t> 公积弥 补亏损</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．设定</w:t>
            </w:r>
            <w:r>
              <w:rPr>
                <w:rFonts w:ascii="宋体" w:hAnsi="宋体" w:cs="宋体" w:eastAsia="宋体" w:hint="default"/>
                <w:sz w:val="18"/>
                <w:szCs w:val="18"/>
              </w:rPr>
              <w:t> 受益计 划变动 额结转 留存收 益</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both"/>
              <w:rPr>
                <w:rFonts w:ascii="宋体" w:hAnsi="宋体" w:cs="宋体" w:eastAsia="宋体" w:hint="default"/>
                <w:sz w:val="18"/>
                <w:szCs w:val="18"/>
              </w:rPr>
            </w:pPr>
            <w:r>
              <w:rPr>
                <w:rFonts w:ascii="宋体" w:hAnsi="宋体" w:cs="宋体" w:eastAsia="宋体" w:hint="default"/>
                <w:sz w:val="18"/>
                <w:szCs w:val="18"/>
              </w:rPr>
              <w:t>（五） 专项储 备</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．本期</w:t>
            </w:r>
            <w:r>
              <w:rPr>
                <w:rFonts w:ascii="宋体" w:hAnsi="宋体" w:cs="宋体" w:eastAsia="宋体" w:hint="default"/>
                <w:sz w:val="18"/>
                <w:szCs w:val="18"/>
              </w:rPr>
              <w:t> 提取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．本期</w:t>
            </w:r>
            <w:r>
              <w:rPr>
                <w:rFonts w:ascii="宋体" w:hAnsi="宋体" w:cs="宋体" w:eastAsia="宋体" w:hint="default"/>
                <w:sz w:val="18"/>
                <w:szCs w:val="18"/>
              </w:rPr>
              <w:t> 使用</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z w:val="18"/>
                <w:szCs w:val="18"/>
              </w:rPr>
              <w:t>（六） 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both"/>
              <w:rPr>
                <w:rFonts w:ascii="宋体" w:hAnsi="宋体" w:cs="宋体" w:eastAsia="宋体" w:hint="default"/>
                <w:sz w:val="18"/>
                <w:szCs w:val="18"/>
              </w:rPr>
            </w:pPr>
            <w:r>
              <w:rPr>
                <w:rFonts w:ascii="宋体" w:hAnsi="宋体" w:cs="宋体" w:eastAsia="宋体" w:hint="default"/>
                <w:sz w:val="18"/>
                <w:szCs w:val="18"/>
              </w:rPr>
              <w:t>四、本 期期末 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91,191,500.00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224,707,239.03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39,991,615.35</w:t>
            </w: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263,511,881.12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-11,802.92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595,133,897.58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054"/>
        <w:gridCol w:w="1202"/>
        <w:gridCol w:w="276"/>
        <w:gridCol w:w="289"/>
        <w:gridCol w:w="290"/>
        <w:gridCol w:w="1181"/>
        <w:gridCol w:w="1092"/>
        <w:gridCol w:w="422"/>
        <w:gridCol w:w="425"/>
        <w:gridCol w:w="1090"/>
        <w:gridCol w:w="1181"/>
        <w:gridCol w:w="1183"/>
      </w:tblGrid>
      <w:tr>
        <w:trPr>
          <w:trHeight w:val="402" w:hRule="exact"/>
        </w:trPr>
        <w:tc>
          <w:tcPr>
            <w:tcW w:w="1054" w:type="dxa"/>
            <w:vMerge w:val="restart"/>
            <w:tcBorders>
              <w:top w:val="single" w:sz="4" w:space="0" w:color="000000"/>
              <w:left w:val="single" w:sz="4" w:space="0" w:color="000000"/>
              <w:right w:val="single" w:sz="4" w:space="0" w:color="000000"/>
            </w:tcBorders>
            <w:shd w:val="clear" w:color="auto" w:fill="D2D2D2"/>
          </w:tcPr>
          <w:p>
            <w:pPr/>
          </w:p>
        </w:tc>
        <w:tc>
          <w:tcPr>
            <w:tcW w:w="863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61" w:hRule="exact"/>
        </w:trPr>
        <w:tc>
          <w:tcPr>
            <w:tcW w:w="1054" w:type="dxa"/>
            <w:vMerge/>
            <w:tcBorders>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85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37" w:right="65"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42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
        </w:tc>
      </w:tr>
      <w:tr>
        <w:trPr>
          <w:trHeight w:val="134" w:hRule="exact"/>
        </w:trPr>
        <w:tc>
          <w:tcPr>
            <w:tcW w:w="1054"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855" w:type="dxa"/>
            <w:gridSpan w:val="3"/>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42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6"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4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2" w:type="dxa"/>
            <w:vMerge/>
            <w:tcBorders>
              <w:left w:val="single" w:sz="4" w:space="0" w:color="000000"/>
              <w:bottom w:val="single" w:sz="14" w:space="0" w:color="FFFFFF"/>
              <w:right w:val="single" w:sz="4" w:space="0" w:color="000000"/>
            </w:tcBorders>
            <w:shd w:val="clear" w:color="auto" w:fill="D2D2D2"/>
          </w:tcPr>
          <w:p>
            <w:pPr/>
          </w:p>
        </w:tc>
        <w:tc>
          <w:tcPr>
            <w:tcW w:w="855" w:type="dxa"/>
            <w:gridSpan w:val="3"/>
            <w:vMerge/>
            <w:tcBorders>
              <w:left w:val="single" w:sz="4" w:space="0" w:color="000000"/>
              <w:bottom w:val="single" w:sz="14" w:space="0" w:color="FFFFFF"/>
              <w:right w:val="single" w:sz="4" w:space="0" w:color="000000"/>
            </w:tcBorders>
            <w:shd w:val="clear" w:color="auto" w:fill="D2D2D2"/>
          </w:tcPr>
          <w:p>
            <w:pPr/>
          </w:p>
        </w:tc>
        <w:tc>
          <w:tcPr>
            <w:tcW w:w="1181" w:type="dxa"/>
            <w:vMerge/>
            <w:tcBorders>
              <w:left w:val="single" w:sz="4" w:space="0" w:color="000000"/>
              <w:bottom w:val="single" w:sz="14" w:space="0" w:color="FFFFFF"/>
              <w:right w:val="single" w:sz="4" w:space="0" w:color="000000"/>
            </w:tcBorders>
            <w:shd w:val="clear" w:color="auto" w:fill="D2D2D2"/>
          </w:tcPr>
          <w:p>
            <w:pPr/>
          </w:p>
        </w:tc>
        <w:tc>
          <w:tcPr>
            <w:tcW w:w="1092" w:type="dxa"/>
            <w:vMerge/>
            <w:tcBorders>
              <w:left w:val="single" w:sz="4" w:space="0" w:color="000000"/>
              <w:bottom w:val="single" w:sz="14" w:space="0" w:color="FFFFFF"/>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499" w:right="43"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8" w:hRule="exact"/>
        </w:trPr>
        <w:tc>
          <w:tcPr>
            <w:tcW w:w="1054" w:type="dxa"/>
            <w:vMerge/>
            <w:tcBorders>
              <w:left w:val="single" w:sz="4" w:space="0" w:color="000000"/>
              <w:bottom w:val="nil" w:sz="6" w:space="0" w:color="auto"/>
              <w:right w:val="single" w:sz="4" w:space="0" w:color="000000"/>
            </w:tcBorders>
            <w:shd w:val="clear" w:color="auto" w:fill="D2D2D2"/>
          </w:tcPr>
          <w:p>
            <w:pPr/>
          </w:p>
        </w:tc>
        <w:tc>
          <w:tcPr>
            <w:tcW w:w="120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6"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38" w:right="4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9"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50" w:right="4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90" w:type="dxa"/>
            <w:tcBorders>
              <w:top w:val="single" w:sz="14" w:space="0" w:color="FFFFFF"/>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2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3" w:type="dxa"/>
            <w:vMerge/>
            <w:tcBorders>
              <w:left w:val="single" w:sz="4" w:space="0" w:color="000000"/>
              <w:right w:val="single" w:sz="4" w:space="0" w:color="000000"/>
            </w:tcBorders>
            <w:shd w:val="clear" w:color="auto" w:fill="D2D2D2"/>
          </w:tcPr>
          <w:p>
            <w:pPr/>
          </w:p>
        </w:tc>
      </w:tr>
      <w:tr>
        <w:trPr>
          <w:trHeight w:val="197" w:hRule="exact"/>
        </w:trPr>
        <w:tc>
          <w:tcPr>
            <w:tcW w:w="1054"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2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48"/>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6" w:hRule="exact"/>
        </w:trPr>
        <w:tc>
          <w:tcPr>
            <w:tcW w:w="1054" w:type="dxa"/>
            <w:vMerge/>
            <w:tcBorders>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290"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054"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2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
        </w:tc>
      </w:tr>
      <w:tr>
        <w:trPr>
          <w:trHeight w:val="199" w:hRule="exact"/>
        </w:trPr>
        <w:tc>
          <w:tcPr>
            <w:tcW w:w="1054"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2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422"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61" w:hRule="exact"/>
        </w:trPr>
        <w:tc>
          <w:tcPr>
            <w:tcW w:w="1054"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76" w:type="dxa"/>
            <w:vMerge/>
            <w:tcBorders>
              <w:left w:val="single" w:sz="4" w:space="0" w:color="000000"/>
              <w:bottom w:val="single" w:sz="4" w:space="0" w:color="000000"/>
              <w:right w:val="single" w:sz="4" w:space="0" w:color="000000"/>
            </w:tcBorders>
            <w:shd w:val="clear" w:color="auto" w:fill="D2D2D2"/>
          </w:tcPr>
          <w:p>
            <w:pPr/>
          </w:p>
        </w:tc>
        <w:tc>
          <w:tcPr>
            <w:tcW w:w="289" w:type="dxa"/>
            <w:vMerge/>
            <w:tcBorders>
              <w:left w:val="single" w:sz="4" w:space="0" w:color="000000"/>
              <w:bottom w:val="single" w:sz="4" w:space="0" w:color="000000"/>
              <w:right w:val="single" w:sz="4" w:space="0" w:color="000000"/>
            </w:tcBorders>
            <w:shd w:val="clear" w:color="auto" w:fill="D2D2D2"/>
          </w:tcPr>
          <w:p>
            <w:pPr/>
          </w:p>
        </w:tc>
        <w:tc>
          <w:tcPr>
            <w:tcW w:w="2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10"/>
                <w:sz w:val="18"/>
                <w:szCs w:val="18"/>
              </w:rPr>
              <w:t>一、上年期末</w:t>
            </w:r>
            <w:r>
              <w:rPr>
                <w:rFonts w:ascii="宋体" w:hAnsi="宋体" w:cs="宋体" w:eastAsia="宋体" w:hint="default"/>
                <w:sz w:val="18"/>
                <w:szCs w:val="18"/>
              </w:rPr>
              <w:t> 余额</w:t>
            </w:r>
          </w:p>
        </w:tc>
        <w:tc>
          <w:tcPr>
            <w:tcW w:w="12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91,191,500.00</w:t>
            </w:r>
          </w:p>
        </w:tc>
        <w:tc>
          <w:tcPr>
            <w:tcW w:w="276"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222,081,849.46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39,991,615.35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231,826,725.94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560,835,155.75</w:t>
            </w:r>
          </w:p>
        </w:tc>
      </w:tr>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加：会计</w:t>
            </w:r>
          </w:p>
        </w:tc>
        <w:tc>
          <w:tcPr>
            <w:tcW w:w="1202" w:type="dxa"/>
            <w:tcBorders>
              <w:top w:val="single" w:sz="4" w:space="0" w:color="000000"/>
              <w:left w:val="single" w:sz="10" w:space="0" w:color="D2D2D2"/>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74"/>
        <w:gridCol w:w="1181"/>
        <w:gridCol w:w="288"/>
        <w:gridCol w:w="289"/>
        <w:gridCol w:w="290"/>
        <w:gridCol w:w="1181"/>
        <w:gridCol w:w="1092"/>
        <w:gridCol w:w="422"/>
        <w:gridCol w:w="425"/>
        <w:gridCol w:w="1090"/>
        <w:gridCol w:w="1181"/>
        <w:gridCol w:w="1183"/>
      </w:tblGrid>
      <w:tr>
        <w:trPr>
          <w:trHeight w:val="362"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 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 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二、本年期初</w:t>
            </w:r>
            <w:r>
              <w:rPr>
                <w:rFonts w:ascii="宋体" w:hAnsi="宋体" w:cs="宋体" w:eastAsia="宋体" w:hint="default"/>
                <w:sz w:val="18"/>
                <w:szCs w:val="18"/>
              </w:rPr>
              <w:t> 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91,191,500.00</w:t>
            </w: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222,081,849.46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24,256,535.00</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39,991,615.35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231,826,725.94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560,835,155.75</w:t>
            </w:r>
          </w:p>
        </w:tc>
      </w:tr>
      <w:tr>
        <w:trPr>
          <w:trHeight w:val="1339"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三、本期增减</w:t>
            </w:r>
            <w:r>
              <w:rPr>
                <w:rFonts w:ascii="宋体" w:hAnsi="宋体" w:cs="宋体" w:eastAsia="宋体" w:hint="default"/>
                <w:sz w:val="18"/>
                <w:szCs w:val="18"/>
              </w:rPr>
              <w:t> </w:t>
            </w:r>
            <w:r>
              <w:rPr>
                <w:rFonts w:ascii="宋体" w:hAnsi="宋体" w:cs="宋体" w:eastAsia="宋体" w:hint="default"/>
                <w:spacing w:val="-10"/>
                <w:sz w:val="18"/>
                <w:szCs w:val="18"/>
              </w:rPr>
              <w:t>变动金额（减</w:t>
            </w:r>
            <w:r>
              <w:rPr>
                <w:rFonts w:ascii="宋体" w:hAnsi="宋体" w:cs="宋体" w:eastAsia="宋体" w:hint="default"/>
                <w:sz w:val="18"/>
                <w:szCs w:val="18"/>
              </w:rPr>
              <w:t>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-62,286,264.86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8" w:right="0"/>
              <w:jc w:val="center"/>
              <w:rPr>
                <w:rFonts w:ascii="Times New Roman" w:hAnsi="Times New Roman" w:cs="Times New Roman" w:eastAsia="Times New Roman" w:hint="default"/>
                <w:sz w:val="18"/>
                <w:szCs w:val="18"/>
              </w:rPr>
            </w:pPr>
            <w:r>
              <w:rPr>
                <w:rFonts w:ascii="Times New Roman"/>
                <w:sz w:val="18"/>
              </w:rPr>
              <w:t>-9,702,614.00</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1" w:right="0"/>
              <w:jc w:val="center"/>
              <w:rPr>
                <w:rFonts w:ascii="Times New Roman" w:hAnsi="Times New Roman" w:cs="Times New Roman" w:eastAsia="Times New Roman" w:hint="default"/>
                <w:sz w:val="18"/>
                <w:szCs w:val="18"/>
              </w:rPr>
            </w:pPr>
            <w:r>
              <w:rPr>
                <w:rFonts w:ascii="Times New Roman"/>
                <w:sz w:val="18"/>
              </w:rPr>
              <w:t>2,007,685.82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10,773,852.38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24,031,937.34</w:t>
            </w: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（一）综合收</w:t>
            </w:r>
            <w:r>
              <w:rPr>
                <w:rFonts w:ascii="宋体" w:hAnsi="宋体" w:cs="宋体" w:eastAsia="宋体" w:hint="default"/>
                <w:sz w:val="18"/>
                <w:szCs w:val="18"/>
              </w:rPr>
              <w:t> 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20,076,858.20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20,076,858.20</w:t>
            </w:r>
          </w:p>
        </w:tc>
      </w:tr>
      <w:tr>
        <w:trPr>
          <w:trHeight w:val="1027"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（二）所有者</w:t>
            </w:r>
            <w:r>
              <w:rPr>
                <w:rFonts w:ascii="宋体" w:hAnsi="宋体" w:cs="宋体" w:eastAsia="宋体" w:hint="default"/>
                <w:sz w:val="18"/>
                <w:szCs w:val="18"/>
              </w:rPr>
              <w:t> 投入和减少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1,547,785.14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-9,702,614.00</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11,250,399.14</w:t>
            </w: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1,547,785.14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-9,702,614.00</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11,250,399.14</w:t>
            </w:r>
          </w:p>
        </w:tc>
      </w:tr>
      <w:tr>
        <w:trPr>
          <w:trHeight w:val="40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（三）利润分</w:t>
            </w:r>
            <w:r>
              <w:rPr>
                <w:rFonts w:ascii="宋体" w:hAnsi="宋体" w:cs="宋体" w:eastAsia="宋体" w:hint="default"/>
                <w:sz w:val="18"/>
                <w:szCs w:val="18"/>
              </w:rPr>
              <w:t> 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2,007,685.82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-9,303,005.82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-7,295,320.00</w:t>
            </w:r>
          </w:p>
        </w:tc>
      </w:tr>
      <w:tr>
        <w:trPr>
          <w:trHeight w:val="71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2,007,685.82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-2,007,685.82</w:t>
            </w: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22" w:right="19"/>
              <w:jc w:val="left"/>
              <w:rPr>
                <w:rFonts w:ascii="宋体" w:hAnsi="宋体" w:cs="宋体" w:eastAsia="宋体" w:hint="default"/>
                <w:sz w:val="18"/>
                <w:szCs w:val="18"/>
              </w:rPr>
            </w:pPr>
            <w:r>
              <w:rPr>
                <w:rFonts w:ascii="宋体" w:hAnsi="宋体" w:cs="宋体" w:eastAsia="宋体" w:hint="default"/>
                <w:spacing w:val="-10"/>
                <w:sz w:val="18"/>
                <w:szCs w:val="18"/>
              </w:rPr>
              <w:t>（或股东）的</w:t>
            </w:r>
            <w:r>
              <w:rPr>
                <w:rFonts w:ascii="宋体" w:hAnsi="宋体" w:cs="宋体" w:eastAsia="宋体" w:hint="default"/>
                <w:sz w:val="18"/>
                <w:szCs w:val="18"/>
              </w:rPr>
              <w:t> 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-7,295,320.00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-7,295,320.00</w:t>
            </w:r>
            <w:r>
              <w:rPr>
                <w:rFonts w:ascii="Times New Roman"/>
                <w:sz w:val="18"/>
              </w:rPr>
            </w:r>
          </w:p>
        </w:tc>
      </w:tr>
      <w:tr>
        <w:trPr>
          <w:trHeight w:val="404"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（四）所有者</w:t>
            </w:r>
            <w:r>
              <w:rPr>
                <w:rFonts w:ascii="宋体" w:hAnsi="宋体" w:cs="宋体" w:eastAsia="宋体" w:hint="default"/>
                <w:sz w:val="18"/>
                <w:szCs w:val="18"/>
              </w:rPr>
              <w:t> 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0"/>
                <w:sz w:val="18"/>
                <w:szCs w:val="18"/>
              </w:rPr>
              <w:t>转增资本（或</w:t>
            </w:r>
            <w:r>
              <w:rPr>
                <w:rFonts w:ascii="宋体" w:hAnsi="宋体" w:cs="宋体" w:eastAsia="宋体" w:hint="default"/>
                <w:sz w:val="18"/>
                <w:szCs w:val="18"/>
              </w:rPr>
              <w:t> 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74"/>
        <w:gridCol w:w="1181"/>
        <w:gridCol w:w="288"/>
        <w:gridCol w:w="289"/>
        <w:gridCol w:w="290"/>
        <w:gridCol w:w="1181"/>
        <w:gridCol w:w="1092"/>
        <w:gridCol w:w="422"/>
        <w:gridCol w:w="425"/>
        <w:gridCol w:w="1090"/>
        <w:gridCol w:w="1181"/>
        <w:gridCol w:w="1183"/>
      </w:tblGrid>
      <w:tr>
        <w:trPr>
          <w:trHeight w:val="102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0"/>
                <w:sz w:val="18"/>
                <w:szCs w:val="18"/>
              </w:rPr>
              <w:t>转增资本（或</w:t>
            </w:r>
            <w:r>
              <w:rPr>
                <w:rFonts w:ascii="宋体" w:hAnsi="宋体" w:cs="宋体" w:eastAsia="宋体" w:hint="default"/>
                <w:sz w:val="18"/>
                <w:szCs w:val="18"/>
              </w:rPr>
              <w:t>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（五）专项储</w:t>
            </w:r>
            <w:r>
              <w:rPr>
                <w:rFonts w:ascii="宋体" w:hAnsi="宋体" w:cs="宋体" w:eastAsia="宋体" w:hint="default"/>
                <w:sz w:val="18"/>
                <w:szCs w:val="18"/>
              </w:rPr>
              <w:t> 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0"/>
                <w:sz w:val="18"/>
                <w:szCs w:val="18"/>
              </w:rPr>
              <w:t>四、本期期末</w:t>
            </w:r>
            <w:r>
              <w:rPr>
                <w:rFonts w:ascii="宋体" w:hAnsi="宋体" w:cs="宋体" w:eastAsia="宋体" w:hint="default"/>
                <w:sz w:val="18"/>
                <w:szCs w:val="18"/>
              </w:rPr>
              <w:t> 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155,025,550.00</w:t>
            </w:r>
          </w:p>
        </w:tc>
        <w:tc>
          <w:tcPr>
            <w:tcW w:w="288"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159,795,584.60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14,553,921.00</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41,999,301.17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242,600,578.32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584,867,093.09</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068"/>
        <w:gridCol w:w="1102"/>
        <w:gridCol w:w="302"/>
        <w:gridCol w:w="305"/>
        <w:gridCol w:w="305"/>
        <w:gridCol w:w="1181"/>
        <w:gridCol w:w="1090"/>
        <w:gridCol w:w="439"/>
        <w:gridCol w:w="439"/>
        <w:gridCol w:w="1090"/>
        <w:gridCol w:w="1181"/>
        <w:gridCol w:w="1183"/>
      </w:tblGrid>
      <w:tr>
        <w:trPr>
          <w:trHeight w:val="396" w:hRule="exact"/>
        </w:trPr>
        <w:tc>
          <w:tcPr>
            <w:tcW w:w="1068" w:type="dxa"/>
            <w:vMerge w:val="restart"/>
            <w:tcBorders>
              <w:top w:val="single" w:sz="4" w:space="0" w:color="000000"/>
              <w:left w:val="single" w:sz="4" w:space="0" w:color="000000"/>
              <w:right w:val="single" w:sz="4" w:space="0" w:color="000000"/>
            </w:tcBorders>
            <w:shd w:val="clear" w:color="auto" w:fill="D2D2D2"/>
          </w:tcPr>
          <w:p>
            <w:pPr/>
          </w:p>
        </w:tc>
        <w:tc>
          <w:tcPr>
            <w:tcW w:w="86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67" w:hRule="exact"/>
        </w:trPr>
        <w:tc>
          <w:tcPr>
            <w:tcW w:w="1068" w:type="dxa"/>
            <w:vMerge/>
            <w:tcBorders>
              <w:left w:val="single" w:sz="4" w:space="0" w:color="000000"/>
              <w:right w:val="single" w:sz="4" w:space="0" w:color="000000"/>
            </w:tcBorders>
            <w:shd w:val="clear" w:color="auto" w:fill="D2D2D2"/>
          </w:tcPr>
          <w:p>
            <w:pPr/>
          </w:p>
        </w:tc>
        <w:tc>
          <w:tcPr>
            <w:tcW w:w="1102" w:type="dxa"/>
            <w:vMerge w:val="restart"/>
            <w:tcBorders>
              <w:top w:val="single" w:sz="4" w:space="0" w:color="000000"/>
              <w:left w:val="single" w:sz="4" w:space="0" w:color="000000"/>
              <w:right w:val="single" w:sz="4" w:space="0" w:color="000000"/>
            </w:tcBorders>
            <w:shd w:val="clear" w:color="auto" w:fill="D2D2D2"/>
          </w:tcPr>
          <w:p>
            <w:pPr/>
          </w:p>
        </w:tc>
        <w:tc>
          <w:tcPr>
            <w:tcW w:w="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71" w:right="89"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439"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
        </w:tc>
      </w:tr>
      <w:tr>
        <w:trPr>
          <w:trHeight w:val="133" w:hRule="exact"/>
        </w:trPr>
        <w:tc>
          <w:tcPr>
            <w:tcW w:w="1068" w:type="dxa"/>
            <w:vMerge/>
            <w:tcBorders>
              <w:left w:val="single" w:sz="4" w:space="0" w:color="000000"/>
              <w:bottom w:val="nil" w:sz="6" w:space="0" w:color="auto"/>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913" w:type="dxa"/>
            <w:gridSpan w:val="3"/>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43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3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177" w:hRule="exact"/>
        </w:trPr>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02" w:type="dxa"/>
            <w:vMerge/>
            <w:tcBorders>
              <w:left w:val="single" w:sz="4" w:space="0" w:color="000000"/>
              <w:bottom w:val="single" w:sz="14" w:space="0" w:color="FFFFFF"/>
              <w:right w:val="single" w:sz="4" w:space="0" w:color="000000"/>
            </w:tcBorders>
            <w:shd w:val="clear" w:color="auto" w:fill="D2D2D2"/>
          </w:tcPr>
          <w:p>
            <w:pPr/>
          </w:p>
        </w:tc>
        <w:tc>
          <w:tcPr>
            <w:tcW w:w="913" w:type="dxa"/>
            <w:gridSpan w:val="3"/>
            <w:vMerge/>
            <w:tcBorders>
              <w:left w:val="single" w:sz="4" w:space="0" w:color="000000"/>
              <w:bottom w:val="single" w:sz="14" w:space="0" w:color="FFFFFF"/>
              <w:right w:val="single" w:sz="4" w:space="0" w:color="000000"/>
            </w:tcBorders>
            <w:shd w:val="clear" w:color="auto" w:fill="D2D2D2"/>
          </w:tcPr>
          <w:p>
            <w:pPr/>
          </w:p>
        </w:tc>
        <w:tc>
          <w:tcPr>
            <w:tcW w:w="1181" w:type="dxa"/>
            <w:vMerge/>
            <w:tcBorders>
              <w:left w:val="single" w:sz="4" w:space="0" w:color="000000"/>
              <w:bottom w:val="single" w:sz="14" w:space="0" w:color="FFFFFF"/>
              <w:right w:val="single" w:sz="4" w:space="0" w:color="000000"/>
            </w:tcBorders>
            <w:shd w:val="clear" w:color="auto" w:fill="D2D2D2"/>
          </w:tcPr>
          <w:p>
            <w:pPr/>
          </w:p>
        </w:tc>
        <w:tc>
          <w:tcPr>
            <w:tcW w:w="1090" w:type="dxa"/>
            <w:vMerge/>
            <w:tcBorders>
              <w:left w:val="single" w:sz="4" w:space="0" w:color="000000"/>
              <w:bottom w:val="single" w:sz="14" w:space="0" w:color="FFFFFF"/>
              <w:right w:val="single" w:sz="4" w:space="0" w:color="000000"/>
            </w:tcBorders>
            <w:shd w:val="clear" w:color="auto" w:fill="D2D2D2"/>
          </w:tcPr>
          <w:p>
            <w:pPr/>
          </w:p>
        </w:tc>
        <w:tc>
          <w:tcPr>
            <w:tcW w:w="439" w:type="dxa"/>
            <w:vMerge/>
            <w:tcBorders>
              <w:left w:val="single" w:sz="4" w:space="0" w:color="000000"/>
              <w:right w:val="single" w:sz="4" w:space="0" w:color="000000"/>
            </w:tcBorders>
            <w:shd w:val="clear" w:color="auto" w:fill="D2D2D2"/>
          </w:tcPr>
          <w:p>
            <w:pPr/>
          </w:p>
        </w:tc>
        <w:tc>
          <w:tcPr>
            <w:tcW w:w="43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36" w:right="3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499" w:right="43"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8" w:hRule="exact"/>
        </w:trPr>
        <w:tc>
          <w:tcPr>
            <w:tcW w:w="1068" w:type="dxa"/>
            <w:vMerge/>
            <w:tcBorders>
              <w:left w:val="single" w:sz="4" w:space="0" w:color="000000"/>
              <w:bottom w:val="nil" w:sz="6" w:space="0" w:color="auto"/>
              <w:right w:val="single" w:sz="4" w:space="0" w:color="000000"/>
            </w:tcBorders>
            <w:shd w:val="clear" w:color="auto" w:fill="D2D2D2"/>
          </w:tcPr>
          <w:p>
            <w:pPr/>
          </w:p>
        </w:tc>
        <w:tc>
          <w:tcPr>
            <w:tcW w:w="110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0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57" w:right="5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05"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57" w:right="5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0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39" w:type="dxa"/>
            <w:vMerge/>
            <w:tcBorders>
              <w:left w:val="single" w:sz="4" w:space="0" w:color="000000"/>
              <w:right w:val="single" w:sz="4" w:space="0" w:color="000000"/>
            </w:tcBorders>
            <w:shd w:val="clear" w:color="auto" w:fill="D2D2D2"/>
          </w:tcPr>
          <w:p>
            <w:pPr/>
          </w:p>
        </w:tc>
        <w:tc>
          <w:tcPr>
            <w:tcW w:w="43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3" w:type="dxa"/>
            <w:vMerge/>
            <w:tcBorders>
              <w:left w:val="single" w:sz="4" w:space="0" w:color="000000"/>
              <w:right w:val="single" w:sz="4" w:space="0" w:color="000000"/>
            </w:tcBorders>
            <w:shd w:val="clear" w:color="auto" w:fill="D2D2D2"/>
          </w:tcPr>
          <w:p>
            <w:pPr/>
          </w:p>
        </w:tc>
      </w:tr>
      <w:tr>
        <w:trPr>
          <w:trHeight w:val="194" w:hRule="exact"/>
        </w:trPr>
        <w:tc>
          <w:tcPr>
            <w:tcW w:w="1068" w:type="dxa"/>
            <w:vMerge w:val="restart"/>
            <w:tcBorders>
              <w:top w:val="nil" w:sz="6" w:space="0" w:color="auto"/>
              <w:left w:val="single" w:sz="4" w:space="0" w:color="000000"/>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30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439" w:type="dxa"/>
            <w:vMerge/>
            <w:tcBorders>
              <w:left w:val="single" w:sz="4" w:space="0" w:color="000000"/>
              <w:right w:val="single" w:sz="4" w:space="0" w:color="000000"/>
            </w:tcBorders>
            <w:shd w:val="clear" w:color="auto" w:fill="D2D2D2"/>
          </w:tcPr>
          <w:p>
            <w:pPr/>
          </w:p>
        </w:tc>
        <w:tc>
          <w:tcPr>
            <w:tcW w:w="43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6" w:hRule="exact"/>
        </w:trPr>
        <w:tc>
          <w:tcPr>
            <w:tcW w:w="1068" w:type="dxa"/>
            <w:vMerge/>
            <w:tcBorders>
              <w:left w:val="single" w:sz="4" w:space="0" w:color="000000"/>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439" w:type="dxa"/>
            <w:vMerge/>
            <w:tcBorders>
              <w:left w:val="single" w:sz="4" w:space="0" w:color="000000"/>
              <w:right w:val="single" w:sz="4" w:space="0" w:color="000000"/>
            </w:tcBorders>
            <w:shd w:val="clear" w:color="auto" w:fill="D2D2D2"/>
          </w:tcPr>
          <w:p>
            <w:pPr/>
          </w:p>
        </w:tc>
        <w:tc>
          <w:tcPr>
            <w:tcW w:w="439"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068"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439" w:type="dxa"/>
            <w:vMerge/>
            <w:tcBorders>
              <w:left w:val="single" w:sz="4" w:space="0" w:color="000000"/>
              <w:bottom w:val="nil" w:sz="6" w:space="0" w:color="auto"/>
              <w:right w:val="single" w:sz="4" w:space="0" w:color="000000"/>
            </w:tcBorders>
            <w:shd w:val="clear" w:color="auto" w:fill="D2D2D2"/>
          </w:tcPr>
          <w:p>
            <w:pPr/>
          </w:p>
        </w:tc>
        <w:tc>
          <w:tcPr>
            <w:tcW w:w="439" w:type="dxa"/>
            <w:vMerge w:val="restart"/>
            <w:tcBorders>
              <w:top w:val="nil" w:sz="6" w:space="0" w:color="auto"/>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
        </w:tc>
      </w:tr>
      <w:tr>
        <w:trPr>
          <w:trHeight w:val="202" w:hRule="exact"/>
        </w:trPr>
        <w:tc>
          <w:tcPr>
            <w:tcW w:w="1068"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c>
          <w:tcPr>
            <w:tcW w:w="305" w:type="dxa"/>
            <w:vMerge/>
            <w:tcBorders>
              <w:left w:val="single" w:sz="4" w:space="0" w:color="000000"/>
              <w:right w:val="single" w:sz="4" w:space="0" w:color="000000"/>
            </w:tcBorders>
            <w:shd w:val="clear" w:color="auto" w:fill="D2D2D2"/>
          </w:tcPr>
          <w:p>
            <w:pPr/>
          </w:p>
        </w:tc>
        <w:tc>
          <w:tcPr>
            <w:tcW w:w="305"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439" w:type="dxa"/>
            <w:vMerge w:val="restart"/>
            <w:tcBorders>
              <w:top w:val="nil" w:sz="6" w:space="0" w:color="auto"/>
              <w:left w:val="single" w:sz="4" w:space="0" w:color="000000"/>
              <w:right w:val="single" w:sz="4" w:space="0" w:color="000000"/>
            </w:tcBorders>
            <w:shd w:val="clear" w:color="auto" w:fill="D2D2D2"/>
          </w:tcPr>
          <w:p>
            <w:pPr/>
          </w:p>
        </w:tc>
        <w:tc>
          <w:tcPr>
            <w:tcW w:w="43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61" w:hRule="exact"/>
        </w:trPr>
        <w:tc>
          <w:tcPr>
            <w:tcW w:w="1068"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302" w:type="dxa"/>
            <w:vMerge/>
            <w:tcBorders>
              <w:left w:val="single" w:sz="4" w:space="0" w:color="000000"/>
              <w:bottom w:val="single" w:sz="4" w:space="0" w:color="000000"/>
              <w:right w:val="single" w:sz="4" w:space="0" w:color="000000"/>
            </w:tcBorders>
            <w:shd w:val="clear" w:color="auto" w:fill="D2D2D2"/>
          </w:tcPr>
          <w:p>
            <w:pPr/>
          </w:p>
        </w:tc>
        <w:tc>
          <w:tcPr>
            <w:tcW w:w="305" w:type="dxa"/>
            <w:vMerge/>
            <w:tcBorders>
              <w:left w:val="single" w:sz="4" w:space="0" w:color="000000"/>
              <w:bottom w:val="single" w:sz="4" w:space="0" w:color="000000"/>
              <w:right w:val="single" w:sz="4" w:space="0" w:color="000000"/>
            </w:tcBorders>
            <w:shd w:val="clear" w:color="auto" w:fill="D2D2D2"/>
          </w:tcPr>
          <w:p>
            <w:pPr/>
          </w:p>
        </w:tc>
        <w:tc>
          <w:tcPr>
            <w:tcW w:w="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439" w:type="dxa"/>
            <w:vMerge/>
            <w:tcBorders>
              <w:left w:val="single" w:sz="4" w:space="0" w:color="000000"/>
              <w:bottom w:val="single" w:sz="4" w:space="0" w:color="000000"/>
              <w:right w:val="single" w:sz="4" w:space="0" w:color="000000"/>
            </w:tcBorders>
            <w:shd w:val="clear" w:color="auto" w:fill="D2D2D2"/>
          </w:tcPr>
          <w:p>
            <w:pPr/>
          </w:p>
        </w:tc>
        <w:tc>
          <w:tcPr>
            <w:tcW w:w="439"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8"/>
                <w:sz w:val="18"/>
                <w:szCs w:val="18"/>
              </w:rPr>
              <w:t>一、上年期末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90,150,000.00</w:t>
            </w: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196,631,124.85</w:t>
            </w: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36,925,460.85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210,541,835.48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534,248,421.18</w:t>
            </w:r>
          </w:p>
        </w:tc>
      </w:tr>
      <w:tr>
        <w:trPr>
          <w:trHeight w:val="713"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加：会计</w:t>
            </w:r>
            <w:r>
              <w:rPr>
                <w:rFonts w:ascii="宋体" w:hAnsi="宋体" w:cs="宋体" w:eastAsia="宋体" w:hint="default"/>
                <w:sz w:val="18"/>
                <w:szCs w:val="18"/>
              </w:rPr>
              <w:t> 政策变更</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 期差错更正</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 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8"/>
                <w:sz w:val="18"/>
                <w:szCs w:val="18"/>
              </w:rPr>
              <w:t>二、本年期初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90,150,000.00</w:t>
            </w: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196,631,124.85</w:t>
            </w: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36,925,460.85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210,541,835.48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534,248,421.18</w:t>
            </w:r>
          </w:p>
        </w:tc>
      </w:tr>
      <w:tr>
        <w:trPr>
          <w:trHeight w:val="1337"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0"/>
              <w:jc w:val="left"/>
              <w:rPr>
                <w:rFonts w:ascii="宋体" w:hAnsi="宋体" w:cs="宋体" w:eastAsia="宋体" w:hint="default"/>
                <w:sz w:val="18"/>
                <w:szCs w:val="18"/>
              </w:rPr>
            </w:pPr>
            <w:r>
              <w:rPr>
                <w:rFonts w:ascii="宋体" w:hAnsi="宋体" w:cs="宋体" w:eastAsia="宋体" w:hint="default"/>
                <w:spacing w:val="-8"/>
                <w:sz w:val="18"/>
                <w:szCs w:val="18"/>
              </w:rPr>
              <w:t>三、本期增减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变动金额（减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1,041,500.00</w:t>
            </w: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25,450,724.61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3,066,154.50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21,284,890.46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26,586,734.57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91"/>
        <w:gridCol w:w="1090"/>
        <w:gridCol w:w="302"/>
        <w:gridCol w:w="305"/>
        <w:gridCol w:w="305"/>
        <w:gridCol w:w="1181"/>
        <w:gridCol w:w="1090"/>
        <w:gridCol w:w="439"/>
        <w:gridCol w:w="439"/>
        <w:gridCol w:w="1090"/>
        <w:gridCol w:w="1181"/>
        <w:gridCol w:w="1183"/>
      </w:tblGrid>
      <w:tr>
        <w:trPr>
          <w:trHeight w:val="71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益总额</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30,661,544.96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30,661,544.96</w:t>
            </w:r>
          </w:p>
        </w:tc>
      </w:tr>
      <w:tr>
        <w:trPr>
          <w:trHeight w:val="1027"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投入和减少 资本</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1,041,500.00</w:t>
            </w: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25,450,724.61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24,256,535.00</w:t>
            </w: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2,235,689.61</w:t>
            </w:r>
          </w:p>
        </w:tc>
      </w:tr>
      <w:tr>
        <w:trPr>
          <w:trHeight w:val="71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1,041,500.00</w:t>
            </w: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23,215,035.00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1027"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2,235,689.61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24,256,535.00</w:t>
            </w: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-22,020,845.39</w:t>
            </w:r>
          </w:p>
        </w:tc>
      </w:tr>
      <w:tr>
        <w:trPr>
          <w:trHeight w:val="1025"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（三）利润分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配</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3,066,154.50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-9,376,654.50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-6,310,500.00</w:t>
            </w:r>
          </w:p>
        </w:tc>
      </w:tr>
      <w:tr>
        <w:trPr>
          <w:trHeight w:val="715"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3,066,154.50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-3,066,154.50</w:t>
            </w: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22" w:right="22"/>
              <w:jc w:val="left"/>
              <w:rPr>
                <w:rFonts w:ascii="宋体" w:hAnsi="宋体" w:cs="宋体" w:eastAsia="宋体" w:hint="default"/>
                <w:sz w:val="18"/>
                <w:szCs w:val="18"/>
              </w:rPr>
            </w:pPr>
            <w:r>
              <w:rPr>
                <w:rFonts w:ascii="宋体" w:hAnsi="宋体" w:cs="宋体" w:eastAsia="宋体" w:hint="default"/>
                <w:spacing w:val="-8"/>
                <w:sz w:val="18"/>
                <w:szCs w:val="18"/>
              </w:rPr>
              <w:t>（或股东）的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分配</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-6,310,500.00</w:t>
            </w:r>
          </w:p>
        </w:tc>
      </w:tr>
      <w:tr>
        <w:trPr>
          <w:trHeight w:val="40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权益内部结 转</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8"/>
                <w:sz w:val="18"/>
                <w:szCs w:val="18"/>
              </w:rPr>
              <w:t>转增资本（或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8"/>
                <w:sz w:val="18"/>
                <w:szCs w:val="18"/>
              </w:rPr>
              <w:t>转增资本（或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8"/>
                <w:sz w:val="18"/>
                <w:szCs w:val="18"/>
              </w:rPr>
              <w:t>（五）专项储</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91"/>
        <w:gridCol w:w="1090"/>
        <w:gridCol w:w="302"/>
        <w:gridCol w:w="305"/>
        <w:gridCol w:w="305"/>
        <w:gridCol w:w="1181"/>
        <w:gridCol w:w="1090"/>
        <w:gridCol w:w="439"/>
        <w:gridCol w:w="439"/>
        <w:gridCol w:w="1090"/>
        <w:gridCol w:w="1181"/>
        <w:gridCol w:w="1183"/>
      </w:tblGrid>
      <w:tr>
        <w:trPr>
          <w:trHeight w:val="362"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四、本期期末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91,191,500.00</w:t>
            </w:r>
          </w:p>
        </w:tc>
        <w:tc>
          <w:tcPr>
            <w:tcW w:w="302"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222,081,849.46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24,256,535.00</w:t>
            </w:r>
          </w:p>
        </w:tc>
        <w:tc>
          <w:tcPr>
            <w:tcW w:w="43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39,991,615.35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231,826,725.94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560,835,155.75</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34" w:firstLine="360"/>
        <w:jc w:val="left"/>
      </w:pPr>
      <w:r>
        <w:rPr/>
        <w:t>新晨科技股份有限公司（以下简称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）前身为北京新晨计算机技术有限公司，于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日经北京 </w:t>
      </w:r>
      <w:r>
        <w:rPr>
          <w:spacing w:val="-1"/>
        </w:rPr>
        <w:t>市人民政府核发的《中华人民共和国台港澳侨投资企业批准证书》（外经贸京字</w:t>
      </w:r>
      <w:r>
        <w:rPr>
          <w:rFonts w:ascii="Times New Roman" w:hAnsi="Times New Roman" w:cs="Times New Roman" w:eastAsia="Times New Roman" w:hint="default"/>
          <w:spacing w:val="-1"/>
        </w:rPr>
        <w:t>(1997)0429</w:t>
      </w:r>
      <w:r>
        <w:rPr>
          <w:spacing w:val="-1"/>
        </w:rPr>
        <w:t>号）批准设立。</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w:t>
      </w:r>
      <w:r>
        <w:rPr>
          <w:spacing w:val="-59"/>
        </w:rPr>
        <w:t> </w:t>
      </w:r>
      <w:r>
        <w:rPr>
          <w:spacing w:val="-2"/>
        </w:rPr>
        <w:t>经北京市人民政府经济体制改革办公室京政体改股函【</w:t>
      </w:r>
      <w:r>
        <w:rPr>
          <w:rFonts w:ascii="Times New Roman" w:hAnsi="Times New Roman" w:cs="Times New Roman" w:eastAsia="Times New Roman" w:hint="default"/>
          <w:spacing w:val="-2"/>
        </w:rPr>
        <w:t>2001</w:t>
      </w:r>
      <w:r>
        <w:rPr>
          <w:spacing w:val="-2"/>
        </w:rPr>
        <w:t>】</w:t>
      </w:r>
      <w:r>
        <w:rPr>
          <w:rFonts w:ascii="Times New Roman" w:hAnsi="Times New Roman" w:cs="Times New Roman" w:eastAsia="Times New Roman" w:hint="default"/>
          <w:spacing w:val="-2"/>
        </w:rPr>
        <w:t>23</w:t>
      </w:r>
      <w:r>
        <w:rPr>
          <w:spacing w:val="-2"/>
        </w:rPr>
        <w:t>号文件批准，北京新晨计算机技术有限公司整体变更为股份</w:t>
      </w:r>
      <w:r>
        <w:rPr>
          <w:spacing w:val="-62"/>
        </w:rPr>
        <w:t> </w:t>
      </w:r>
      <w:r>
        <w:rPr>
          <w:spacing w:val="-62"/>
        </w:rPr>
      </w:r>
      <w:r>
        <w:rPr/>
        <w:t>有限公司，并于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日在深圳证券交易所创业板上市。公司现持有统一社会信用代码为</w:t>
      </w:r>
      <w:r>
        <w:rPr>
          <w:rFonts w:ascii="Times New Roman" w:hAnsi="Times New Roman" w:cs="Times New Roman" w:eastAsia="Times New Roman" w:hint="default"/>
        </w:rPr>
        <w:t>911101086000694820</w:t>
      </w:r>
      <w:r>
        <w:rPr/>
        <w:t>的营业 执照。</w:t>
      </w:r>
    </w:p>
    <w:p>
      <w:pPr>
        <w:pStyle w:val="BodyText"/>
        <w:spacing w:line="300" w:lineRule="auto" w:before="31"/>
        <w:ind w:right="1126" w:firstLine="360"/>
        <w:jc w:val="left"/>
        <w:rPr>
          <w:rFonts w:ascii="宋体" w:hAnsi="宋体" w:cs="宋体" w:eastAsia="宋体" w:hint="default"/>
        </w:rPr>
      </w:pPr>
      <w:r>
        <w:rPr>
          <w:spacing w:val="-4"/>
        </w:rPr>
        <w:t>经过历年的增发新股和资本公积转增股本，截止</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日，本公司股本总数</w:t>
      </w:r>
      <w:r>
        <w:rPr>
          <w:rFonts w:ascii="Times New Roman" w:hAnsi="Times New Roman" w:cs="Times New Roman" w:eastAsia="Times New Roman" w:hint="default"/>
          <w:spacing w:val="-4"/>
        </w:rPr>
        <w:t>15,502.555</w:t>
      </w:r>
      <w:r>
        <w:rPr>
          <w:spacing w:val="-4"/>
        </w:rPr>
        <w:t>万股，注册资本为</w:t>
      </w:r>
      <w:r>
        <w:rPr>
          <w:rFonts w:ascii="Times New Roman" w:hAnsi="Times New Roman" w:cs="Times New Roman" w:eastAsia="Times New Roman" w:hint="default"/>
          <w:spacing w:val="-4"/>
        </w:rPr>
        <w:t>15,502.555</w:t>
      </w:r>
      <w:r>
        <w:rPr>
          <w:rFonts w:ascii="Times New Roman" w:hAnsi="Times New Roman" w:cs="Times New Roman" w:eastAsia="Times New Roman" w:hint="default"/>
        </w:rPr>
        <w:t> </w:t>
      </w:r>
      <w:r>
        <w:rPr/>
        <w:t>万元，公司注册地址：北京市海淀区蓝靛厂东路</w:t>
      </w:r>
      <w:r>
        <w:rPr>
          <w:rFonts w:ascii="Times New Roman" w:hAnsi="Times New Roman" w:cs="Times New Roman" w:eastAsia="Times New Roman" w:hint="default"/>
        </w:rPr>
        <w:t>2</w:t>
      </w:r>
      <w:r>
        <w:rPr/>
        <w:t>号院金源时代商务中心</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8</w:t>
      </w:r>
      <w:r>
        <w:rPr/>
        <w:t>层，法定代表人为康路。</w:t>
      </w:r>
      <w:r>
        <w:rPr>
          <w:rFonts w:ascii="宋体" w:hAnsi="宋体" w:cs="宋体" w:eastAsia="宋体" w:hint="default"/>
        </w:rPr>
        <w:t> </w:t>
      </w:r>
    </w:p>
    <w:p>
      <w:pPr>
        <w:pStyle w:val="BodyText"/>
        <w:spacing w:line="309" w:lineRule="auto" w:before="13"/>
        <w:ind w:left="513" w:right="1143"/>
        <w:jc w:val="left"/>
      </w:pPr>
      <w:r>
        <w:rPr/>
        <w:t>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28</w:t>
      </w:r>
      <w:r>
        <w:rPr/>
        <w:t>日决议批准报出。 本公司及各子公司从事软件、信息技术与信息传输经营。 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8</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w:t>
      </w:r>
    </w:p>
    <w:p>
      <w:pPr>
        <w:pStyle w:val="BodyText"/>
        <w:spacing w:line="240" w:lineRule="auto" w:before="5"/>
        <w:ind w:right="0"/>
        <w:jc w:val="both"/>
      </w:pPr>
      <w:r>
        <w:rPr/>
        <w:t>增加</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0</w:t>
      </w:r>
      <w:r>
        <w:rPr/>
        <w:t>户，详见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31"/>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 </w:t>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6"/>
        </w:rPr>
        <w:t> </w:t>
      </w:r>
      <w:r>
        <w:rPr>
          <w:spacing w:val="-46"/>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0" w:firstLine="360"/>
        <w:jc w:val="both"/>
      </w:pPr>
      <w:r>
        <w:rPr>
          <w:spacing w:val="-2"/>
        </w:rPr>
        <w:t>根据企业会计准则的相关规定，本公司会计核算以权责发生制为基础。除某些金融工具外，本财务报表均以历史成本为</w:t>
      </w:r>
      <w:r>
        <w:rPr/>
        <w:t> </w:t>
      </w:r>
      <w:r>
        <w:rPr>
          <w:spacing w:val="-2"/>
        </w:rPr>
        <w:t>计量基础。持有待售的非流动资产，按公允价值减去预计费用后的金额，以及符合持有待售条件时的原账面价值，取两者孰</w:t>
      </w:r>
      <w:r>
        <w:rPr>
          <w:spacing w:val="-65"/>
        </w:rPr>
        <w:t> </w:t>
      </w:r>
      <w:r>
        <w:rPr>
          <w:spacing w:val="-65"/>
        </w:rPr>
      </w:r>
      <w:r>
        <w:rPr/>
        <w:t>低计价。资产如果发生减值，则按照相关规定计提相应的减值准备。</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36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0"/>
        <w:jc w:val="both"/>
      </w:pPr>
      <w:r>
        <w:rPr/>
        <w:t>软件与信息技术服务业</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0" w:hanging="361"/>
        <w:jc w:val="left"/>
      </w:pPr>
      <w:r>
        <w:rPr/>
        <w:t>具体会计政策和会计估计提示： </w:t>
      </w:r>
      <w:r>
        <w:rPr>
          <w:spacing w:val="-2"/>
        </w:rPr>
        <w:t>本公司及各子公司从事软件、信息技术与信息传输经营。本公司及各子公司根据实际生产经营特点，依据相关企业会计</w:t>
      </w:r>
    </w:p>
    <w:p>
      <w:pPr>
        <w:pStyle w:val="BodyText"/>
        <w:spacing w:line="236" w:lineRule="exact"/>
        <w:ind w:right="1133"/>
        <w:jc w:val="left"/>
      </w:pPr>
      <w:r>
        <w:rPr/>
        <w:t>准则的规定，对收入确认制定了若干项具体会计政策和会计估计，详见本附注五、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描述。</w:t>
      </w:r>
    </w:p>
    <w:p>
      <w:pPr>
        <w:pStyle w:val="BodyText"/>
        <w:spacing w:line="316" w:lineRule="auto" w:before="63"/>
        <w:ind w:right="1034"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7"/>
        </w:rPr>
        <w:t> </w:t>
      </w:r>
      <w:r>
        <w:rPr>
          <w:spacing w:val="-67"/>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0" w:firstLine="360"/>
        <w:jc w:val="left"/>
      </w:pPr>
      <w:r>
        <w:rPr>
          <w:spacing w:val="-2"/>
        </w:rPr>
        <w:t>本公司对后述判断、估计和假设在持续经营的基础上进行定期复核，会计估计的变更仅影响变更当期的，其影响数在变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3" w:right="1133"/>
        <w:jc w:val="left"/>
      </w:pPr>
      <w:r>
        <w:rPr/>
        <w:t>于资产负债表日，本公司需对财务报表项目金额进行判断、估计和假设的重要领域如下：</w:t>
      </w:r>
    </w:p>
    <w:p>
      <w:pPr>
        <w:pStyle w:val="BodyText"/>
        <w:spacing w:line="300" w:lineRule="auto" w:before="76"/>
        <w:ind w:left="513" w:right="0"/>
        <w:jc w:val="left"/>
      </w:pPr>
      <w:r>
        <w:rPr/>
        <w:t>（</w:t>
      </w:r>
      <w:r>
        <w:rPr>
          <w:rFonts w:ascii="Times New Roman" w:hAnsi="Times New Roman" w:cs="Times New Roman" w:eastAsia="Times New Roman" w:hint="default"/>
        </w:rPr>
        <w:t>1</w:t>
      </w:r>
      <w:r>
        <w:rPr/>
        <w:t>）收入确认</w:t>
      </w:r>
      <w:r>
        <w:rPr>
          <w:rFonts w:ascii="Times New Roman" w:hAnsi="Times New Roman" w:cs="Times New Roman" w:eastAsia="Times New Roman" w:hint="default"/>
        </w:rPr>
        <w:t>——</w:t>
      </w:r>
      <w:r>
        <w:rPr/>
        <w:t>完工百分比法确认收入 </w:t>
      </w:r>
      <w:r>
        <w:rPr>
          <w:spacing w:val="-2"/>
        </w:rPr>
        <w:t>在建造合同结果可以可靠估计时，本公司采用完工百分比法在资产负债表日确认合同收入。合同的完工百分比是依照本</w:t>
      </w:r>
    </w:p>
    <w:p>
      <w:pPr>
        <w:pStyle w:val="BodyText"/>
        <w:spacing w:line="300" w:lineRule="auto" w:before="32"/>
        <w:ind w:left="513" w:right="1133" w:hanging="361"/>
        <w:jc w:val="left"/>
      </w:pPr>
      <w:r>
        <w:rPr/>
        <w:t>附注五、</w:t>
      </w:r>
      <w:r>
        <w:rPr>
          <w:rFonts w:ascii="Times New Roman" w:hAnsi="Times New Roman" w:cs="Times New Roman" w:eastAsia="Times New Roman" w:hint="default"/>
        </w:rPr>
        <w:t>28</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所述方法进行确认的，在执行各该建造合同的各会计年度内累积计算。 </w:t>
      </w:r>
      <w:r>
        <w:rPr>
          <w:spacing w:val="-2"/>
        </w:rPr>
        <w:t>在确定完工百分比、已发生的合同成本、预计合同总收入和总成本，以及合同可回收性时，需要作出重大判断。项目管</w:t>
      </w:r>
    </w:p>
    <w:p>
      <w:pPr>
        <w:pStyle w:val="BodyText"/>
        <w:spacing w:line="316" w:lineRule="auto" w:before="31"/>
        <w:ind w:right="1132"/>
        <w:jc w:val="both"/>
      </w:pPr>
      <w:r>
        <w:rPr>
          <w:spacing w:val="-2"/>
        </w:rPr>
        <w:t>理层主要依靠过去的经验和工作作出判断。预计合同总收入和总成本，以及合同执行结果的估计变更都可能对变更当期或以</w:t>
      </w:r>
      <w:r>
        <w:rPr>
          <w:spacing w:val="-64"/>
        </w:rPr>
        <w:t> </w:t>
      </w:r>
      <w:r>
        <w:rPr>
          <w:spacing w:val="-64"/>
        </w:rPr>
      </w:r>
      <w:r>
        <w:rPr/>
        <w:t>后期间的营业收入、营业成本，以及期间损益产生影响，且可能构成重大影响。</w:t>
      </w:r>
    </w:p>
    <w:p>
      <w:pPr>
        <w:pStyle w:val="BodyText"/>
        <w:spacing w:line="300" w:lineRule="auto" w:before="19"/>
        <w:ind w:left="513" w:right="0"/>
        <w:jc w:val="left"/>
      </w:pPr>
      <w:r>
        <w:rPr/>
        <w:t>（</w:t>
      </w:r>
      <w:r>
        <w:rPr>
          <w:rFonts w:ascii="Times New Roman" w:hAnsi="Times New Roman" w:cs="Times New Roman" w:eastAsia="Times New Roman" w:hint="default"/>
        </w:rPr>
        <w:t>2</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316" w:lineRule="auto" w:before="13"/>
        <w:ind w:right="1133"/>
        <w:jc w:val="both"/>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300" w:lineRule="auto" w:before="19"/>
        <w:ind w:left="513" w:right="0"/>
        <w:jc w:val="left"/>
      </w:pPr>
      <w:r>
        <w:rPr/>
        <w:t>（</w:t>
      </w:r>
      <w:r>
        <w:rPr>
          <w:rFonts w:ascii="Times New Roman" w:hAnsi="Times New Roman" w:cs="Times New Roman" w:eastAsia="Times New Roman" w:hint="default"/>
        </w:rPr>
        <w:t>3</w:t>
      </w:r>
      <w:r>
        <w:rPr/>
        <w:t>）坏账准备计提 </w:t>
      </w:r>
      <w:r>
        <w:rPr>
          <w:spacing w:val="-2"/>
        </w:rPr>
        <w:t>本公司根据应收款项的会计政策，采用备抵法核算坏账损失。应收款项减值是基于评估应收款项的可收回性。鉴定应收</w:t>
      </w:r>
    </w:p>
    <w:p>
      <w:pPr>
        <w:pStyle w:val="BodyText"/>
        <w:spacing w:line="316" w:lineRule="auto" w:before="31"/>
        <w:ind w:right="1133"/>
        <w:jc w:val="both"/>
      </w:pPr>
      <w:r>
        <w:rPr>
          <w:spacing w:val="-2"/>
        </w:rPr>
        <w:t>款项减值要求管理层的判断和估计。实际的结果与原先估计的差异将在估计被改变的期间影响应收款项的账面价值及应收款</w:t>
      </w:r>
      <w:r>
        <w:rPr>
          <w:spacing w:val="-64"/>
        </w:rPr>
        <w:t> </w:t>
      </w:r>
      <w:r>
        <w:rPr>
          <w:spacing w:val="-64"/>
        </w:rPr>
      </w:r>
      <w:r>
        <w:rPr/>
        <w:t>项坏账准备的计提或转回。</w:t>
      </w:r>
    </w:p>
    <w:p>
      <w:pPr>
        <w:pStyle w:val="BodyText"/>
        <w:spacing w:line="300" w:lineRule="auto" w:before="19"/>
        <w:ind w:left="513" w:right="0"/>
        <w:jc w:val="left"/>
      </w:pPr>
      <w:r>
        <w:rPr/>
        <w:t>（</w:t>
      </w:r>
      <w:r>
        <w:rPr>
          <w:rFonts w:ascii="Times New Roman" w:hAnsi="Times New Roman" w:cs="Times New Roman" w:eastAsia="Times New Roman" w:hint="default"/>
        </w:rPr>
        <w:t>4</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right="1130"/>
        <w:jc w:val="both"/>
      </w:pPr>
      <w:r>
        <w:rPr>
          <w:spacing w:val="-2"/>
        </w:rPr>
        <w:t>价准备。存货减值至可变现净值是基于评估存货的可售性及其可变现净值。鉴定存货减值要求管理层在取得确凿证据，并且</w:t>
      </w:r>
      <w:r>
        <w:rPr>
          <w:spacing w:val="-63"/>
        </w:rPr>
        <w:t> </w:t>
      </w:r>
      <w:r>
        <w:rPr>
          <w:spacing w:val="-63"/>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3" w:right="0"/>
        <w:jc w:val="left"/>
      </w:pPr>
      <w:r>
        <w:rPr/>
        <w:t>（</w:t>
      </w:r>
      <w:r>
        <w:rPr>
          <w:rFonts w:ascii="Times New Roman" w:hAnsi="Times New Roman" w:cs="Times New Roman" w:eastAsia="Times New Roman" w:hint="default"/>
        </w:rPr>
        <w:t>5</w:t>
      </w:r>
      <w:r>
        <w:rPr/>
        <w:t>）金融工具公允价值 </w:t>
      </w:r>
      <w:r>
        <w:rPr>
          <w:spacing w:val="-2"/>
        </w:rPr>
        <w:t>对不存在活跃交易市场的金融工具，本公司通过各种估值方法确定其公允价值。这些估值方法包括贴现现金流模型分析</w:t>
      </w:r>
    </w:p>
    <w:p>
      <w:pPr>
        <w:pStyle w:val="BodyText"/>
        <w:spacing w:line="316" w:lineRule="auto" w:before="31"/>
        <w:ind w:right="1135"/>
        <w:jc w:val="both"/>
      </w:pPr>
      <w:r>
        <w:rPr>
          <w:spacing w:val="-2"/>
        </w:rPr>
        <w:t>等。估值时本公司需对未来现金流量、信用风险、市场波动率和相关性等方面进行估计，并选择适当的折现率。这些相关假</w:t>
      </w:r>
      <w:r>
        <w:rPr>
          <w:spacing w:val="-67"/>
        </w:rPr>
        <w:t> </w:t>
      </w:r>
      <w:r>
        <w:rPr>
          <w:spacing w:val="-67"/>
        </w:rPr>
      </w:r>
      <w:r>
        <w:rPr/>
        <w:t>设具有不确定性，其变化会对金融工具的公允价值产生影响。</w:t>
      </w:r>
    </w:p>
    <w:p>
      <w:pPr>
        <w:pStyle w:val="BodyText"/>
        <w:spacing w:line="300" w:lineRule="auto" w:before="19"/>
        <w:ind w:left="513" w:right="0"/>
        <w:jc w:val="left"/>
      </w:pPr>
      <w:r>
        <w:rPr/>
        <w:t>（</w:t>
      </w:r>
      <w:r>
        <w:rPr>
          <w:rFonts w:ascii="Times New Roman" w:hAnsi="Times New Roman" w:cs="Times New Roman" w:eastAsia="Times New Roman" w:hint="default"/>
        </w:rPr>
        <w:t>6</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9" w:lineRule="auto" w:before="31"/>
        <w:ind w:right="1130"/>
        <w:jc w:val="both"/>
      </w:pPr>
      <w:r>
        <w:rPr>
          <w:spacing w:val="-2"/>
        </w:rPr>
        <w:t>值损失。在进行判断和作出假设的过程中，本公司需评估该项投资的公允价值低于成本的程度和持续期间，以及被投资对象</w:t>
      </w:r>
      <w:r>
        <w:rPr>
          <w:spacing w:val="-63"/>
        </w:rPr>
        <w:t> </w:t>
      </w:r>
      <w:r>
        <w:rPr>
          <w:spacing w:val="-63"/>
        </w:rPr>
      </w:r>
      <w:r>
        <w:rPr/>
        <w:t>的财务状况和短期业务展望，包括行业状况、技术变革、信用评级、违约率和对手方的风险。</w:t>
      </w:r>
    </w:p>
    <w:p>
      <w:pPr>
        <w:pStyle w:val="BodyText"/>
        <w:spacing w:line="300" w:lineRule="auto" w:before="17"/>
        <w:ind w:left="513" w:right="0"/>
        <w:jc w:val="left"/>
      </w:pPr>
      <w:r>
        <w:rPr/>
        <w:t>（</w:t>
      </w:r>
      <w:r>
        <w:rPr>
          <w:rFonts w:ascii="Times New Roman" w:hAnsi="Times New Roman" w:cs="Times New Roman" w:eastAsia="Times New Roman" w:hint="default"/>
        </w:rPr>
        <w:t>7</w:t>
      </w:r>
      <w:r>
        <w:rPr/>
        <w:t>）长期资产减值准备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31"/>
        <w:ind w:right="1135"/>
        <w:jc w:val="both"/>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316" w:lineRule="auto" w:before="19"/>
        <w:ind w:right="1214" w:firstLine="360"/>
        <w:jc w:val="left"/>
      </w:pPr>
      <w:r>
        <w:rPr/>
        <w:t>当资产或资产组的账面价值高于可收回金额，即公允价值减去处置费用后的净额和预计未来现金流量的现值中的较高 者，表明发生了减值。</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7"/>
        <w:ind w:right="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0" w:firstLine="360"/>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3"/>
        </w:rPr>
        <w:t> </w:t>
      </w:r>
      <w:r>
        <w:rPr>
          <w:spacing w:val="-63"/>
        </w:rPr>
      </w:r>
      <w:r>
        <w:rPr/>
        <w:t>率确定未来现金流量的现值。</w:t>
      </w:r>
    </w:p>
    <w:p>
      <w:pPr>
        <w:pStyle w:val="BodyText"/>
        <w:spacing w:line="300" w:lineRule="auto" w:before="19"/>
        <w:ind w:left="513" w:right="0"/>
        <w:jc w:val="left"/>
      </w:pPr>
      <w:r>
        <w:rPr/>
        <w:t>（</w:t>
      </w:r>
      <w:r>
        <w:rPr>
          <w:rFonts w:ascii="Times New Roman" w:hAnsi="Times New Roman" w:cs="Times New Roman" w:eastAsia="Times New Roman" w:hint="default"/>
        </w:rPr>
        <w:t>8</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right="0"/>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3" w:right="0"/>
        <w:jc w:val="left"/>
      </w:pPr>
      <w:r>
        <w:rPr/>
        <w:t>（</w:t>
      </w:r>
      <w:r>
        <w:rPr>
          <w:rFonts w:ascii="Times New Roman" w:hAnsi="Times New Roman" w:cs="Times New Roman" w:eastAsia="Times New Roman" w:hint="default"/>
        </w:rPr>
        <w:t>9</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31"/>
        <w:ind w:right="1117"/>
        <w:jc w:val="left"/>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9"/>
        <w:ind w:left="513" w:right="1117"/>
        <w:jc w:val="left"/>
      </w:pPr>
      <w:r>
        <w:rPr/>
        <w:t>（</w:t>
      </w:r>
      <w:r>
        <w:rPr>
          <w:rFonts w:ascii="Times New Roman" w:hAnsi="Times New Roman" w:cs="Times New Roman" w:eastAsia="Times New Roman" w:hint="default"/>
        </w:rPr>
        <w:t>10</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31"/>
        <w:ind w:right="0"/>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2018</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firstLine="360"/>
        <w:jc w:val="left"/>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214" w:firstLine="36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企业合并，是指将两个或两个以上单独的企业合并形成一个报告主体的交易或事项。企业合并分为同一控制下企业合并</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和非同一控制下企业合并。</w:t>
      </w:r>
    </w:p>
    <w:p>
      <w:pPr>
        <w:pStyle w:val="BodyText"/>
        <w:spacing w:line="300" w:lineRule="auto" w:before="77"/>
        <w:ind w:left="513"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051"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3" w:right="1133"/>
        <w:jc w:val="left"/>
      </w:pPr>
      <w:r>
        <w:rPr/>
        <w:t>合并方为进行企业合并发生的各项直接费用，于发生时计入当期损益。</w:t>
      </w:r>
    </w:p>
    <w:p>
      <w:pPr>
        <w:pStyle w:val="BodyText"/>
        <w:spacing w:line="300" w:lineRule="auto" w:before="76"/>
        <w:ind w:left="513"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0"/>
        <w:jc w:val="left"/>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3"/>
        </w:rPr>
        <w:t> </w:t>
      </w:r>
      <w:r>
        <w:rPr>
          <w:spacing w:val="-63"/>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0" w:firstLine="360"/>
        <w:jc w:val="left"/>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300" w:lineRule="auto" w:before="23"/>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9"/>
        <w:ind w:right="113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0"/>
        <w:jc w:val="left"/>
      </w:pP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被本公司控制的主体。</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一旦相关事实和情况的变化导致上述控制定义涉及的相关要素发生了变化，本公司将进行重新评估。</w:t>
      </w:r>
    </w:p>
    <w:p>
      <w:pPr>
        <w:pStyle w:val="BodyText"/>
        <w:spacing w:line="300" w:lineRule="auto" w:before="77"/>
        <w:ind w:left="513"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121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50"/>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 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 股东权益。</w:t>
      </w:r>
    </w:p>
    <w:p>
      <w:pPr>
        <w:pStyle w:val="BodyText"/>
        <w:spacing w:line="312" w:lineRule="auto" w:before="31"/>
        <w:ind w:right="1129"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2"/>
        </w:rPr>
        <w:t> </w:t>
      </w:r>
      <w:r>
        <w:rPr>
          <w:spacing w:val="-62"/>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w:t>
      </w:r>
      <w:r>
        <w:rPr>
          <w:w w:val="100"/>
        </w:rPr>
        <w:t> </w:t>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3"/>
        <w:ind w:right="1034"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3"/>
        </w:rPr>
        <w:t> </w:t>
      </w:r>
      <w:r>
        <w:rPr>
          <w:spacing w:val="-63"/>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3"/>
        </w:rPr>
        <w:t> </w:t>
      </w:r>
      <w:r>
        <w:rPr>
          <w:spacing w:val="-53"/>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本公司发生的外币交易在初始确认时，按交易日的即期汇率（通常指中国人民银行公布的当日外汇牌价的中间价，折算</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为记账本位币金额，但公司发生的外币兑换业务或涉及外币兑换的交易事项，按照实际采用的汇率折算为记账本位币金额。</w:t>
      </w:r>
    </w:p>
    <w:p>
      <w:pPr>
        <w:pStyle w:val="BodyText"/>
        <w:spacing w:line="300" w:lineRule="auto" w:before="77"/>
        <w:ind w:left="513"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资产负债表日，对于外币货币性项目采用资产负债表日即期汇率折算，由此产生的汇兑差额，除属于与购建符合资本化</w:t>
      </w:r>
    </w:p>
    <w:p>
      <w:pPr>
        <w:pStyle w:val="BodyText"/>
        <w:spacing w:line="316" w:lineRule="auto" w:before="31"/>
        <w:ind w:right="0"/>
        <w:jc w:val="left"/>
      </w:pPr>
      <w:r>
        <w:rPr>
          <w:spacing w:val="-2"/>
        </w:rPr>
        <w:t>条件的资产相关的外币专门借款产生的汇兑差额按照借款费用资本化的原则处理；以及可供出售的外币货币性项目除摊余成</w:t>
      </w:r>
      <w:r>
        <w:rPr>
          <w:spacing w:val="-64"/>
        </w:rPr>
        <w:t> </w:t>
      </w:r>
      <w:r>
        <w:rPr>
          <w:spacing w:val="-64"/>
        </w:rPr>
      </w:r>
      <w:r>
        <w:rPr/>
        <w:t>本之外的其他账面余额变动产生的汇兑差额计入其他综合收益之外，均计入当期损益。</w:t>
      </w:r>
    </w:p>
    <w:p>
      <w:pPr>
        <w:pStyle w:val="BodyText"/>
        <w:spacing w:line="316" w:lineRule="auto" w:before="19"/>
        <w:ind w:right="1132"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19"/>
        <w:ind w:right="113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3"/>
        </w:rPr>
        <w:t> </w:t>
      </w:r>
      <w:r>
        <w:rPr>
          <w:spacing w:val="-63"/>
        </w:rPr>
      </w:r>
      <w:r>
        <w:rPr/>
        <w:t>值变动（含汇率变动）处理，计入当期损益或确认为其他综合收益。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3"/>
        </w:rPr>
        <w:t> </w:t>
      </w:r>
      <w:r>
        <w:rPr>
          <w:spacing w:val="-63"/>
        </w:rPr>
      </w:r>
      <w:r>
        <w:rPr/>
        <w:t>融资产和金融负债，相关交易费用计入初始确认金额。</w:t>
      </w:r>
    </w:p>
    <w:p>
      <w:pPr>
        <w:pStyle w:val="BodyText"/>
        <w:spacing w:line="300" w:lineRule="auto" w:before="19"/>
        <w:ind w:left="513"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right="1034"/>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3"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1133"/>
        <w:jc w:val="left"/>
      </w:pPr>
      <w:r>
        <w:rPr/>
        <w:t>计入当期损益的金融资产、持有至到期投资、贷款和应收款项以及可供出售金融资产。</w:t>
      </w:r>
    </w:p>
    <w:p>
      <w:pPr>
        <w:pStyle w:val="BodyText"/>
        <w:spacing w:line="316" w:lineRule="auto" w:before="77"/>
        <w:ind w:left="513" w:right="1133"/>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1"/>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7"/>
        </w:rPr>
        <w:t> </w:t>
      </w: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p>
    <w:p>
      <w:pPr>
        <w:pStyle w:val="BodyText"/>
        <w:spacing w:line="307" w:lineRule="auto" w:before="24"/>
        <w:ind w:right="1131"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4" w:lineRule="auto" w:before="26"/>
        <w:ind w:right="1132"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21"/>
        <w:ind w:left="513" w:right="1117"/>
        <w:jc w:val="left"/>
      </w:pPr>
      <w:r>
        <w:rPr/>
        <w:t>②</w:t>
      </w:r>
      <w:r>
        <w:rPr>
          <w:spacing w:val="-18"/>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1133"/>
        <w:jc w:val="left"/>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4"/>
        </w:rPr>
        <w:t> </w:t>
      </w:r>
      <w:r>
        <w:rPr>
          <w:spacing w:val="-64"/>
        </w:rPr>
      </w:r>
      <w:r>
        <w:rPr/>
        <w:t>价或溢价等。</w:t>
      </w:r>
    </w:p>
    <w:p>
      <w:pPr>
        <w:pStyle w:val="BodyText"/>
        <w:spacing w:line="316" w:lineRule="auto" w:before="17"/>
        <w:ind w:left="513" w:right="0"/>
        <w:jc w:val="left"/>
      </w:pPr>
      <w:r>
        <w:rPr/>
        <w:t>③</w:t>
      </w:r>
      <w:r>
        <w:rPr>
          <w:spacing w:val="-18"/>
        </w:rPr>
        <w:t> </w:t>
      </w:r>
      <w:r>
        <w:rPr/>
        <w:t>贷款和应收款项</w:t>
      </w:r>
      <w:r>
        <w:rPr/>
        <w:t> </w:t>
      </w:r>
      <w:r>
        <w:rPr>
          <w:spacing w:val="-2"/>
        </w:rPr>
        <w:t>是指在活跃市场中没有报价、回收金额固定或可确定的非衍生金融资产。本公司划分为贷款和应收款的金融资产包括应</w:t>
      </w:r>
    </w:p>
    <w:p>
      <w:pPr>
        <w:pStyle w:val="BodyText"/>
        <w:spacing w:line="316" w:lineRule="auto" w:before="19"/>
        <w:ind w:left="513" w:right="0" w:hanging="361"/>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both"/>
      </w:pPr>
      <w:r>
        <w:rPr/>
        <w:t>当期损益。</w:t>
      </w:r>
    </w:p>
    <w:p>
      <w:pPr>
        <w:pStyle w:val="BodyText"/>
        <w:spacing w:line="316" w:lineRule="auto" w:before="76"/>
        <w:ind w:left="513" w:right="1033"/>
        <w:jc w:val="left"/>
      </w:pPr>
      <w:r>
        <w:rPr/>
        <w:t>④</w:t>
      </w:r>
      <w:r>
        <w:rPr>
          <w:spacing w:val="-18"/>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9"/>
        <w:ind w:left="513" w:right="0" w:hanging="361"/>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9" w:lineRule="auto" w:before="19"/>
        <w:ind w:right="1131"/>
        <w:jc w:val="both"/>
      </w:pPr>
      <w:r>
        <w:rPr>
          <w:spacing w:val="-2"/>
        </w:rPr>
        <w:t>法将该初始确认金额与到期日金额之间的差额进行摊销形成的累计摊销额，并扣除已发生的减值损失后的金额。可供出售权</w:t>
      </w:r>
      <w:r>
        <w:rPr>
          <w:spacing w:val="-63"/>
        </w:rPr>
        <w:t> </w:t>
      </w:r>
      <w:r>
        <w:rPr>
          <w:spacing w:val="-63"/>
        </w:rPr>
      </w:r>
      <w:r>
        <w:rPr/>
        <w:t>益工具投资的期末成本为其初始取得成本。</w:t>
      </w:r>
    </w:p>
    <w:p>
      <w:pPr>
        <w:pStyle w:val="BodyText"/>
        <w:spacing w:line="316" w:lineRule="auto" w:before="17"/>
        <w:ind w:right="1132"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3" w:right="1133"/>
        <w:jc w:val="left"/>
      </w:pPr>
      <w:r>
        <w:rPr/>
        <w:t>可供出售金融资产持有期间取得的利息及被投资单位宣告发放的现金股利，计入投资收益。</w:t>
      </w:r>
    </w:p>
    <w:p>
      <w:pPr>
        <w:pStyle w:val="BodyText"/>
        <w:spacing w:line="300" w:lineRule="auto" w:before="76"/>
        <w:ind w:left="513"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3" w:right="0" w:hanging="361"/>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9" w:lineRule="auto" w:before="19"/>
        <w:ind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4"/>
        </w:rPr>
        <w:t> </w:t>
      </w:r>
      <w:r>
        <w:rPr>
          <w:spacing w:val="-64"/>
        </w:rPr>
      </w:r>
      <w:r>
        <w:rPr/>
        <w:t>似信用风险特征的金融资产组合中进行减值测试。</w:t>
      </w:r>
    </w:p>
    <w:p>
      <w:pPr>
        <w:pStyle w:val="BodyText"/>
        <w:spacing w:line="316" w:lineRule="auto" w:before="17"/>
        <w:ind w:left="513" w:right="0"/>
        <w:jc w:val="left"/>
      </w:pPr>
      <w:r>
        <w:rPr/>
        <w:t>①</w:t>
      </w:r>
      <w:r>
        <w:rPr>
          <w:spacing w:val="-18"/>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316" w:lineRule="auto" w:before="19"/>
        <w:ind w:right="1131"/>
        <w:jc w:val="both"/>
      </w:pPr>
      <w:r>
        <w:rPr>
          <w:spacing w:val="-2"/>
        </w:rPr>
        <w:t>益。金融资产在确认减值损失后，如有客观证据表明该金融资产价值已恢复，且客观上与确认该损失后发生的事项有关，原</w:t>
      </w:r>
      <w:r>
        <w:rPr>
          <w:spacing w:val="-64"/>
        </w:rPr>
        <w:t> </w:t>
      </w:r>
      <w:r>
        <w:rPr>
          <w:spacing w:val="-64"/>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3" w:right="0"/>
        <w:jc w:val="left"/>
      </w:pPr>
      <w:r>
        <w:rPr/>
        <w:t>②</w:t>
      </w:r>
      <w:r>
        <w:rPr>
          <w:spacing w:val="-18"/>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300" w:lineRule="auto" w:before="19"/>
        <w:ind w:right="1131"/>
        <w:jc w:val="both"/>
      </w:pPr>
      <w:r>
        <w:rPr>
          <w:spacing w:val="-1"/>
        </w:rPr>
        <w:t>减值。其中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是指公允价值下跌幅度累计超过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是指公允价值连续下跌时间超过</w:t>
      </w:r>
      <w:r>
        <w:rPr>
          <w:rFonts w:ascii="Times New Roman" w:hAnsi="Times New Roman" w:cs="Times New Roman" w:eastAsia="Times New Roman" w:hint="default"/>
          <w:spacing w:val="-1"/>
        </w:rPr>
        <w:t>12</w:t>
      </w:r>
      <w:r>
        <w:rPr>
          <w:spacing w:val="-1"/>
        </w:rPr>
        <w:t>个月，持续</w:t>
      </w:r>
      <w:r>
        <w:rPr>
          <w:spacing w:val="-48"/>
        </w:rPr>
        <w:t> </w:t>
      </w:r>
      <w:r>
        <w:rPr>
          <w:spacing w:val="-48"/>
        </w:rPr>
      </w:r>
      <w:r>
        <w:rPr/>
        <w:t>下跌期间的确定依据为连续下跌或在下跌趋势持续期间反弹上扬幅度低于</w:t>
      </w:r>
      <w:r>
        <w:rPr>
          <w:rFonts w:ascii="Times New Roman" w:hAnsi="Times New Roman" w:cs="Times New Roman" w:eastAsia="Times New Roman" w:hint="default"/>
        </w:rPr>
        <w:t>20%</w:t>
      </w:r>
      <w:r>
        <w:rPr/>
        <w:t>，反弹持续时间未超过</w:t>
      </w:r>
      <w:r>
        <w:rPr>
          <w:rFonts w:ascii="Times New Roman" w:hAnsi="Times New Roman" w:cs="Times New Roman" w:eastAsia="Times New Roman" w:hint="default"/>
        </w:rPr>
        <w:t>6</w:t>
      </w:r>
      <w:r>
        <w:rPr/>
        <w:t>个月的均作为持续下 跌期间。</w:t>
      </w:r>
    </w:p>
    <w:p>
      <w:pPr>
        <w:pStyle w:val="BodyText"/>
        <w:spacing w:line="319" w:lineRule="auto" w:before="31"/>
        <w:ind w:right="1051"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7"/>
        <w:ind w:right="1129"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2"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8"/>
        <w:ind w:left="513" w:right="1133"/>
        <w:jc w:val="left"/>
      </w:pPr>
      <w:r>
        <w:rPr/>
        <w:t>（</w:t>
      </w:r>
      <w:r>
        <w:rPr>
          <w:rFonts w:ascii="Times New Roman" w:hAnsi="Times New Roman" w:cs="Times New Roman" w:eastAsia="Times New Roman" w:hint="default"/>
        </w:rPr>
        <w:t>4</w:t>
      </w:r>
      <w:r>
        <w:rPr/>
        <w:t>）金融资产转移的确认依据和计量方法</w:t>
      </w:r>
    </w:p>
    <w:p>
      <w:pPr>
        <w:spacing w:after="0" w:line="240" w:lineRule="auto"/>
        <w:jc w:val="left"/>
        <w:sectPr>
          <w:footerReference w:type="default" r:id="rId17"/>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85" w:firstLine="360"/>
        <w:jc w:val="both"/>
      </w:pPr>
      <w:r>
        <w:rPr/>
        <w:t>满足下列条件之一的金融资产，予以终止确认：① 收取该金融资产现金流量的合同权利终止；②</w:t>
      </w:r>
      <w:r>
        <w:rPr>
          <w:spacing w:val="-35"/>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3"/>
        </w:rPr>
        <w:t> </w:t>
      </w:r>
      <w:r>
        <w:rPr>
          <w:spacing w:val="-63"/>
        </w:rPr>
      </w:r>
      <w:r>
        <w:rPr/>
        <w:t>产所有权上几乎所有的风险和报酬，但是放弃了对该金融资产的控制。</w:t>
      </w:r>
    </w:p>
    <w:p>
      <w:pPr>
        <w:pStyle w:val="BodyText"/>
        <w:spacing w:line="316" w:lineRule="auto" w:before="17"/>
        <w:ind w:right="113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316" w:lineRule="auto" w:before="19"/>
        <w:ind w:right="113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right="113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9" w:lineRule="auto" w:before="19"/>
        <w:ind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3"/>
        </w:rPr>
        <w:t> </w:t>
      </w:r>
      <w:r>
        <w:rPr>
          <w:spacing w:val="-63"/>
        </w:rPr>
      </w:r>
      <w:r>
        <w:rPr/>
        <w:t>险和报酬的，则继续判断企业是否对该资产保留了控制，并根据前面各段所述的原则进行会计处理。</w:t>
      </w:r>
    </w:p>
    <w:p>
      <w:pPr>
        <w:pStyle w:val="BodyText"/>
        <w:spacing w:line="300" w:lineRule="auto" w:before="17"/>
        <w:ind w:left="513" w:right="1033"/>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1130"/>
        <w:jc w:val="both"/>
      </w:pPr>
      <w:r>
        <w:rPr>
          <w:spacing w:val="-2"/>
        </w:rPr>
        <w:t>以公允价值计量。对于以公允价值计量且其变动计入当期损益的金融负债，相关的交易费用直接计入当期损益；对于其他金</w:t>
      </w:r>
      <w:r>
        <w:rPr>
          <w:spacing w:val="-63"/>
        </w:rPr>
        <w:t> </w:t>
      </w:r>
      <w:r>
        <w:rPr>
          <w:spacing w:val="-63"/>
        </w:rPr>
      </w:r>
      <w:r>
        <w:rPr/>
        <w:t>融负债，相关交易费用计入初始确认金额。</w:t>
      </w:r>
    </w:p>
    <w:p>
      <w:pPr>
        <w:pStyle w:val="BodyText"/>
        <w:spacing w:line="316" w:lineRule="auto" w:before="19"/>
        <w:ind w:left="513" w:right="1213"/>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9"/>
        <w:ind w:left="513" w:right="0" w:hanging="361"/>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0"/>
        <w:jc w:val="both"/>
      </w:pPr>
      <w:r>
        <w:rPr/>
        <w:t>与该等金融负债相关的股利和利息支出计入当期损益。</w:t>
      </w:r>
    </w:p>
    <w:p>
      <w:pPr>
        <w:pStyle w:val="BodyText"/>
        <w:spacing w:line="319" w:lineRule="auto" w:before="76"/>
        <w:ind w:left="513" w:right="0"/>
        <w:jc w:val="left"/>
      </w:pPr>
      <w:r>
        <w:rPr/>
        <w:t>②</w:t>
      </w:r>
      <w:r>
        <w:rPr>
          <w:spacing w:val="-18"/>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316" w:lineRule="auto" w:before="17"/>
        <w:ind w:right="1129"/>
        <w:jc w:val="both"/>
      </w:pPr>
      <w:r>
        <w:rPr>
          <w:spacing w:val="-2"/>
        </w:rPr>
        <w:t>成本进行后续计量。其他金融负债采用实际利率法，按摊余成本进行后续计量，终止确认或摊销产生的利得或损失计入当期</w:t>
      </w:r>
      <w:r>
        <w:rPr>
          <w:spacing w:val="-62"/>
        </w:rPr>
        <w:t> </w:t>
      </w:r>
      <w:r>
        <w:rPr>
          <w:spacing w:val="-62"/>
        </w:rPr>
      </w:r>
      <w:r>
        <w:rPr/>
        <w:t>损益。</w:t>
      </w:r>
    </w:p>
    <w:p>
      <w:pPr>
        <w:pStyle w:val="BodyText"/>
        <w:spacing w:line="316" w:lineRule="auto" w:before="19"/>
        <w:ind w:left="513" w:right="0"/>
        <w:jc w:val="left"/>
      </w:pPr>
      <w:r>
        <w:rPr/>
        <w:t>③</w:t>
      </w:r>
      <w:r>
        <w:rPr>
          <w:spacing w:val="-18"/>
        </w:rPr>
        <w:t> </w:t>
      </w:r>
      <w:r>
        <w:rPr/>
        <w:t>财务担保合同及贷款承诺</w:t>
      </w:r>
      <w:r>
        <w:rPr/>
        <w:t> </w:t>
      </w:r>
      <w:r>
        <w:rPr>
          <w:spacing w:val="-2"/>
        </w:rPr>
        <w:t>不属于指定为以公允价值计量且其变动计入当期损益的金融负债的财务担保合同，或没有指定为以公允价值计量且其变</w:t>
      </w:r>
    </w:p>
    <w:p>
      <w:pPr>
        <w:pStyle w:val="BodyText"/>
        <w:spacing w:line="300" w:lineRule="auto" w:before="19"/>
        <w:ind w:right="1128"/>
        <w:jc w:val="both"/>
      </w:pPr>
      <w:r>
        <w:rPr>
          <w:spacing w:val="-2"/>
        </w:rPr>
        <w:t>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w:t>
      </w:r>
      <w:r>
        <w:rPr>
          <w:spacing w:val="-60"/>
        </w:rPr>
        <w:t> </w:t>
      </w:r>
      <w:r>
        <w:rPr>
          <w:spacing w:val="-2"/>
        </w:rPr>
        <w:t>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w:t>
      </w:r>
      <w:r>
        <w:rPr>
          <w:spacing w:val="-61"/>
        </w:rPr>
        <w:t> </w:t>
      </w:r>
      <w:r>
        <w:rPr>
          <w:spacing w:val="-61"/>
        </w:rPr>
      </w:r>
      <w:r>
        <w:rPr/>
        <w:t>者进行后续计量。</w:t>
      </w:r>
    </w:p>
    <w:p>
      <w:pPr>
        <w:pStyle w:val="BodyText"/>
        <w:spacing w:line="300" w:lineRule="auto" w:before="31"/>
        <w:ind w:left="513"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right="1130"/>
        <w:jc w:val="both"/>
      </w:pPr>
      <w:r>
        <w:rPr>
          <w:spacing w:val="-2"/>
        </w:rPr>
        <w:t>订协议，以承担新金融负债方式替换现存金融负债，且新金融负债与现存金融负债的合同条款实质上不同的，终止确认现存</w:t>
      </w:r>
      <w:r>
        <w:rPr>
          <w:spacing w:val="-63"/>
        </w:rPr>
        <w:t> </w:t>
      </w:r>
      <w:r>
        <w:rPr>
          <w:spacing w:val="-63"/>
        </w:rPr>
      </w:r>
      <w:r>
        <w:rPr/>
        <w:t>金融负债，并同时确认新金融负债。</w:t>
      </w:r>
    </w:p>
    <w:p>
      <w:pPr>
        <w:pStyle w:val="BodyText"/>
        <w:spacing w:line="316" w:lineRule="auto" w:before="19"/>
        <w:ind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3"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31"/>
        <w:ind w:right="1131"/>
        <w:jc w:val="both"/>
      </w:pPr>
      <w:r>
        <w:rPr>
          <w:spacing w:val="-2"/>
        </w:rPr>
        <w:t>的衍生工具，其公允价值变动形成的利得或损失将根据套期关系的性质按照套期会计的要求确定计入损益的期间外，其余衍</w:t>
      </w:r>
      <w:r>
        <w:rPr>
          <w:spacing w:val="-63"/>
        </w:rPr>
        <w:t> </w:t>
      </w:r>
      <w:r>
        <w:rPr>
          <w:spacing w:val="-63"/>
        </w:rPr>
      </w:r>
      <w:r>
        <w:rPr/>
        <w:t>生工具的公允价值变动计入当期损益。</w:t>
      </w:r>
    </w:p>
    <w:p>
      <w:pPr>
        <w:pStyle w:val="BodyText"/>
        <w:spacing w:line="240" w:lineRule="auto" w:before="18"/>
        <w:ind w:left="513" w:right="0"/>
        <w:jc w:val="left"/>
      </w:pPr>
      <w:r>
        <w:rPr/>
        <w:t>对包含嵌入衍生工具的混合工具，如未指定为以公允价值计量且其变动计入当期损益的金融资产或金融负债，嵌入衍生</w:t>
      </w:r>
    </w:p>
    <w:p>
      <w:pPr>
        <w:spacing w:after="0" w:line="240" w:lineRule="auto"/>
        <w:jc w:val="left"/>
        <w:sectPr>
          <w:footerReference w:type="default" r:id="rId18"/>
          <w:pgSz w:w="11910" w:h="16840"/>
          <w:pgMar w:footer="980" w:header="745"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7"/>
        <w:ind w:left="513"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0"/>
        <w:jc w:val="left"/>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pStyle w:val="BodyText"/>
        <w:spacing w:line="300" w:lineRule="auto" w:before="19"/>
        <w:ind w:left="513" w:right="1133"/>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3" w:right="1033" w:hanging="361"/>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8"/>
        <w:gridCol w:w="5742"/>
      </w:tblGrid>
      <w:tr>
        <w:trPr>
          <w:trHeight w:val="715"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本公司将单项金额在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万元以上（含）的应收账款、单项金额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以上（含）的其他应收款，确定为单项金额重大的应收款项。</w:t>
            </w:r>
          </w:p>
        </w:tc>
      </w:tr>
      <w:tr>
        <w:trPr>
          <w:trHeight w:val="133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3"/>
                <w:sz w:val="18"/>
                <w:szCs w:val="18"/>
              </w:rPr>
              <w:t>本公司对单项金额重大的应收款项单独进行减值测试，单独测试未发生减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值的金融资产，包括在具有类似信用风险特征的金融资产组合中进行减值</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测试。单项测试已确认减值损失的应收款项，不再包括在具有类似信用风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险特征的应收款项组合中进行减值测试。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应收合并范围内关联方等特殊风险组合</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133"/>
        <w:jc w:val="left"/>
      </w:pPr>
      <w:r>
        <w:rPr/>
        <w:t>组合中，采用账龄分析法计提坏账准备的：</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BodyText"/>
        <w:spacing w:line="240" w:lineRule="auto" w:before="44"/>
        <w:ind w:left="0" w:right="1141"/>
        <w:jc w:val="right"/>
      </w:pPr>
      <w:r>
        <w:rPr/>
        <w:pict>
          <v:shape style="position:absolute;margin-left:56.459999pt;margin-top:-36.36829pt;width:479.2pt;height:56.3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9"/>
                    <w:gridCol w:w="7161"/>
                  </w:tblGrid>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有客观证据表明其发生了减值的，这些特征包括：与对方存在争议或涉及诉讼、仲裁的应 收款项；已有明显迹象表明债务人很可能无法履行还款义务的应收款项。</w:t>
                        </w:r>
                        <w:r>
                          <w:rPr>
                            <w:rFonts w:ascii="宋体" w:hAnsi="宋体" w:cs="宋体" w:eastAsia="宋体" w:hint="default"/>
                            <w:sz w:val="18"/>
                            <w:szCs w:val="18"/>
                          </w:rPr>
                          <w:t> </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根据应收款项的未来现金流量现值低于其账面价值的差额，确认减值损失，计提坏账准备</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8"/>
        <w:ind w:right="0"/>
        <w:jc w:val="both"/>
      </w:pPr>
      <w:r>
        <w:rPr/>
        <w:t>软件与信息技术服务业</w:t>
      </w:r>
    </w:p>
    <w:p>
      <w:pPr>
        <w:pStyle w:val="BodyText"/>
        <w:spacing w:line="300" w:lineRule="auto" w:before="115"/>
        <w:ind w:left="513" w:right="6793"/>
        <w:jc w:val="left"/>
      </w:pPr>
      <w:r>
        <w:rPr/>
        <w:t>（</w:t>
      </w:r>
      <w:r>
        <w:rPr>
          <w:rFonts w:ascii="Times New Roman" w:hAnsi="Times New Roman" w:cs="Times New Roman" w:eastAsia="Times New Roman" w:hint="default"/>
        </w:rPr>
        <w:t>1</w:t>
      </w:r>
      <w:r>
        <w:rPr/>
        <w:t>）存货的分类 存货主要包括原材料、在产品、库存商品等。</w:t>
      </w:r>
    </w:p>
    <w:p>
      <w:pPr>
        <w:pStyle w:val="BodyText"/>
        <w:spacing w:line="300" w:lineRule="auto" w:before="31"/>
        <w:ind w:left="513" w:right="121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存货在取得时按实际成本计价，存货成本包括采购成本、加工成本和其他成本。领用和发出时按个别认定法等计价；</w:t>
      </w:r>
    </w:p>
    <w:p>
      <w:pPr>
        <w:pStyle w:val="BodyText"/>
        <w:spacing w:line="300" w:lineRule="auto" w:before="31"/>
        <w:ind w:left="513"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3" w:right="1034" w:hanging="361"/>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right="1131"/>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5"/>
        </w:rPr>
        <w:t> </w:t>
      </w:r>
      <w:r>
        <w:rPr>
          <w:spacing w:val="-65"/>
        </w:rPr>
      </w:r>
      <w:r>
        <w:rPr/>
        <w:t>并计提存货跌价准备。</w:t>
      </w:r>
    </w:p>
    <w:p>
      <w:pPr>
        <w:pStyle w:val="BodyText"/>
        <w:spacing w:line="316" w:lineRule="auto" w:before="19"/>
        <w:ind w:right="1130"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9"/>
        <w:ind w:left="513" w:right="1133"/>
        <w:jc w:val="left"/>
      </w:pPr>
      <w:r>
        <w:rPr/>
        <w:t>（</w:t>
      </w:r>
      <w:r>
        <w:rPr>
          <w:rFonts w:ascii="Times New Roman" w:hAnsi="Times New Roman" w:cs="Times New Roman" w:eastAsia="Times New Roman" w:hint="default"/>
        </w:rPr>
        <w:t>4</w:t>
      </w:r>
      <w:r>
        <w:rPr/>
        <w:t>）存货的盘存制度为永续盘存制。</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9" w:lineRule="auto"/>
        <w:ind w:right="113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2"/>
        </w:rPr>
        <w:t> </w:t>
      </w:r>
      <w:r>
        <w:rPr>
          <w:spacing w:val="-62"/>
        </w:rPr>
      </w:r>
      <w:r>
        <w:rPr/>
        <w:t>方一起共同控制这些政策的制定。</w:t>
      </w:r>
    </w:p>
    <w:p>
      <w:pPr>
        <w:pStyle w:val="BodyText"/>
        <w:spacing w:line="300" w:lineRule="auto" w:before="17"/>
        <w:ind w:left="513" w:right="1163"/>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w:t>
      </w:r>
      <w:r>
        <w:rPr>
          <w:rFonts w:ascii="Times New Roman" w:hAnsi="Times New Roman" w:cs="Times New Roman" w:eastAsia="Times New Roman" w:hint="default"/>
        </w:rPr>
        <w:t>/</w:t>
      </w:r>
      <w:r>
        <w:rPr/>
        <w:t>所有者权益在最终控制方合并财务</w:t>
      </w:r>
    </w:p>
    <w:p>
      <w:pPr>
        <w:pStyle w:val="BodyText"/>
        <w:spacing w:line="312" w:lineRule="auto" w:before="13"/>
        <w:ind w:right="1130"/>
        <w:jc w:val="both"/>
      </w:pPr>
      <w:r>
        <w:rPr>
          <w:spacing w:val="-2"/>
        </w:rPr>
        <w:t>报表中的账面价值的份额作为长期股权投资的初始投资成本。长期股权投资初始投资成本与支付的现金、转让的非现金资产</w:t>
      </w:r>
      <w:r>
        <w:rPr>
          <w:spacing w:val="-64"/>
        </w:rPr>
        <w:t> </w:t>
      </w:r>
      <w:r>
        <w:rPr>
          <w:spacing w:val="-64"/>
        </w:rPr>
      </w:r>
      <w:r>
        <w:rPr>
          <w:spacing w:val="-2"/>
        </w:rPr>
        <w:t>以及所承担债务账面价值之间的差额，调整资本公积；资本公积不足冲减的，调整留存收益。以发行权益性证券作为合并对</w:t>
      </w:r>
      <w:r>
        <w:rPr>
          <w:spacing w:val="-64"/>
        </w:rPr>
        <w:t> </w:t>
      </w:r>
      <w:r>
        <w:rPr>
          <w:spacing w:val="-64"/>
        </w:rPr>
      </w:r>
      <w:r>
        <w:rPr/>
        <w:t>价的，在合并日按照被合并方股东权益</w:t>
      </w:r>
      <w:r>
        <w:rPr>
          <w:rFonts w:ascii="Times New Roman" w:hAnsi="Times New Roman" w:cs="Times New Roman" w:eastAsia="Times New Roman" w:hint="default"/>
        </w:rPr>
        <w:t>/</w:t>
      </w:r>
      <w:r>
        <w:rPr/>
        <w:t>所有者权益在最终控制方合并财务报表中的账面价值的份额作为长期股权投资的初 </w:t>
      </w:r>
      <w:r>
        <w:rPr>
          <w:spacing w:val="-2"/>
        </w:rPr>
        <w:t>始投资成本，按照发行股份的面值总额作为股本，长期股权投资初始投资成本与所发行股份面值总额之间的差额，调整资本</w:t>
      </w:r>
    </w:p>
    <w:p>
      <w:pPr>
        <w:spacing w:after="0" w:line="312"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0"/>
        <w:jc w:val="left"/>
      </w:pPr>
      <w:r>
        <w:rPr>
          <w:spacing w:val="-2"/>
        </w:rPr>
        <w:t>公积；资本公积不足冲减的，调整留存收益。通过多次交易分步取得同一控制下被合并方的股权，最终形成同一控制下企业</w:t>
      </w:r>
      <w:r>
        <w:rPr>
          <w:spacing w:val="-64"/>
        </w:rPr>
        <w:t> </w:t>
      </w:r>
      <w:r>
        <w:rPr>
          <w:spacing w:val="-64"/>
        </w:rPr>
      </w:r>
      <w:r>
        <w:rPr>
          <w:spacing w:val="-1"/>
        </w:rPr>
        <w:t>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w:t>
      </w:r>
      <w:r>
        <w:rPr>
          <w:spacing w:val="-77"/>
        </w:rPr>
        <w:t> </w:t>
      </w:r>
      <w:r>
        <w:rPr>
          <w:spacing w:val="-77"/>
        </w:rPr>
      </w:r>
      <w:r>
        <w:rPr/>
        <w:t>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w:t>
      </w:r>
      <w:r>
        <w:rPr>
          <w:rFonts w:ascii="Times New Roman" w:hAnsi="Times New Roman" w:cs="Times New Roman" w:eastAsia="Times New Roman" w:hint="default"/>
        </w:rPr>
        <w:t>/</w:t>
      </w:r>
      <w:r>
        <w:rPr/>
        <w:t>所有者权益在最终控制方合并财务报表中的账面价值 </w:t>
      </w:r>
      <w:r>
        <w:rPr>
          <w:spacing w:val="-2"/>
        </w:rPr>
        <w:t>的份额作为长期股权投资的初始投资成本，长期股权投资初始投资成本与达到合并前的长期股权投资账面价值加上合并日进</w:t>
      </w:r>
      <w:r>
        <w:rPr>
          <w:spacing w:val="-64"/>
        </w:rPr>
        <w:t> </w:t>
      </w:r>
      <w:r>
        <w:rPr>
          <w:spacing w:val="-64"/>
        </w:rPr>
      </w:r>
      <w:r>
        <w:rPr>
          <w:spacing w:val="-2"/>
        </w:rPr>
        <w:t>一步取得股份新支付对价的账面价值之和的差额，调整资本公积；资本公积不足冲减的，调整留存收益。合并日之前持有的</w:t>
      </w:r>
      <w:r>
        <w:rPr>
          <w:spacing w:val="-64"/>
        </w:rPr>
        <w:t> </w:t>
      </w:r>
      <w:r>
        <w:rPr>
          <w:spacing w:val="-64"/>
        </w:rPr>
      </w:r>
      <w:r>
        <w:rPr/>
        <w:t>股权投资因采用权益法核算或为可供出售金融资产而确认的其他综合收益，暂不进行会计处理。</w:t>
      </w:r>
    </w:p>
    <w:p>
      <w:pPr>
        <w:pStyle w:val="BodyText"/>
        <w:spacing w:line="312" w:lineRule="auto" w:before="22"/>
        <w:ind w:right="1042"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4"/>
        </w:rPr>
        <w:t> </w:t>
      </w:r>
      <w:r>
        <w:rPr>
          <w:spacing w:val="-44"/>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w w:val="100"/>
        </w:rPr>
        <w:t>取得控制权的交易进行会计处理。不属于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的，按照原持有被购买方的股权投资账面价值加上新增投资成本之和，</w:t>
      </w:r>
      <w:r>
        <w:rPr>
          <w:spacing w:val="-76"/>
          <w:w w:val="100"/>
        </w:rPr>
        <w:t> </w:t>
      </w:r>
      <w:r>
        <w:rPr>
          <w:spacing w:val="-76"/>
          <w:w w:val="100"/>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3"/>
        </w:rPr>
        <w:t> </w:t>
      </w:r>
      <w:r>
        <w:rPr>
          <w:spacing w:val="-63"/>
        </w:rPr>
      </w:r>
      <w:r>
        <w:rPr/>
        <w:t>变动转入当期损益。</w:t>
      </w:r>
    </w:p>
    <w:p>
      <w:pPr>
        <w:pStyle w:val="BodyText"/>
        <w:spacing w:line="240" w:lineRule="auto" w:before="23"/>
        <w:ind w:left="513" w:right="0"/>
        <w:jc w:val="left"/>
      </w:pPr>
      <w:r>
        <w:rPr/>
        <w:t>合并方或购买方为企业合并发生的审计、法律服务、评估咨询等中介费用以及其他相关管理费用，于发生时计入当期损</w:t>
      </w:r>
    </w:p>
    <w:p>
      <w:pPr>
        <w:pStyle w:val="BodyText"/>
        <w:spacing w:line="240" w:lineRule="auto" w:before="76"/>
        <w:ind w:right="1133"/>
        <w:jc w:val="left"/>
      </w:pPr>
      <w:r>
        <w:rPr/>
        <w:t>益。</w:t>
      </w:r>
    </w:p>
    <w:p>
      <w:pPr>
        <w:pStyle w:val="BodyText"/>
        <w:spacing w:line="240" w:lineRule="auto" w:before="76"/>
        <w:ind w:left="513" w:right="0"/>
        <w:jc w:val="left"/>
      </w:pPr>
      <w:r>
        <w:rPr/>
        <w:t>除企业合并形成的长期股权投资外的其他股权投资，按成本进行初始计量，该成本视长期股权投资取得方式的不同，分</w:t>
      </w:r>
    </w:p>
    <w:p>
      <w:pPr>
        <w:pStyle w:val="BodyText"/>
        <w:spacing w:line="314" w:lineRule="auto" w:before="76"/>
        <w:ind w:right="1129"/>
        <w:jc w:val="both"/>
      </w:pPr>
      <w:r>
        <w:rPr>
          <w:spacing w:val="-2"/>
        </w:rPr>
        <w:t>别按照本公司实际支付的现金购买价款、本公司发行的权益性证券的公允价值、投资合同或协议约定的价值、非货币性资产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关的费用、税金及其他必要支出也计入投资成本。对于因追加投资等能够对被投资单位实施重大影响或实施共同控制但不构</w:t>
      </w:r>
      <w:r>
        <w:rPr>
          <w:spacing w:val="-64"/>
        </w:rPr>
        <w:t> </w:t>
      </w:r>
      <w:r>
        <w:rPr>
          <w:spacing w:val="-64"/>
        </w:rPr>
      </w:r>
      <w:r>
        <w:rPr>
          <w:spacing w:val="-2"/>
        </w:rPr>
        <w:t>成控制的，长期股权投资成本为按照《企业会计准则第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w:t>
      </w:r>
      <w:r>
        <w:rPr>
          <w:spacing w:val="-61"/>
        </w:rPr>
        <w:t> </w:t>
      </w:r>
      <w:r>
        <w:rPr>
          <w:spacing w:val="-61"/>
        </w:rPr>
      </w:r>
      <w:r>
        <w:rPr/>
        <w:t>上新增投资成本之和。</w:t>
      </w:r>
    </w:p>
    <w:p>
      <w:pPr>
        <w:pStyle w:val="BodyText"/>
        <w:spacing w:line="300" w:lineRule="auto" w:before="20"/>
        <w:ind w:left="513" w:right="1133"/>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0"/>
        <w:jc w:val="both"/>
      </w:pPr>
      <w:r>
        <w:rPr/>
        <w:t>表采用成本法核算能够对被投资单位实施控制的长期股权投资。</w:t>
      </w:r>
    </w:p>
    <w:p>
      <w:pPr>
        <w:pStyle w:val="BodyText"/>
        <w:spacing w:line="319" w:lineRule="auto" w:before="76"/>
        <w:ind w:left="513" w:right="0"/>
        <w:jc w:val="left"/>
      </w:pPr>
      <w:r>
        <w:rPr/>
        <w:t>①</w:t>
      </w:r>
      <w:r>
        <w:rPr>
          <w:spacing w:val="-18"/>
        </w:rPr>
        <w:t> </w:t>
      </w:r>
      <w:r>
        <w:rPr/>
        <w:t>成本法核算的长期股权投资</w:t>
      </w:r>
      <w:r>
        <w:rPr/>
        <w:t> </w:t>
      </w:r>
      <w:r>
        <w:rPr>
          <w:spacing w:val="-2"/>
        </w:rPr>
        <w:t>采用成本法核算时，长期股权投资按初始投资成本计价，追加或收回投资调整长期股权投资的成本。除取得投资时实际</w:t>
      </w:r>
    </w:p>
    <w:p>
      <w:pPr>
        <w:pStyle w:val="BodyText"/>
        <w:spacing w:line="316" w:lineRule="auto" w:before="17"/>
        <w:ind w:right="1131"/>
        <w:jc w:val="both"/>
      </w:pPr>
      <w:r>
        <w:rPr>
          <w:spacing w:val="-2"/>
        </w:rPr>
        <w:t>支付的价款或者对价中包含的已宣告但尚未发放的现金股利或者利润外，当期投资收益按照享有被投资单位宣告发放的现金</w:t>
      </w:r>
      <w:r>
        <w:rPr>
          <w:spacing w:val="-63"/>
        </w:rPr>
        <w:t> </w:t>
      </w:r>
      <w:r>
        <w:rPr>
          <w:spacing w:val="-63"/>
        </w:rPr>
      </w:r>
      <w:r>
        <w:rPr/>
        <w:t>股利或利润确认。</w:t>
      </w:r>
    </w:p>
    <w:p>
      <w:pPr>
        <w:pStyle w:val="BodyText"/>
        <w:spacing w:line="316" w:lineRule="auto" w:before="19"/>
        <w:ind w:left="513" w:right="0"/>
        <w:jc w:val="left"/>
      </w:pPr>
      <w:r>
        <w:rPr/>
        <w:t>②</w:t>
      </w:r>
      <w:r>
        <w:rPr>
          <w:spacing w:val="-18"/>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right="1133"/>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4"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1"/>
        </w:rPr>
        <w:t> </w:t>
      </w:r>
      <w:r>
        <w:rPr>
          <w:spacing w:val="-61"/>
        </w:rPr>
      </w:r>
      <w:r>
        <w:rPr>
          <w:spacing w:val="-2"/>
        </w:rPr>
        <w:t>期股权投资的账面价值；对于被投资单位除净损益、其他综合收益和利润分配以外所有者权益的其他变动，调整长期股权投</w:t>
      </w:r>
      <w:r>
        <w:rPr>
          <w:spacing w:val="-63"/>
        </w:rPr>
        <w:t> </w:t>
      </w:r>
      <w:r>
        <w:rPr>
          <w:spacing w:val="-63"/>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3"/>
        </w:rPr>
        <w:t> </w:t>
      </w:r>
      <w:r>
        <w:rPr>
          <w:spacing w:val="-63"/>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3"/>
        </w:rPr>
        <w:t> </w:t>
      </w:r>
      <w:r>
        <w:rPr>
          <w:spacing w:val="-63"/>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3"/>
        </w:rPr>
        <w:t> </w:t>
      </w:r>
      <w:r>
        <w:rPr>
          <w:spacing w:val="-63"/>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相关的利得或损失。 </w:t>
      </w:r>
      <w:r>
        <w:rPr>
          <w:spacing w:val="-2"/>
        </w:rPr>
        <w:t>在确认应分担被投资单位发生的净亏损时，以长期股权投资的账面价值和其他实质上构成对被投资单位净投资的长期权</w:t>
      </w:r>
    </w:p>
    <w:p>
      <w:pPr>
        <w:pStyle w:val="BodyText"/>
        <w:spacing w:line="316" w:lineRule="auto" w:before="17"/>
        <w:ind w:right="0"/>
        <w:jc w:val="left"/>
      </w:pP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316" w:lineRule="auto" w:before="19"/>
        <w:ind w:left="513" w:right="0"/>
        <w:jc w:val="left"/>
      </w:pPr>
      <w:r>
        <w:rPr/>
        <w:t>③</w:t>
      </w:r>
      <w:r>
        <w:rPr>
          <w:spacing w:val="-18"/>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19"/>
        <w:ind w:right="1133"/>
        <w:jc w:val="left"/>
      </w:pPr>
      <w:r>
        <w:rPr/>
        <w:t>日）开始持续计算的净资产份额之间的差额，调整资本公积，资本公积不足冲减的，调整留存收益。</w:t>
      </w:r>
    </w:p>
    <w:p>
      <w:pPr>
        <w:pStyle w:val="BodyText"/>
        <w:spacing w:line="316" w:lineRule="auto" w:before="76"/>
        <w:ind w:left="513" w:right="0"/>
        <w:jc w:val="left"/>
      </w:pPr>
      <w:r>
        <w:rPr/>
        <w:t>④</w:t>
      </w:r>
      <w:r>
        <w:rPr>
          <w:spacing w:val="-18"/>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3"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13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3"/>
        </w:rPr>
        <w:t> </w:t>
      </w:r>
      <w:r>
        <w:rPr>
          <w:spacing w:val="-63"/>
        </w:rPr>
      </w:r>
      <w:r>
        <w:rPr/>
        <w:t>外的其他所有者权益变动按比例结转当期损益。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8593"/>
        <w:jc w:val="left"/>
      </w:pPr>
      <w:r>
        <w:rPr/>
        <w:t>投资性房地产计量模式 成本法计量 折旧或摊销方法</w:t>
      </w:r>
    </w:p>
    <w:p>
      <w:pPr>
        <w:pStyle w:val="BodyText"/>
        <w:spacing w:line="316" w:lineRule="auto" w:before="19"/>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转让的土地使用权、已出租的建筑物等。此外，对于本公司持有以备经营出租的空置建筑物，若董事会（或类似机构）作出</w:t>
      </w:r>
      <w:r>
        <w:rPr>
          <w:spacing w:val="-68"/>
        </w:rPr>
        <w:t> </w:t>
      </w:r>
      <w:r>
        <w:rPr>
          <w:spacing w:val="-68"/>
        </w:rPr>
      </w:r>
      <w:r>
        <w:rPr/>
        <w:t>书面决议，明确表示将其用于经营出租且持有意图短期内不再发生变化的，也作为投资性房地产列报。</w:t>
      </w:r>
    </w:p>
    <w:p>
      <w:pPr>
        <w:pStyle w:val="BodyText"/>
        <w:spacing w:line="316" w:lineRule="auto" w:before="19"/>
        <w:ind w:right="113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240" w:lineRule="auto" w:before="19"/>
        <w:ind w:left="513" w:right="1133"/>
        <w:jc w:val="left"/>
      </w:pPr>
      <w:r>
        <w:rPr/>
        <w:t>本公司采用成本模式对投资性房地产进行后续计量，并按照与房屋建筑物或土地使用权一致的政策进行折旧或摊销。</w:t>
      </w:r>
    </w:p>
    <w:p>
      <w:pPr>
        <w:spacing w:line="240" w:lineRule="auto" w:before="11"/>
        <w:rPr>
          <w:rFonts w:ascii="宋体" w:hAnsi="宋体" w:cs="宋体" w:eastAsia="宋体" w:hint="default"/>
          <w:sz w:val="5"/>
          <w:szCs w:val="5"/>
        </w:rPr>
      </w:pPr>
    </w:p>
    <w:p>
      <w:pPr>
        <w:spacing w:line="915" w:lineRule="exact"/>
        <w:ind w:left="153" w:right="0" w:firstLine="0"/>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5473967" cy="58102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9" cstate="print"/>
                    <a:stretch>
                      <a:fillRect/>
                    </a:stretch>
                  </pic:blipFill>
                  <pic:spPr>
                    <a:xfrm>
                      <a:off x="0" y="0"/>
                      <a:ext cx="5473967" cy="581025"/>
                    </a:xfrm>
                    <a:prstGeom prst="rect">
                      <a:avLst/>
                    </a:prstGeom>
                  </pic:spPr>
                </pic:pic>
              </a:graphicData>
            </a:graphic>
          </wp:inline>
        </w:drawing>
      </w:r>
      <w:r>
        <w:rPr>
          <w:rFonts w:ascii="宋体" w:hAnsi="宋体" w:cs="宋体" w:eastAsia="宋体" w:hint="default"/>
          <w:position w:val="-17"/>
          <w:sz w:val="20"/>
          <w:szCs w:val="20"/>
        </w:rPr>
      </w:r>
    </w:p>
    <w:p>
      <w:pPr>
        <w:pStyle w:val="BodyText"/>
        <w:spacing w:line="309" w:lineRule="auto" w:before="21"/>
        <w:ind w:right="0"/>
        <w:jc w:val="left"/>
      </w:pPr>
      <w:r>
        <w:rPr/>
        <w:t>注：本年新增的投资性房地产预计使用寿命为</w:t>
      </w:r>
      <w:r>
        <w:rPr>
          <w:rFonts w:ascii="Times New Roman" w:hAnsi="Times New Roman" w:cs="Times New Roman" w:eastAsia="Times New Roman" w:hint="default"/>
        </w:rPr>
        <w:t>40</w:t>
      </w:r>
      <w:r>
        <w:rPr/>
        <w:t>年，原投资性房地产预计使用寿命保持不变。 投资性房地产的减值测试方法和减值准备计提方法详见附注五、</w:t>
      </w:r>
      <w:r>
        <w:rPr>
          <w:rFonts w:ascii="Times New Roman" w:hAnsi="Times New Roman" w:cs="Times New Roman" w:eastAsia="Times New Roman" w:hint="default"/>
        </w:rPr>
        <w:t>22</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 自用房地产转换为投资性房地产或投资性房地产转换为自用房地产时，按转换前的账面价值作为转换后的入账价值。 </w:t>
      </w:r>
      <w:r>
        <w:rPr>
          <w:spacing w:val="-2"/>
        </w:rPr>
        <w:t>当投资性房地产被处置、或者永久退出使用且预计不能从其处置中取得经济利益时，终止确认该项投资性房地产。投资性房</w:t>
      </w:r>
      <w:r>
        <w:rPr>
          <w:spacing w:val="-63"/>
        </w:rPr>
        <w:t> </w:t>
      </w:r>
      <w:r>
        <w:rPr>
          <w:spacing w:val="-63"/>
        </w:rPr>
      </w:r>
      <w:r>
        <w:rPr/>
        <w:t>地产出售、转让、报废或毁损的处置收入扣除其账面价值和相关税费后计入当期损益。</w:t>
      </w:r>
    </w:p>
    <w:p>
      <w:pPr>
        <w:spacing w:after="0" w:line="309"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2.38-4.75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3"/>
        </w:rPr>
        <w:t> </w:t>
      </w:r>
      <w:r>
        <w:rPr>
          <w:spacing w:val="-63"/>
        </w:rPr>
      </w:r>
      <w:r>
        <w:rPr/>
        <w:t>命两者中较短的期间内计提折旧。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left="513" w:right="0" w:hanging="361"/>
        <w:jc w:val="left"/>
      </w:pPr>
      <w:r>
        <w:rPr/>
        <w:t>软件与信息技术服务业 </w:t>
      </w:r>
      <w:r>
        <w:rPr>
          <w:spacing w:val="-2"/>
        </w:rPr>
        <w:t>在建工程成本按实际工程支出确定，包括在建期间发生的各项工程支出、工程达到预定可使用状态前的资本化的借款费</w:t>
      </w:r>
    </w:p>
    <w:p>
      <w:pPr>
        <w:pStyle w:val="BodyText"/>
        <w:spacing w:line="222" w:lineRule="exact"/>
        <w:ind w:right="1133"/>
        <w:jc w:val="left"/>
      </w:pPr>
      <w:r>
        <w:rPr/>
        <w:t>用以及其他相关费用等。在建工程在达到预定可使用状态后结转为固定资产。</w:t>
      </w:r>
    </w:p>
    <w:p>
      <w:pPr>
        <w:pStyle w:val="BodyText"/>
        <w:spacing w:line="240" w:lineRule="auto" w:before="76"/>
        <w:ind w:left="513" w:right="1133"/>
        <w:jc w:val="left"/>
      </w:pPr>
      <w:r>
        <w:rPr/>
        <w:t>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29"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7"/>
        <w:ind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3"/>
        </w:rPr>
        <w:t> </w:t>
      </w:r>
      <w:r>
        <w:rPr>
          <w:spacing w:val="-63"/>
        </w:rPr>
      </w:r>
      <w:r>
        <w:rPr/>
        <w:t>率，确定资本化金额。资本化率根据一般借款的加权平均利率计算确定。</w:t>
      </w:r>
    </w:p>
    <w:p>
      <w:pPr>
        <w:pStyle w:val="BodyText"/>
        <w:spacing w:line="316" w:lineRule="auto" w:before="19"/>
        <w:ind w:left="51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240" w:lineRule="auto" w:before="18"/>
        <w:ind w:right="1133"/>
        <w:jc w:val="left"/>
      </w:pPr>
      <w:r>
        <w:rPr/>
        <w:t>性房地产和存货等资产。</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9" w:firstLine="360"/>
        <w:jc w:val="both"/>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 本化，直至资产的购建或生产活动重新开始。</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left="513" w:right="4453" w:hanging="361"/>
        <w:jc w:val="left"/>
      </w:pPr>
      <w:r>
        <w:rPr/>
        <w:t>软件与信息技术服务业 无形资产是指本公司拥有或者控制的没有实物形态的可辨认非货币性资产。</w:t>
      </w:r>
    </w:p>
    <w:p>
      <w:pPr>
        <w:pStyle w:val="BodyText"/>
        <w:spacing w:line="222" w:lineRule="exact"/>
        <w:ind w:left="513" w:right="0"/>
        <w:jc w:val="left"/>
      </w:pPr>
      <w:r>
        <w:rPr/>
        <w:t>无形资产按成本进行初始计量</w:t>
      </w:r>
      <w:r>
        <w:rPr>
          <w:spacing w:val="-87"/>
        </w:rPr>
        <w:t>。</w:t>
      </w:r>
      <w:r>
        <w:rPr/>
        <w:t>与无形资产有关的支出</w:t>
      </w:r>
      <w:r>
        <w:rPr>
          <w:spacing w:val="-87"/>
        </w:rPr>
        <w:t>，</w:t>
      </w:r>
      <w:r>
        <w:rPr/>
        <w:t>如果相关的经济利益很可能流入本公司且其成本能可靠地计量，</w:t>
      </w:r>
    </w:p>
    <w:p>
      <w:pPr>
        <w:pStyle w:val="BodyText"/>
        <w:spacing w:line="316" w:lineRule="auto" w:before="76"/>
        <w:ind w:left="513" w:right="0" w:hanging="361"/>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0"/>
        <w:jc w:val="left"/>
      </w:pPr>
      <w:r>
        <w:rPr>
          <w:spacing w:val="-2"/>
        </w:rPr>
        <w:t>别作为无形资产和固定资产核算。如为外购的房屋及建筑物，则将有关价款在土地使用权和建筑物之间进行分配，难以合理</w:t>
      </w:r>
      <w:r>
        <w:rPr>
          <w:spacing w:val="-62"/>
        </w:rPr>
        <w:t> </w:t>
      </w:r>
      <w:r>
        <w:rPr>
          <w:spacing w:val="-62"/>
        </w:rPr>
      </w:r>
      <w:r>
        <w:rPr/>
        <w:t>分配的，全部作为固定资产处理。</w:t>
      </w:r>
    </w:p>
    <w:p>
      <w:pPr>
        <w:pStyle w:val="BodyText"/>
        <w:spacing w:line="316" w:lineRule="auto" w:before="19"/>
        <w:ind w:right="1132"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right="1133"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3" w:right="1133"/>
        <w:jc w:val="left"/>
      </w:pPr>
      <w:r>
        <w:rPr/>
        <w:t>①</w:t>
      </w:r>
      <w:r>
        <w:rPr>
          <w:spacing w:val="-18"/>
        </w:rPr>
        <w:t> </w:t>
      </w:r>
      <w:r>
        <w:rPr/>
        <w:t>完成该无形资产以使其能够使用或出售在技术上具有可行性；</w:t>
      </w:r>
    </w:p>
    <w:p>
      <w:pPr>
        <w:pStyle w:val="BodyText"/>
        <w:spacing w:line="240" w:lineRule="auto" w:before="76"/>
        <w:ind w:left="513" w:right="1133"/>
        <w:jc w:val="left"/>
      </w:pPr>
      <w:r>
        <w:rPr/>
        <w:t>②</w:t>
      </w:r>
      <w:r>
        <w:rPr>
          <w:spacing w:val="-18"/>
        </w:rPr>
        <w:t> </w:t>
      </w:r>
      <w:r>
        <w:rPr/>
        <w:t>具有完成该无形资产并使用或出售的意图；</w:t>
      </w:r>
    </w:p>
    <w:p>
      <w:pPr>
        <w:pStyle w:val="BodyText"/>
        <w:spacing w:line="316" w:lineRule="auto" w:before="76"/>
        <w:ind w:right="1159" w:firstLine="360"/>
        <w:jc w:val="both"/>
      </w:pPr>
      <w:r>
        <w:rPr/>
        <w:t>③</w:t>
      </w:r>
      <w:r>
        <w:rPr>
          <w:spacing w:val="-18"/>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13" w:right="1133"/>
        <w:jc w:val="left"/>
      </w:pPr>
      <w:r>
        <w:rPr/>
        <w:t>④</w:t>
      </w:r>
      <w:r>
        <w:rPr>
          <w:spacing w:val="-18"/>
        </w:rPr>
        <w:t> </w:t>
      </w:r>
      <w:r>
        <w:rPr/>
        <w:t>有足够的技术、财务资源和其他资源支持，以完成该无形资产的开发，并有能力使用或出售该无形资产；</w:t>
      </w:r>
    </w:p>
    <w:p>
      <w:pPr>
        <w:pStyle w:val="BodyText"/>
        <w:spacing w:line="319" w:lineRule="auto" w:before="76"/>
        <w:ind w:left="513" w:right="3913"/>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3"/>
        </w:rPr>
        <w:t> </w:t>
      </w:r>
      <w:r>
        <w:rPr>
          <w:spacing w:val="-63"/>
        </w:rPr>
      </w:r>
      <w:r>
        <w:rPr>
          <w:spacing w:val="-2"/>
        </w:rPr>
        <w:t>回金额，进行减值测试。商誉、使用寿命不确定的无形资产和尚未达到可使用状态的无形资产，无论是否存在减值迹象，每</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年均进行减值测试。 </w:t>
      </w:r>
      <w:r>
        <w:rPr>
          <w:spacing w:val="-2"/>
        </w:rPr>
        <w:t>减值测试结果表明资产的可收回金额低于其账面价值的，按其差额计提减值准备并计入减值损失。可收回金额为资产的</w:t>
      </w:r>
    </w:p>
    <w:p>
      <w:pPr>
        <w:pStyle w:val="BodyText"/>
        <w:spacing w:line="316" w:lineRule="auto" w:before="17"/>
        <w:ind w:right="0"/>
        <w:jc w:val="left"/>
      </w:pP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3"/>
        </w:rPr>
        <w:t> </w:t>
      </w:r>
      <w:r>
        <w:rPr>
          <w:spacing w:val="-63"/>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3" w:right="113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长期待摊费用为已经发生但应由报告期和以后各期负担的分摊期限在一年以上的各项费用。本公司的长期待摊费用主要</w:t>
      </w:r>
      <w:r>
        <w:rPr/>
        <w:t> 包括租入固定资产装修，出租固定资产装修长期待摊费用在预计受益期间按直线法摊销。</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离职后福利主要包括基本养老保险、失业保险等。离职后福利计划包括设定提存计划。采用设定提存计划的，相应的应</w:t>
      </w:r>
      <w:r>
        <w:rPr/>
        <w:t> 缴存金额于发生时计入相关资产成本或当期损益。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7"/>
        <w:ind w:right="0" w:firstLine="360"/>
        <w:jc w:val="left"/>
      </w:pPr>
      <w:r>
        <w:rPr>
          <w:spacing w:val="-2"/>
        </w:rPr>
        <w:t>职工内部退休计划采用与上述辞退福利相同的原则处理。本公司将自职工停止提供服务日至正常退休日的期间拟支付的</w:t>
      </w:r>
      <w:r>
        <w:rPr/>
        <w:t> 内退人员工资和缴纳的社会保险费等，在符合预计负债确认条件时，计入当期损益（辞退福利）。</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本公司向职工提供的其他长期职工福利，符合设定提存计划的，按照设定提存计划进行会计处理，除此之外按照设定受</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益计划进行会计处理。</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当与或有事项相关的义务同时符合以下条件，确认为预计负债：</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）履行该义务很可能导致经济利益流出；</w:t>
      </w:r>
    </w:p>
    <w:p>
      <w:pPr>
        <w:pStyle w:val="BodyText"/>
        <w:spacing w:line="300" w:lineRule="auto" w:before="63"/>
        <w:ind w:left="513" w:right="0"/>
        <w:jc w:val="left"/>
      </w:pPr>
      <w:r>
        <w:rPr/>
        <w:t>（</w:t>
      </w:r>
      <w:r>
        <w:rPr>
          <w:rFonts w:ascii="Times New Roman" w:hAnsi="Times New Roman" w:cs="Times New Roman" w:eastAsia="Times New Roman" w:hint="default"/>
        </w:rPr>
        <w:t>3</w:t>
      </w:r>
      <w:r>
        <w:rPr/>
        <w:t>）该义务的金额能够可靠地计量。 </w:t>
      </w:r>
      <w:r>
        <w:rPr>
          <w:spacing w:val="-2"/>
        </w:rPr>
        <w:t>在资产负债表日，考虑与或有事项有关的风险、不确定性和货币时间价值等因素，按照履行相关现时义务所需支出的最</w:t>
      </w:r>
    </w:p>
    <w:p>
      <w:pPr>
        <w:pStyle w:val="BodyText"/>
        <w:spacing w:line="316" w:lineRule="auto" w:before="31"/>
        <w:ind w:left="513" w:right="0" w:hanging="361"/>
        <w:jc w:val="left"/>
      </w:pPr>
      <w:r>
        <w:rPr/>
        <w:t>佳估计数对预计负债进行计量。 </w:t>
      </w:r>
      <w:r>
        <w:rPr>
          <w:spacing w:val="-2"/>
        </w:rPr>
        <w:t>如果清偿预计负债所需支出全部或部分预期由第三方补偿的，补偿金额在基本确定能够收到时，作为资产单独确认，且</w:t>
      </w:r>
    </w:p>
    <w:p>
      <w:pPr>
        <w:pStyle w:val="BodyText"/>
        <w:spacing w:line="240" w:lineRule="auto" w:before="19"/>
        <w:ind w:right="0"/>
        <w:jc w:val="both"/>
      </w:pPr>
      <w:r>
        <w:rPr/>
        <w:t>确认的补偿金额不超过预计负债的账面价值。</w:t>
      </w:r>
    </w:p>
    <w:p>
      <w:pPr>
        <w:pStyle w:val="BodyText"/>
        <w:spacing w:line="300" w:lineRule="auto" w:before="76"/>
        <w:ind w:left="513" w:right="1117"/>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1133"/>
        <w:jc w:val="both"/>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9"/>
        <w:ind w:left="513" w:right="1117"/>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240" w:lineRule="auto" w:before="31"/>
        <w:ind w:right="0"/>
        <w:jc w:val="both"/>
      </w:pPr>
      <w:r>
        <w:rPr/>
        <w:t>出确定预计负债金额。</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right="0"/>
        <w:jc w:val="both"/>
      </w:pPr>
      <w:r>
        <w:rPr/>
        <w:t>为以权益结算的股份支付和以现金结算的股份支付。</w:t>
      </w:r>
    </w:p>
    <w:p>
      <w:pPr>
        <w:pStyle w:val="BodyText"/>
        <w:spacing w:line="316" w:lineRule="auto" w:before="77"/>
        <w:ind w:left="513" w:right="0"/>
        <w:jc w:val="left"/>
      </w:pPr>
      <w:r>
        <w:rPr/>
        <w:t>①</w:t>
      </w:r>
      <w:r>
        <w:rPr>
          <w:spacing w:val="-18"/>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316" w:lineRule="auto" w:before="19"/>
        <w:ind w:right="1133"/>
        <w:jc w:val="both"/>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pStyle w:val="BodyText"/>
        <w:spacing w:line="316" w:lineRule="auto" w:before="19"/>
        <w:ind w:right="0" w:firstLine="360"/>
        <w:jc w:val="left"/>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left="513" w:right="0"/>
        <w:jc w:val="left"/>
      </w:pPr>
      <w:r>
        <w:rPr/>
        <w:t>②</w:t>
      </w:r>
      <w:r>
        <w:rPr>
          <w:spacing w:val="-18"/>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6" w:lineRule="auto" w:before="19"/>
        <w:ind w:right="1130"/>
        <w:jc w:val="both"/>
      </w:pPr>
      <w:r>
        <w:rPr>
          <w:spacing w:val="-2"/>
        </w:rPr>
        <w:t>行权，在授予日计入相关成本或费用，相应增加负债；如须完成等待期内的服务或达到规定业绩条件以后才可行权，在等待</w:t>
      </w:r>
      <w:r>
        <w:rPr>
          <w:spacing w:val="-64"/>
        </w:rPr>
        <w:t> </w:t>
      </w:r>
      <w:r>
        <w:rPr>
          <w:spacing w:val="-64"/>
        </w:rPr>
      </w:r>
      <w:r>
        <w:rPr>
          <w:spacing w:val="-2"/>
        </w:rPr>
        <w:t>期的每个资产负债表日，以对可行权情况的最佳估计为基础，按照本公司承担负债的公允价值金额，将当期取得的服务计入</w:t>
      </w:r>
      <w:r>
        <w:rPr>
          <w:spacing w:val="-63"/>
        </w:rPr>
        <w:t> </w:t>
      </w:r>
      <w:r>
        <w:rPr>
          <w:spacing w:val="-63"/>
        </w:rPr>
      </w:r>
      <w:r>
        <w:rPr/>
        <w:t>成本或费用，相应增加负债。</w:t>
      </w:r>
    </w:p>
    <w:p>
      <w:pPr>
        <w:pStyle w:val="BodyText"/>
        <w:spacing w:line="240" w:lineRule="auto" w:before="19"/>
        <w:ind w:left="513" w:right="1133"/>
        <w:jc w:val="left"/>
      </w:pPr>
      <w:r>
        <w:rPr/>
        <w:t>在相关负债结算前的每个资产负债表日以及结算日，对负债的公允价值重新计量，其变动计入当期损益。</w:t>
      </w:r>
    </w:p>
    <w:p>
      <w:pPr>
        <w:pStyle w:val="BodyText"/>
        <w:spacing w:line="300" w:lineRule="auto" w:before="77"/>
        <w:ind w:left="513"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31"/>
        <w:ind w:right="1130"/>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3"/>
        </w:rPr>
        <w:t> </w:t>
      </w:r>
      <w:r>
        <w:rPr>
          <w:spacing w:val="-63"/>
        </w:rPr>
      </w:r>
      <w:r>
        <w:rPr/>
        <w:t>取消了部分或全部已授予的权益工具。</w:t>
      </w:r>
    </w:p>
    <w:p>
      <w:pPr>
        <w:pStyle w:val="BodyText"/>
        <w:spacing w:line="316" w:lineRule="auto" w:before="19"/>
        <w:ind w:right="1129"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3"/>
        </w:rPr>
        <w:t> </w:t>
      </w:r>
      <w:r>
        <w:rPr>
          <w:spacing w:val="-63"/>
        </w:rPr>
      </w:r>
      <w:r>
        <w:rPr/>
        <w:t>将其作为授予权益工具的取消处理。</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1133"/>
        <w:jc w:val="left"/>
      </w:pPr>
      <w:r>
        <w:rPr/>
        <w:t>的，在本公司合并财务报表中按照以下规定进行会计处理：</w:t>
      </w:r>
    </w:p>
    <w:p>
      <w:pPr>
        <w:pStyle w:val="BodyText"/>
        <w:spacing w:line="316" w:lineRule="auto" w:before="76"/>
        <w:ind w:right="1157" w:firstLine="360"/>
        <w:jc w:val="both"/>
      </w:pPr>
      <w:r>
        <w:rPr/>
        <w:t>①</w:t>
      </w:r>
      <w:r>
        <w:rPr>
          <w:spacing w:val="-18"/>
        </w:rPr>
        <w:t> </w:t>
      </w:r>
      <w:r>
        <w:rPr/>
        <w:t>结算企业以其本身权益工具结算的，将该股份支付交易作为权益结算的股份支付处理；除此之外，作为现金结算的</w:t>
      </w:r>
      <w:r>
        <w:rPr/>
        <w:t> 股份支付处理。</w:t>
      </w:r>
    </w:p>
    <w:p>
      <w:pPr>
        <w:pStyle w:val="BodyText"/>
        <w:spacing w:line="316" w:lineRule="auto" w:before="19"/>
        <w:ind w:right="1132"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right="1133" w:firstLine="360"/>
        <w:jc w:val="both"/>
      </w:pPr>
      <w:r>
        <w:rPr/>
        <w:t>②</w:t>
      </w:r>
      <w:r>
        <w:rPr>
          <w:spacing w:val="-18"/>
        </w:rPr>
        <w:t> </w:t>
      </w:r>
      <w:r>
        <w:rPr/>
        <w:t>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9"/>
        <w:ind w:right="1131"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33"/>
        <w:jc w:val="left"/>
      </w:pPr>
      <w:r>
        <w:rPr/>
        <w:t>软件与信息技术服务业</w:t>
      </w:r>
    </w:p>
    <w:p>
      <w:pPr>
        <w:pStyle w:val="BodyText"/>
        <w:spacing w:line="240" w:lineRule="auto" w:before="117"/>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3"/>
        <w:ind w:left="513"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right="0"/>
        <w:jc w:val="left"/>
      </w:pPr>
      <w:r>
        <w:rPr>
          <w:spacing w:val="-2"/>
        </w:rPr>
        <w:t>实施有效控制，收入的金额能够可靠地计量，相关的经济利益很可能流入企业，相关的已发生或将发生的成本能够可靠地计</w:t>
      </w:r>
      <w:r>
        <w:rPr>
          <w:spacing w:val="-61"/>
        </w:rPr>
        <w:t> </w:t>
      </w:r>
      <w:r>
        <w:rPr>
          <w:spacing w:val="-61"/>
        </w:rPr>
      </w:r>
      <w:r>
        <w:rPr/>
        <w:t>量时，确认商品销售收入的实现。</w:t>
      </w:r>
    </w:p>
    <w:p>
      <w:pPr>
        <w:pStyle w:val="BodyText"/>
        <w:spacing w:line="300" w:lineRule="auto" w:before="19"/>
        <w:ind w:left="513"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1"/>
        <w:ind w:left="513" w:right="1033" w:hanging="361"/>
        <w:jc w:val="left"/>
      </w:pPr>
      <w:r>
        <w:rPr/>
        <w:t>工进度按已经发生的劳务成本占估计总成本的比例确定。 提供劳务交易的结果能够可靠估计是指同时满足：①收入的金额能够可靠地计量；②相关的经济利益很可能流入企业；</w:t>
      </w:r>
    </w:p>
    <w:p>
      <w:pPr>
        <w:pStyle w:val="BodyText"/>
        <w:spacing w:line="316" w:lineRule="auto" w:before="19"/>
        <w:ind w:left="513" w:right="0" w:hanging="361"/>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3" w:right="0" w:hanging="361"/>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0"/>
        <w:jc w:val="left"/>
      </w:pPr>
      <w:r>
        <w:rPr>
          <w:spacing w:val="-2"/>
        </w:rPr>
        <w:t>的，将销售商品部分和提供劳务部分分别处理；如销售商品部分和提供劳务部分不能够区分，或虽能区分但不能够单独计量</w:t>
      </w:r>
      <w:r>
        <w:rPr>
          <w:spacing w:val="-63"/>
        </w:rPr>
        <w:t> </w:t>
      </w:r>
      <w:r>
        <w:rPr>
          <w:spacing w:val="-63"/>
        </w:rPr>
      </w:r>
      <w:r>
        <w:rPr/>
        <w:t>的，将该合同全部作为销售商品处理。</w:t>
      </w:r>
    </w:p>
    <w:p>
      <w:pPr>
        <w:pStyle w:val="BodyText"/>
        <w:spacing w:line="300" w:lineRule="auto" w:before="19"/>
        <w:ind w:left="513" w:right="6613"/>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513" w:right="5713"/>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pStyle w:val="BodyText"/>
        <w:spacing w:line="240" w:lineRule="auto" w:before="31"/>
        <w:ind w:left="513" w:right="1133"/>
        <w:jc w:val="left"/>
      </w:pPr>
      <w:r>
        <w:rPr/>
        <w:t>（</w:t>
      </w:r>
      <w:r>
        <w:rPr>
          <w:rFonts w:ascii="Times New Roman" w:hAnsi="Times New Roman" w:cs="Times New Roman" w:eastAsia="Times New Roman" w:hint="default"/>
        </w:rPr>
        <w:t>5</w:t>
      </w:r>
      <w:r>
        <w:rPr/>
        <w:t>）公司各类主营业务的具体收入确认方法</w:t>
      </w:r>
    </w:p>
    <w:p>
      <w:pPr>
        <w:pStyle w:val="BodyText"/>
        <w:spacing w:line="316" w:lineRule="auto" w:before="63"/>
        <w:ind w:left="513" w:right="0"/>
        <w:jc w:val="left"/>
      </w:pPr>
      <w:r>
        <w:rPr/>
        <w:t>①系统集成业务收入 </w:t>
      </w:r>
      <w:r>
        <w:rPr>
          <w:spacing w:val="-2"/>
        </w:rPr>
        <w:t>系统集成业务收入是指根据客户的业务需求，将相关的软硬件有机的结合在一起，提供信息系统规划、实施、运维等集</w:t>
      </w:r>
    </w:p>
    <w:p>
      <w:pPr>
        <w:pStyle w:val="BodyText"/>
        <w:spacing w:line="240" w:lineRule="auto" w:before="18"/>
        <w:ind w:right="1133"/>
        <w:jc w:val="left"/>
      </w:pPr>
      <w:r>
        <w:rPr/>
        <w:t>成服务所获得的收入。具体确认依据、时点和确认金额如下：</w:t>
      </w:r>
    </w:p>
    <w:p>
      <w:pPr>
        <w:pStyle w:val="BodyText"/>
        <w:spacing w:line="240" w:lineRule="auto" w:before="76"/>
        <w:ind w:left="513" w:right="0"/>
        <w:jc w:val="left"/>
      </w:pPr>
      <w:r>
        <w:rPr>
          <w:rFonts w:ascii="Times New Roman" w:hAnsi="Times New Roman" w:cs="Times New Roman" w:eastAsia="Times New Roman" w:hint="default"/>
        </w:rPr>
        <w:t>1</w:t>
      </w:r>
      <w:r>
        <w:rPr/>
        <w:t>）对于复杂重大的系统集成合同项目（通常指合同总收入在</w:t>
      </w:r>
      <w:r>
        <w:rPr>
          <w:rFonts w:ascii="Times New Roman" w:hAnsi="Times New Roman" w:cs="Times New Roman" w:eastAsia="Times New Roman" w:hint="default"/>
        </w:rPr>
        <w:t>2000</w:t>
      </w:r>
      <w:r>
        <w:rPr/>
        <w:t>万元以上、含自有软件开发、执行期一年以上），按</w:t>
      </w:r>
    </w:p>
    <w:p>
      <w:pPr>
        <w:spacing w:after="0" w:line="240" w:lineRule="auto"/>
        <w:jc w:val="left"/>
        <w:sectPr>
          <w:footerReference w:type="default" r:id="rId20"/>
          <w:pgSz w:w="11910" w:h="16840"/>
          <w:pgMar w:footer="980" w:header="745" w:top="1060" w:bottom="1160" w:left="980" w:right="0"/>
          <w:pgNumType w:start="110"/>
        </w:sectPr>
      </w:pPr>
    </w:p>
    <w:p>
      <w:pPr>
        <w:spacing w:line="240" w:lineRule="auto" w:before="9"/>
        <w:rPr>
          <w:rFonts w:ascii="宋体" w:hAnsi="宋体" w:cs="宋体" w:eastAsia="宋体" w:hint="default"/>
          <w:sz w:val="25"/>
          <w:szCs w:val="25"/>
        </w:rPr>
      </w:pPr>
    </w:p>
    <w:p>
      <w:pPr>
        <w:pStyle w:val="BodyText"/>
        <w:spacing w:line="312" w:lineRule="auto" w:before="44"/>
        <w:ind w:left="513" w:right="1117" w:hanging="361"/>
        <w:jc w:val="left"/>
      </w:pPr>
      <w:r>
        <w:rPr/>
        <w:t>完工百分比法（项目完工进度）确认收入。 具体确认依据、时点和确认金额：按合同总收入</w:t>
      </w:r>
      <w:r>
        <w:rPr>
          <w:rFonts w:ascii="Times New Roman" w:hAnsi="Times New Roman" w:cs="Times New Roman" w:eastAsia="Times New Roman" w:hint="default"/>
        </w:rPr>
        <w:t>×</w:t>
      </w:r>
      <w:r>
        <w:rPr/>
        <w:t>完工百分比后确定的金额确认收入。 完工百分比的确定方法：按已发生的成本占预计总成本的比例来确定完工百分比。 </w:t>
      </w:r>
      <w:r>
        <w:rPr>
          <w:rFonts w:ascii="Times New Roman" w:hAnsi="Times New Roman" w:cs="Times New Roman" w:eastAsia="Times New Roman" w:hint="default"/>
          <w:spacing w:val="-2"/>
        </w:rPr>
        <w:t>2</w:t>
      </w:r>
      <w:r>
        <w:rPr>
          <w:spacing w:val="-2"/>
        </w:rPr>
        <w:t>）对于简单的系统集成合同项目（除</w:t>
      </w:r>
      <w:r>
        <w:rPr>
          <w:rFonts w:ascii="Times New Roman" w:hAnsi="Times New Roman" w:cs="Times New Roman" w:eastAsia="Times New Roman" w:hint="default"/>
          <w:spacing w:val="-2"/>
        </w:rPr>
        <w:t>1</w:t>
      </w:r>
      <w:r>
        <w:rPr>
          <w:spacing w:val="-2"/>
        </w:rPr>
        <w:t>）以外的其他系统集成项目），在产品发出并取得客户的验收单据时按合同金额</w:t>
      </w:r>
    </w:p>
    <w:p>
      <w:pPr>
        <w:pStyle w:val="BodyText"/>
        <w:spacing w:line="240" w:lineRule="auto" w:before="3"/>
        <w:ind w:right="1133"/>
        <w:jc w:val="left"/>
      </w:pPr>
      <w:r>
        <w:rPr/>
        <w:t>扣除增值税后确认为销售收入。</w:t>
      </w:r>
    </w:p>
    <w:p>
      <w:pPr>
        <w:pStyle w:val="BodyText"/>
        <w:spacing w:line="316" w:lineRule="auto" w:before="76"/>
        <w:ind w:left="513" w:right="0"/>
        <w:jc w:val="left"/>
      </w:pPr>
      <w:r>
        <w:rPr/>
        <w:t>②行业应用软件开发收入 </w:t>
      </w:r>
      <w:r>
        <w:rPr>
          <w:spacing w:val="-2"/>
        </w:rPr>
        <w:t>行业应用软件开发收入是指接受客户委托，根据客户的需求，对应用软件技术进行研究开发所获得的收入。由此开发出</w:t>
      </w:r>
    </w:p>
    <w:p>
      <w:pPr>
        <w:pStyle w:val="BodyText"/>
        <w:spacing w:line="316" w:lineRule="auto" w:before="19"/>
        <w:ind w:right="0"/>
        <w:jc w:val="left"/>
      </w:pPr>
      <w:r>
        <w:rPr>
          <w:spacing w:val="-2"/>
        </w:rPr>
        <w:t>来的软件为定制软件、不具有通用性。根据公司与客户合作模式的不同，主要分为约定合同总额的软件开发项目和未约定合</w:t>
      </w:r>
      <w:r>
        <w:rPr>
          <w:spacing w:val="-63"/>
        </w:rPr>
        <w:t> </w:t>
      </w:r>
      <w:r>
        <w:rPr>
          <w:spacing w:val="-63"/>
        </w:rPr>
      </w:r>
      <w:r>
        <w:rPr/>
        <w:t>同总额的软件开发项目。具体确认依据、时点和确认金额如下：</w:t>
      </w:r>
    </w:p>
    <w:p>
      <w:pPr>
        <w:pStyle w:val="BodyText"/>
        <w:spacing w:line="300" w:lineRule="auto" w:before="19"/>
        <w:ind w:left="513" w:right="0"/>
        <w:jc w:val="left"/>
      </w:pPr>
      <w:r>
        <w:rPr>
          <w:rFonts w:ascii="Times New Roman" w:hAnsi="Times New Roman" w:cs="Times New Roman" w:eastAsia="Times New Roman" w:hint="default"/>
        </w:rPr>
        <w:t>1</w:t>
      </w:r>
      <w:r>
        <w:rPr/>
        <w:t>）约定合同总额的软件开发业务 </w:t>
      </w:r>
      <w:r>
        <w:rPr>
          <w:rFonts w:ascii="Times New Roman" w:hAnsi="Times New Roman" w:cs="Times New Roman" w:eastAsia="Times New Roman" w:hint="default"/>
          <w:spacing w:val="-1"/>
        </w:rPr>
        <w:t>A</w:t>
      </w:r>
      <w:r>
        <w:rPr>
          <w:spacing w:val="-1"/>
        </w:rPr>
        <w:t>、在资产负债表日提供劳务交易的结果能够可靠估计的软件开发项目，采用完工百分比法（项目完工进度）确认软件</w:t>
      </w:r>
    </w:p>
    <w:p>
      <w:pPr>
        <w:pStyle w:val="BodyText"/>
        <w:spacing w:line="240" w:lineRule="auto" w:before="13"/>
        <w:ind w:right="1133"/>
        <w:jc w:val="left"/>
      </w:pPr>
      <w:r>
        <w:rPr/>
        <w:t>开发收入。</w:t>
      </w:r>
    </w:p>
    <w:p>
      <w:pPr>
        <w:pStyle w:val="BodyText"/>
        <w:spacing w:line="309" w:lineRule="auto" w:before="76"/>
        <w:ind w:left="513" w:right="0"/>
        <w:jc w:val="left"/>
      </w:pPr>
      <w:r>
        <w:rPr/>
        <w:t>具体确认依据、时点和确认金额：按合同总收入</w:t>
      </w:r>
      <w:r>
        <w:rPr>
          <w:rFonts w:ascii="Times New Roman" w:hAnsi="Times New Roman" w:cs="Times New Roman" w:eastAsia="Times New Roman" w:hint="default"/>
        </w:rPr>
        <w:t>×</w:t>
      </w:r>
      <w:r>
        <w:rPr/>
        <w:t>完工百分比后确定的金额确认软件开发收入。 完工百分比的确定方法：按已发生的成本占预计总成本的比例来确定完工百分比。 </w:t>
      </w:r>
      <w:r>
        <w:rPr>
          <w:rFonts w:ascii="Times New Roman" w:hAnsi="Times New Roman" w:cs="Times New Roman" w:eastAsia="Times New Roman" w:hint="default"/>
          <w:spacing w:val="-3"/>
        </w:rPr>
        <w:t>B</w:t>
      </w:r>
      <w:r>
        <w:rPr>
          <w:spacing w:val="-3"/>
        </w:rPr>
        <w:t>、对在资产负债表日提供劳务交易结果不能可靠估计的软件开发项目，如果已经发生的劳务成本预计能够得到补偿的，</w:t>
      </w:r>
    </w:p>
    <w:p>
      <w:pPr>
        <w:pStyle w:val="BodyText"/>
        <w:spacing w:line="316" w:lineRule="auto" w:before="5"/>
        <w:ind w:right="0"/>
        <w:jc w:val="left"/>
      </w:pPr>
      <w:r>
        <w:rPr>
          <w:spacing w:val="-2"/>
        </w:rPr>
        <w:t>按照已经发生的劳务成本金额确认提供劳务收入，并按相同金额结转劳务成本。如果已经发生的劳务成本预计不能够得到补</w:t>
      </w:r>
      <w:r>
        <w:rPr>
          <w:spacing w:val="-64"/>
        </w:rPr>
        <w:t> </w:t>
      </w:r>
      <w:r>
        <w:rPr>
          <w:spacing w:val="-64"/>
        </w:rPr>
      </w:r>
      <w:r>
        <w:rPr/>
        <w:t>偿的，应当将已经发生的劳务成本计入当期损益，不确认提供劳务收入。</w:t>
      </w:r>
    </w:p>
    <w:p>
      <w:pPr>
        <w:pStyle w:val="BodyText"/>
        <w:spacing w:line="300" w:lineRule="auto" w:before="19"/>
        <w:ind w:left="513" w:right="0"/>
        <w:jc w:val="left"/>
      </w:pPr>
      <w:r>
        <w:rPr>
          <w:rFonts w:ascii="Times New Roman" w:hAnsi="Times New Roman" w:cs="Times New Roman" w:eastAsia="Times New Roman" w:hint="default"/>
        </w:rPr>
        <w:t>2</w:t>
      </w:r>
      <w:r>
        <w:rPr/>
        <w:t>）未约定合同总额的软件开发业务 </w:t>
      </w:r>
      <w:r>
        <w:rPr>
          <w:rFonts w:ascii="Times New Roman" w:hAnsi="Times New Roman" w:cs="Times New Roman" w:eastAsia="Times New Roman" w:hint="default"/>
          <w:spacing w:val="-1"/>
        </w:rPr>
        <w:t>A</w:t>
      </w:r>
      <w:r>
        <w:rPr>
          <w:spacing w:val="-1"/>
        </w:rPr>
        <w:t>、对在资产负债表日提供劳务交易结果可以可靠估计的软件开发项目，以双方确认的实际工作量及合同约定单价计算</w:t>
      </w:r>
    </w:p>
    <w:p>
      <w:pPr>
        <w:pStyle w:val="BodyText"/>
        <w:spacing w:line="240" w:lineRule="auto" w:before="13"/>
        <w:ind w:right="1133"/>
        <w:jc w:val="left"/>
      </w:pPr>
      <w:r>
        <w:rPr/>
        <w:t>并确认为当期软件开发收入。</w:t>
      </w:r>
    </w:p>
    <w:p>
      <w:pPr>
        <w:pStyle w:val="BodyText"/>
        <w:spacing w:line="309" w:lineRule="auto" w:before="76"/>
        <w:ind w:right="0" w:firstLine="360"/>
        <w:jc w:val="left"/>
      </w:pPr>
      <w:r>
        <w:rPr>
          <w:rFonts w:ascii="Times New Roman" w:hAnsi="Times New Roman" w:cs="Times New Roman" w:eastAsia="Times New Roman" w:hint="default"/>
          <w:spacing w:val="-3"/>
        </w:rPr>
        <w:t>B</w:t>
      </w:r>
      <w:r>
        <w:rPr>
          <w:spacing w:val="-3"/>
        </w:rPr>
        <w:t>、对在资产负债表日提供劳务交易结果不能可靠估计的软件开发项目，如果已经发生的劳务成本预计能够得到补偿的，</w:t>
      </w:r>
      <w:r>
        <w:rPr/>
        <w:t> </w:t>
      </w:r>
      <w:r>
        <w:rPr>
          <w:spacing w:val="-2"/>
        </w:rPr>
        <w:t>按照已经发生的劳务成本金额确认提供劳务收入，并按相同金额结转劳务成本。如果已经发生的劳务成本预计不能够得到补</w:t>
      </w:r>
      <w:r>
        <w:rPr>
          <w:spacing w:val="-64"/>
        </w:rPr>
        <w:t> </w:t>
      </w:r>
      <w:r>
        <w:rPr>
          <w:spacing w:val="-64"/>
        </w:rPr>
      </w:r>
      <w:r>
        <w:rPr/>
        <w:t>偿的，应当将已经发生的劳务成本计入当期损益，不确认提供劳务收入。</w:t>
      </w:r>
    </w:p>
    <w:p>
      <w:pPr>
        <w:pStyle w:val="BodyText"/>
        <w:spacing w:line="316" w:lineRule="auto" w:before="24"/>
        <w:ind w:left="513" w:right="1152"/>
        <w:jc w:val="left"/>
      </w:pPr>
      <w:r>
        <w:rPr/>
        <w:t>③专业技术服务收入 专业技术服务收入是指公司为客户提供专业的技术服务实现的收入，主要是指运营维护服务、专业</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技术服务和技术</w:t>
      </w:r>
    </w:p>
    <w:p>
      <w:pPr>
        <w:pStyle w:val="BodyText"/>
        <w:spacing w:line="316" w:lineRule="auto"/>
        <w:ind w:right="0"/>
        <w:jc w:val="left"/>
      </w:pPr>
      <w:r>
        <w:rPr>
          <w:spacing w:val="-2"/>
        </w:rPr>
        <w:t>咨询服务。根据公司与客户合作模式的不同，主要分为约定合同总额的专业技术服务和未约定合同总额的专业技术服务。具</w:t>
      </w:r>
      <w:r>
        <w:rPr>
          <w:spacing w:val="-63"/>
        </w:rPr>
        <w:t> </w:t>
      </w:r>
      <w:r>
        <w:rPr>
          <w:spacing w:val="-63"/>
        </w:rPr>
      </w:r>
      <w:r>
        <w:rPr/>
        <w:t>体确认依据、时点和确认金额如下：</w:t>
      </w:r>
    </w:p>
    <w:p>
      <w:pPr>
        <w:pStyle w:val="BodyText"/>
        <w:spacing w:line="300" w:lineRule="auto" w:before="19"/>
        <w:ind w:left="513" w:right="0"/>
        <w:jc w:val="left"/>
      </w:pPr>
      <w:r>
        <w:rPr>
          <w:rFonts w:ascii="Times New Roman" w:hAnsi="Times New Roman" w:cs="Times New Roman" w:eastAsia="Times New Roman" w:hint="default"/>
        </w:rPr>
        <w:t>1</w:t>
      </w:r>
      <w:r>
        <w:rPr/>
        <w:t>）约定合同总额的专业技术服务 </w:t>
      </w:r>
      <w:r>
        <w:rPr>
          <w:rFonts w:ascii="Times New Roman" w:hAnsi="Times New Roman" w:cs="Times New Roman" w:eastAsia="Times New Roman" w:hint="default"/>
          <w:spacing w:val="-1"/>
        </w:rPr>
        <w:t>A</w:t>
      </w:r>
      <w:r>
        <w:rPr>
          <w:spacing w:val="-1"/>
        </w:rPr>
        <w:t>、大部分合同已约定了服务期间，因运营维护服务等在服务期间均衡发生，故每个报告期末按合同总收入和已提供服</w:t>
      </w:r>
    </w:p>
    <w:p>
      <w:pPr>
        <w:pStyle w:val="BodyText"/>
        <w:spacing w:line="240" w:lineRule="auto" w:before="13"/>
        <w:ind w:right="1133"/>
        <w:jc w:val="left"/>
      </w:pPr>
      <w:r>
        <w:rPr/>
        <w:t>务期间占合同期间的比例确定的金额确认收入。</w:t>
      </w:r>
    </w:p>
    <w:p>
      <w:pPr>
        <w:pStyle w:val="BodyText"/>
        <w:spacing w:line="300" w:lineRule="auto" w:before="76"/>
        <w:ind w:right="1189" w:firstLine="360"/>
        <w:jc w:val="both"/>
      </w:pPr>
      <w:r>
        <w:rPr>
          <w:rFonts w:ascii="Times New Roman" w:hAnsi="Times New Roman" w:cs="Times New Roman" w:eastAsia="Times New Roman" w:hint="default"/>
        </w:rPr>
        <w:t>B</w:t>
      </w:r>
      <w:r>
        <w:rPr/>
        <w:t>、对于少量未约定服务期间的合同，按合同总收入</w:t>
      </w:r>
      <w:r>
        <w:rPr>
          <w:rFonts w:ascii="Times New Roman" w:hAnsi="Times New Roman" w:cs="Times New Roman" w:eastAsia="Times New Roman" w:hint="default"/>
        </w:rPr>
        <w:t>×</w:t>
      </w:r>
      <w:r>
        <w:rPr/>
        <w:t>完工百分比后确定的金额确认技术服务收入。其中完工百分比确 认方法与软件开发合同一致，即按照已发生的成本占预计总成本的比例确认。</w:t>
      </w:r>
    </w:p>
    <w:p>
      <w:pPr>
        <w:pStyle w:val="BodyText"/>
        <w:spacing w:line="300" w:lineRule="auto" w:before="31"/>
        <w:ind w:left="513" w:right="0"/>
        <w:jc w:val="left"/>
      </w:pPr>
      <w:r>
        <w:rPr>
          <w:rFonts w:ascii="Times New Roman" w:hAnsi="Times New Roman" w:cs="Times New Roman" w:eastAsia="Times New Roman" w:hint="default"/>
        </w:rPr>
        <w:t>2</w:t>
      </w:r>
      <w:r>
        <w:rPr/>
        <w:t>）未约定合同总额的专业技术服务 </w:t>
      </w:r>
      <w:r>
        <w:rPr>
          <w:rFonts w:ascii="Times New Roman" w:hAnsi="Times New Roman" w:cs="Times New Roman" w:eastAsia="Times New Roman" w:hint="default"/>
          <w:spacing w:val="-1"/>
        </w:rPr>
        <w:t>A</w:t>
      </w:r>
      <w:r>
        <w:rPr>
          <w:spacing w:val="-1"/>
        </w:rPr>
        <w:t>、对在资产负债表日提供劳务交易结果可以可靠估计的专业技术服务项目，以双方确认的实际工作量及合同约定人月</w:t>
      </w:r>
    </w:p>
    <w:p>
      <w:pPr>
        <w:pStyle w:val="BodyText"/>
        <w:spacing w:line="240" w:lineRule="auto" w:before="13"/>
        <w:ind w:right="1133"/>
        <w:jc w:val="left"/>
      </w:pPr>
      <w:r>
        <w:rPr/>
        <w:t>单价计算并确认为当期专业技术服务收入。</w:t>
      </w:r>
    </w:p>
    <w:p>
      <w:pPr>
        <w:pStyle w:val="BodyText"/>
        <w:spacing w:line="309" w:lineRule="auto" w:before="76"/>
        <w:ind w:right="1130" w:firstLine="360"/>
        <w:jc w:val="both"/>
      </w:pPr>
      <w:r>
        <w:rPr>
          <w:rFonts w:ascii="Times New Roman" w:hAnsi="Times New Roman" w:cs="Times New Roman" w:eastAsia="Times New Roman" w:hint="default"/>
          <w:spacing w:val="-1"/>
        </w:rPr>
        <w:t>B</w:t>
      </w:r>
      <w:r>
        <w:rPr>
          <w:spacing w:val="-1"/>
        </w:rPr>
        <w:t>、对在资产负债表日提供劳务交易结果不能可靠估计的专业技术服务项目，如果已经发生的劳务成本预计能够得到补</w:t>
      </w:r>
      <w:r>
        <w:rPr/>
        <w:t> </w:t>
      </w:r>
      <w:r>
        <w:rPr>
          <w:spacing w:val="-2"/>
        </w:rPr>
        <w:t>偿的，按照已经发生的劳务成本金额确认提供劳务收入，并按相同金额结转劳务成本。如果已经发生的劳务成本预计不能够</w:t>
      </w:r>
      <w:r>
        <w:rPr>
          <w:spacing w:val="-63"/>
        </w:rPr>
        <w:t> </w:t>
      </w:r>
      <w:r>
        <w:rPr>
          <w:spacing w:val="-63"/>
        </w:rPr>
      </w:r>
      <w:r>
        <w:rPr/>
        <w:t>得到补偿的，应当将已经发生的劳务成本计入当期损益，不确认提供劳务收入。</w:t>
      </w:r>
    </w:p>
    <w:p>
      <w:pPr>
        <w:pStyle w:val="BodyText"/>
        <w:spacing w:line="316" w:lineRule="auto" w:before="24"/>
        <w:ind w:right="1130" w:firstLine="360"/>
        <w:jc w:val="both"/>
      </w:pPr>
      <w:r>
        <w:rPr>
          <w:spacing w:val="-2"/>
        </w:rPr>
        <w:t>本公司与其他企业签订的合同或协议包括销售商品和提供劳务时，销售商品部分和提供劳务部分能够区分且能够单独计</w:t>
      </w:r>
      <w:r>
        <w:rPr/>
        <w:t> </w:t>
      </w:r>
      <w:r>
        <w:rPr>
          <w:spacing w:val="-2"/>
        </w:rPr>
        <w:t>量的，将销售商品的部分作为销售商品处理，将提供劳务的部分作为提供劳务处理。销售商品部分和提供劳务部分不能够区</w:t>
      </w:r>
      <w:r>
        <w:rPr>
          <w:spacing w:val="-63"/>
        </w:rPr>
        <w:t> </w:t>
      </w:r>
      <w:r>
        <w:rPr>
          <w:spacing w:val="-63"/>
        </w:rPr>
      </w:r>
      <w:r>
        <w:rPr/>
        <w:t>分，或虽能区分但不能够单独计量的，将销售商品部分和提供劳务部分全部作为销售商品处理。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、政府补助</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2" w:lineRule="auto" w:before="44"/>
        <w:ind w:right="1131" w:firstLine="360"/>
        <w:jc w:val="both"/>
      </w:pPr>
      <w:r>
        <w:rPr>
          <w:spacing w:val="-2"/>
        </w:rPr>
        <w:t>政府补助是指本公司从政府无偿取得货币性资产和非货币性资产，不包括政府以投资者身份并享有相应所有者权益而投</w:t>
      </w:r>
      <w:r>
        <w:rPr/>
        <w:t> </w:t>
      </w:r>
      <w:r>
        <w:rPr>
          <w:spacing w:val="-2"/>
        </w:rPr>
        <w:t>入的资本。政府补助分为与资产相关的政府补助和与收益相关的政府补助。本公司将所取得的用于购建或以其他方式形成长</w:t>
      </w:r>
      <w:r>
        <w:rPr>
          <w:spacing w:val="-64"/>
        </w:rPr>
        <w:t> </w:t>
      </w:r>
      <w:r>
        <w:rPr>
          <w:spacing w:val="-64"/>
        </w:rPr>
      </w:r>
      <w:r>
        <w:rPr>
          <w:spacing w:val="-2"/>
        </w:rPr>
        <w:t>期资产的政府补助界定为与资产相关的政府补助；其余政府补助界定为与收益相关的政府补助。若政府文件未明确规定补助</w:t>
      </w:r>
      <w:r>
        <w:rPr>
          <w:spacing w:val="-63"/>
        </w:rPr>
        <w:t> </w:t>
      </w:r>
      <w:r>
        <w:rPr>
          <w:spacing w:val="-63"/>
        </w:rPr>
      </w:r>
      <w:r>
        <w:rPr/>
        <w:t>对象，则采用以下方式将补助款划分为与收益相关的政府补助和与资产相关的政府补助：（</w:t>
      </w:r>
      <w:r>
        <w:rPr>
          <w:rFonts w:ascii="Times New Roman" w:hAnsi="Times New Roman" w:cs="Times New Roman" w:eastAsia="Times New Roman" w:hint="default"/>
        </w:rPr>
        <w:t>1</w:t>
      </w:r>
      <w:r>
        <w:rPr/>
        <w:t>）政府文件明确了补助所针对 </w:t>
      </w:r>
      <w:r>
        <w:rPr>
          <w:spacing w:val="-2"/>
        </w:rPr>
        <w:t>的特定项目的，根据该特定项目的预算中将形成资产的支出金额和计入费用的支出金额的相对比例进行划分，对该划分比例</w:t>
      </w:r>
      <w:r>
        <w:rPr>
          <w:spacing w:val="-64"/>
        </w:rPr>
        <w:t> </w:t>
      </w:r>
      <w:r>
        <w:rPr>
          <w:spacing w:val="-64"/>
        </w:rPr>
      </w:r>
      <w:r>
        <w:rPr/>
        <w:t>需在每个资产负债表日进行复核，必要时进行变更；（</w:t>
      </w:r>
      <w:r>
        <w:rPr>
          <w:rFonts w:ascii="Times New Roman" w:hAnsi="Times New Roman" w:cs="Times New Roman" w:eastAsia="Times New Roman" w:hint="default"/>
        </w:rPr>
        <w:t>2</w:t>
      </w:r>
      <w:r>
        <w:rPr/>
        <w:t>）政府文件中对用途仅作一般性表述，没有指明特定项目的，作为 </w:t>
      </w:r>
      <w:r>
        <w:rPr>
          <w:spacing w:val="-2"/>
        </w:rPr>
        <w:t>与收益相关的政府补助。政府补助为货币性资产的，按照收到或应收的金额计量。政府补助为非货币性资产的，按照公允价</w:t>
      </w:r>
      <w:r>
        <w:rPr>
          <w:spacing w:val="-65"/>
        </w:rPr>
        <w:t> </w:t>
      </w:r>
      <w:r>
        <w:rPr>
          <w:spacing w:val="-65"/>
        </w:rPr>
      </w:r>
      <w:r>
        <w:rPr/>
        <w:t>值计量；公允价值不能够可靠取得的，按照名义金额计量。按照名义金额计量的政府补助，直接计入当期损益。</w:t>
      </w:r>
    </w:p>
    <w:p>
      <w:pPr>
        <w:pStyle w:val="BodyText"/>
        <w:spacing w:line="316" w:lineRule="auto" w:before="22"/>
        <w:ind w:right="1044" w:firstLine="360"/>
        <w:jc w:val="both"/>
      </w:pPr>
      <w:r>
        <w:rPr>
          <w:spacing w:val="-2"/>
        </w:rPr>
        <w:t>本公司对于政府补助通常在实际收到时，按照实收金额予以确认和计量。但对于期末有确凿证据表明能够符合财政扶持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304" w:lineRule="auto" w:before="19"/>
        <w:ind w:right="0"/>
        <w:jc w:val="left"/>
      </w:pPr>
      <w:r>
        <w:rPr>
          <w:spacing w:val="-2"/>
        </w:rPr>
        <w:t>（</w:t>
      </w:r>
      <w:r>
        <w:rPr>
          <w:rFonts w:ascii="Times New Roman" w:hAnsi="Times New Roman" w:cs="Times New Roman" w:eastAsia="Times New Roman" w:hint="default"/>
          <w:spacing w:val="-2"/>
        </w:rPr>
        <w:t>1</w:t>
      </w:r>
      <w:r>
        <w:rPr>
          <w:spacing w:val="-2"/>
        </w:rPr>
        <w:t>）应收补助款的金额已经过有权政府部门发文确认，或者可根据正式发布的财政资金管理办法的有关规定自行合理测算，</w:t>
      </w:r>
      <w:r>
        <w:rPr>
          <w:spacing w:val="-64"/>
        </w:rPr>
        <w:t> </w:t>
      </w:r>
      <w:r>
        <w:rPr>
          <w:spacing w:val="-64"/>
        </w:rPr>
      </w:r>
      <w:r>
        <w:rPr/>
        <w:t>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）所依据的是当地财政部门正式发布并按照《政府信息公开条例》的规定予以主动</w:t>
      </w:r>
      <w:r>
        <w:rPr>
          <w:spacing w:val="-87"/>
        </w:rPr>
        <w:t> </w:t>
      </w:r>
      <w:r>
        <w:rPr>
          <w:spacing w:val="-87"/>
        </w:rPr>
      </w:r>
      <w:r>
        <w:rPr>
          <w:spacing w:val="-2"/>
        </w:rPr>
        <w:t>公开的财政扶持项目及其财政资金管理办法，且该管理办法应当是普惠性的（任何符合规定条件的企业均可申请），而不是</w:t>
      </w:r>
      <w:r>
        <w:rPr>
          <w:spacing w:val="-64"/>
        </w:rPr>
        <w:t> </w:t>
      </w:r>
      <w:r>
        <w:rPr>
          <w:spacing w:val="-64"/>
        </w:rPr>
      </w:r>
      <w:r>
        <w:rPr/>
        <w:t>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）相关的补助款批文中已明确承诺了拨付期限，且该款项的拨付是有相应财政预算作为保障 </w:t>
      </w:r>
      <w:r>
        <w:rPr>
          <w:spacing w:val="-5"/>
        </w:rPr>
        <w:t>的，因而可以合理保证其可在规定期限内收到；（</w:t>
      </w:r>
      <w:r>
        <w:rPr>
          <w:rFonts w:ascii="Times New Roman" w:hAnsi="Times New Roman" w:cs="Times New Roman" w:eastAsia="Times New Roman" w:hint="default"/>
          <w:spacing w:val="-5"/>
        </w:rPr>
        <w:t>4</w:t>
      </w:r>
      <w:r>
        <w:rPr>
          <w:spacing w:val="-5"/>
        </w:rPr>
        <w:t>）根据本公司和该补助事项的具体情况，应满足的其他相关条件（如有）。</w:t>
      </w:r>
    </w:p>
    <w:p>
      <w:pPr>
        <w:pStyle w:val="BodyText"/>
        <w:spacing w:line="316" w:lineRule="auto" w:before="9"/>
        <w:ind w:right="1131" w:firstLine="360"/>
        <w:jc w:val="both"/>
      </w:pPr>
      <w:r>
        <w:rPr>
          <w:spacing w:val="-2"/>
        </w:rPr>
        <w:t>与资产相关的政府补助，确认为递延收益，并在相关资产的使用寿命内按照合理、系统的方法分期计入当期损益。与收</w:t>
      </w:r>
      <w:r>
        <w:rPr/>
        <w:t> </w:t>
      </w:r>
      <w:r>
        <w:rPr>
          <w:spacing w:val="-2"/>
        </w:rPr>
        <w:t>益相关的政府补助，用于补偿以后期间的相关成本费用或损失的，确认为递延收益，并在确认相关成本费用或损失的期间计</w:t>
      </w:r>
      <w:r>
        <w:rPr>
          <w:spacing w:val="-65"/>
        </w:rPr>
        <w:t> </w:t>
      </w:r>
      <w:r>
        <w:rPr>
          <w:spacing w:val="-65"/>
        </w:rPr>
      </w:r>
      <w:r>
        <w:rPr/>
        <w:t>入当期损益；用于补偿已经发生的相关成本费用或损失的，直接计入当期损益。</w:t>
      </w:r>
    </w:p>
    <w:p>
      <w:pPr>
        <w:pStyle w:val="BodyText"/>
        <w:spacing w:line="316" w:lineRule="auto" w:before="19"/>
        <w:ind w:right="1130" w:firstLine="360"/>
        <w:jc w:val="both"/>
      </w:pPr>
      <w:r>
        <w:rPr>
          <w:spacing w:val="-2"/>
        </w:rPr>
        <w:t>同时包含与资产相关部分和与收益相关部分的政府补助，区分不同部分分别进行会计处理；难以区分的，将其整体归类</w:t>
      </w:r>
      <w:r>
        <w:rPr/>
        <w:t> 为与收益相关的政府补助。</w:t>
      </w:r>
    </w:p>
    <w:p>
      <w:pPr>
        <w:pStyle w:val="BodyText"/>
        <w:spacing w:line="240" w:lineRule="auto" w:before="19"/>
        <w:ind w:left="513" w:right="0"/>
        <w:jc w:val="left"/>
      </w:pPr>
      <w:r>
        <w:rPr/>
        <w:t>与本公司日常活动相关的政府补助，按照经济业务的实质，计入其他收益；与日常活动无关的政府补助，计入营业外收</w:t>
      </w:r>
    </w:p>
    <w:p>
      <w:pPr>
        <w:pStyle w:val="BodyText"/>
        <w:spacing w:line="240" w:lineRule="auto" w:before="76"/>
        <w:ind w:right="1133"/>
        <w:jc w:val="left"/>
      </w:pPr>
      <w:r>
        <w:rPr/>
        <w:t>支。</w:t>
      </w:r>
    </w:p>
    <w:p>
      <w:pPr>
        <w:pStyle w:val="BodyText"/>
        <w:spacing w:line="240" w:lineRule="auto" w:before="76"/>
        <w:ind w:left="513" w:right="0"/>
        <w:jc w:val="left"/>
      </w:pPr>
      <w:r>
        <w:rPr/>
        <w:t>已确认的政府补助需要退回时，存在相关递延收益余额的，冲减相关递延收益账面余额，超出部分计入当期损益；属于</w:t>
      </w:r>
    </w:p>
    <w:p>
      <w:pPr>
        <w:pStyle w:val="BodyText"/>
        <w:spacing w:line="240" w:lineRule="auto" w:before="76"/>
        <w:ind w:right="1133"/>
        <w:jc w:val="left"/>
      </w:pPr>
      <w:r>
        <w:rPr/>
        <w:t>其他情况的，直接计入当期损益。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033"/>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1117"/>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3"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1117"/>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9"/>
        <w:ind w:right="1130"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3"/>
        </w:rPr>
        <w:t> </w:t>
      </w:r>
      <w:r>
        <w:rPr>
          <w:spacing w:val="-63"/>
        </w:rPr>
      </w:r>
      <w:r>
        <w:rPr/>
        <w:t>得税负债。</w:t>
      </w:r>
    </w:p>
    <w:p>
      <w:pPr>
        <w:pStyle w:val="BodyText"/>
        <w:spacing w:line="316" w:lineRule="auto" w:before="19"/>
        <w:ind w:right="1130"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额为限，确认其他可抵扣暂时性差异产生的递延所得税资产。 </w:t>
      </w:r>
      <w:r>
        <w:rPr>
          <w:spacing w:val="-2"/>
        </w:rPr>
        <w:t>对于能够结转以后年度的可抵扣亏损和税款抵减，以很可能获得用来抵扣可抵扣亏损和税款抵减的未来应纳税所得额为</w:t>
      </w:r>
    </w:p>
    <w:p>
      <w:pPr>
        <w:pStyle w:val="BodyText"/>
        <w:spacing w:line="316" w:lineRule="auto" w:before="17"/>
        <w:ind w:left="513" w:right="0" w:hanging="361"/>
        <w:jc w:val="left"/>
      </w:pPr>
      <w:r>
        <w:rPr/>
        <w:t>限，确认相应的递延所得税资产。 </w:t>
      </w:r>
      <w:r>
        <w:rPr>
          <w:spacing w:val="-2"/>
        </w:rPr>
        <w:t>资产负债表日，对于递延所得税资产和递延所得税负债，根据税法规定，按照预期收回相关资产或清偿相关负债期间的</w:t>
      </w:r>
    </w:p>
    <w:p>
      <w:pPr>
        <w:pStyle w:val="BodyText"/>
        <w:spacing w:line="316" w:lineRule="auto" w:before="19"/>
        <w:ind w:left="513" w:right="1117" w:hanging="361"/>
        <w:jc w:val="left"/>
      </w:pPr>
      <w:r>
        <w:rPr/>
        <w:t>适用税率计量。 </w:t>
      </w:r>
      <w:r>
        <w:rPr>
          <w:spacing w:val="-2"/>
        </w:rPr>
        <w:t>于资产负债表日，对递延所得税资产的账面价值进行复核，如果未来很可能无法获得足够的应纳税所得额用以抵扣递延</w:t>
      </w:r>
    </w:p>
    <w:p>
      <w:pPr>
        <w:pStyle w:val="BodyText"/>
        <w:spacing w:line="240" w:lineRule="auto" w:before="19"/>
        <w:ind w:right="1133"/>
        <w:jc w:val="left"/>
      </w:pPr>
      <w:r>
        <w:rPr/>
        <w:t>所得税资产的利益，则减记递延所得税资产的账面价值。在很可能获得足够的应纳税所得额时，减记的金额予以转回。</w:t>
      </w:r>
    </w:p>
    <w:p>
      <w:pPr>
        <w:pStyle w:val="BodyText"/>
        <w:spacing w:line="300" w:lineRule="auto" w:before="76"/>
        <w:ind w:left="513" w:right="6973"/>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1214"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3"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2"/>
        <w:ind w:left="513" w:right="0" w:hanging="361"/>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132"/>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2"/>
        <w:ind w:right="1133"/>
        <w:jc w:val="left"/>
      </w:pPr>
      <w:r>
        <w:rPr/>
        <w:t>租金于实际发生时计入当期损益。</w:t>
      </w:r>
    </w:p>
    <w:p>
      <w:pPr>
        <w:pStyle w:val="BodyText"/>
        <w:spacing w:line="300" w:lineRule="auto" w:before="76"/>
        <w:ind w:left="513" w:right="1213"/>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0"/>
        <w:jc w:val="left"/>
      </w:pPr>
      <w:r>
        <w:rPr>
          <w:spacing w:val="-2"/>
        </w:rPr>
        <w:t>化，在整个租赁期间内按照与确认租金收入相同的基础分期计入当期损益；其他金额较小的初始直接费用于发生时计入当期</w:t>
      </w:r>
      <w:r>
        <w:rPr>
          <w:spacing w:val="-63"/>
        </w:rPr>
        <w:t> </w:t>
      </w:r>
      <w:r>
        <w:rPr>
          <w:spacing w:val="-63"/>
        </w:rPr>
      </w:r>
      <w:r>
        <w:rPr/>
        <w:t>损益。或有租金于实际发生时计入当期损益。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9" w:lineRule="auto" w:before="31"/>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7"/>
        <w:ind w:left="513" w:right="1133"/>
        <w:jc w:val="left"/>
      </w:pPr>
      <w:r>
        <w:rPr/>
        <w:t>未确认融资费用在租赁期内采用实际利率法计算确认当期的融资费用。或有租金于实际发生时计入当期损益。</w:t>
      </w:r>
    </w:p>
    <w:p>
      <w:pPr>
        <w:pStyle w:val="BodyText"/>
        <w:spacing w:line="300" w:lineRule="auto" w:before="76"/>
        <w:ind w:left="513" w:right="0"/>
        <w:jc w:val="left"/>
      </w:pPr>
      <w:r>
        <w:rPr/>
        <w:t>（</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8"/>
        <w:ind w:left="513" w:right="1133"/>
        <w:jc w:val="left"/>
      </w:pPr>
      <w:r>
        <w:rPr/>
        <w:t>未实现融资收益在租赁期内采用实际利率法计算确认当期的融资收入。或有租金于实际发生时计入当期损益。</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21"/>
        <w:gridCol w:w="2976"/>
        <w:gridCol w:w="1561"/>
        <w:gridCol w:w="1913"/>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开始适用的时点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鉴于公司持有的房屋建筑物预计达到可 使用状态，部分将转入投资性房地产核 算。为了更真实、准确地反映房屋建筑 物的实际使用情况，根据《企业会计准 则第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3"/>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投资性房地产》、《企业会计</w:t>
            </w:r>
          </w:p>
          <w:p>
            <w:pPr>
              <w:pStyle w:val="TableParagraph"/>
              <w:spacing w:line="312" w:lineRule="auto"/>
              <w:ind w:left="24" w:right="25"/>
              <w:jc w:val="left"/>
              <w:rPr>
                <w:rFonts w:ascii="宋体" w:hAnsi="宋体" w:cs="宋体" w:eastAsia="宋体" w:hint="default"/>
                <w:sz w:val="18"/>
                <w:szCs w:val="18"/>
              </w:rPr>
            </w:pPr>
            <w:r>
              <w:rPr>
                <w:rFonts w:ascii="宋体" w:hAnsi="宋体" w:cs="宋体" w:eastAsia="宋体" w:hint="default"/>
                <w:sz w:val="18"/>
                <w:szCs w:val="18"/>
              </w:rPr>
              <w:t>准则第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会计政策、会计估计变 更和差错更正》的相关规定，并结合公 司实际情况，公司对投资性房地产</w:t>
            </w:r>
            <w:r>
              <w:rPr>
                <w:rFonts w:ascii="Times New Roman" w:hAnsi="Times New Roman" w:cs="Times New Roman" w:eastAsia="Times New Roman" w:hint="default"/>
                <w:sz w:val="18"/>
                <w:szCs w:val="18"/>
              </w:rPr>
              <w:t>--</w:t>
            </w:r>
            <w:r>
              <w:rPr>
                <w:rFonts w:ascii="宋体" w:hAnsi="宋体" w:cs="宋体" w:eastAsia="宋体" w:hint="default"/>
                <w:sz w:val="18"/>
                <w:szCs w:val="18"/>
              </w:rPr>
              <w:t>房 屋及建筑物的折旧年限进行变更。对投 资性房地产重新核定资产折旧年限：变 更前为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年，变更后为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日召开第 九届董事会第七次会议和第九届监事 会第六次会议，会议审议通过了《关 </w:t>
            </w:r>
            <w:r>
              <w:rPr>
                <w:rFonts w:ascii="宋体" w:hAnsi="宋体" w:cs="宋体" w:eastAsia="宋体" w:hint="default"/>
                <w:spacing w:val="-9"/>
                <w:sz w:val="18"/>
                <w:szCs w:val="18"/>
              </w:rPr>
              <w:t>于公司会计估计变更的议案》。公司独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立董事对公司会计估计变更发表了明 确的独立意见。根据《深圳证券交易 所创业板股票上市规则（</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年修 </w:t>
            </w:r>
            <w:r>
              <w:rPr>
                <w:rFonts w:ascii="宋体" w:hAnsi="宋体" w:cs="宋体" w:eastAsia="宋体" w:hint="default"/>
                <w:spacing w:val="-18"/>
                <w:sz w:val="18"/>
                <w:szCs w:val="18"/>
              </w:rPr>
              <w:t>订）》、《创业板信息披露业务备忘录第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会计政策与会计估计变更》等 有关规定，公司本次会计估计变更由 </w:t>
            </w:r>
            <w:r>
              <w:rPr>
                <w:rFonts w:ascii="宋体" w:hAnsi="宋体" w:cs="宋体" w:eastAsia="宋体" w:hint="default"/>
                <w:spacing w:val="-4"/>
                <w:sz w:val="18"/>
                <w:szCs w:val="18"/>
              </w:rPr>
              <w:t>董事会审议，无需提交股东大会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1560" w:lineRule="exact"/>
              <w:ind w:left="2"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77.45pt;height:78pt;mso-position-horizontal-relative:char;mso-position-vertical-relative:line" coordorigin="0,0" coordsize="1549,1560">
                  <v:group style="position:absolute;left:0;top:0;width:1549;height:1560" coordorigin="0,0" coordsize="1549,1560">
                    <v:shape style="position:absolute;left:0;top:0;width:1549;height:1560" coordorigin="0,0" coordsize="1549,1560" path="m0,1560l1548,1560,1548,0,0,0,0,1560xe" filled="true" fillcolor="#ffffff" stroked="false">
                      <v:path arrowok="t"/>
                      <v:fill type="solid"/>
                    </v:shape>
                  </v:group>
                </v:group>
              </w:pict>
            </w:r>
            <w:r>
              <w:rPr>
                <w:rFonts w:ascii="宋体" w:hAnsi="宋体" w:cs="宋体" w:eastAsia="宋体" w:hint="default"/>
                <w:position w:val="-30"/>
                <w:sz w:val="20"/>
                <w:szCs w:val="20"/>
              </w:rPr>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auto" w:before="8"/>
        <w:ind w:right="0"/>
        <w:jc w:val="left"/>
      </w:pPr>
      <w:r>
        <w:rPr/>
        <w:pict>
          <v:shape style="position:absolute;margin-left:337.75pt;margin-top:-78.488266pt;width:101.55pt;height:78pt;mso-position-horizontal-relative:page;mso-position-vertical-relative:paragraph;z-index:-8884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left"/>
                  </w:pPr>
                  <w:r>
                    <w:rPr/>
                    <w:t>审议。</w:t>
                  </w:r>
                </w:p>
              </w:txbxContent>
            </v:textbox>
            <w10:wrap type="none"/>
          </v:shape>
        </w:pict>
      </w:r>
      <w:r>
        <w:rPr>
          <w:spacing w:val="-2"/>
        </w:rPr>
        <w:t>本次会计估计变更后，原有投资性房地产的折旧年限保持不变，本次会计估计变更不会对公司所有者权益、净利润等指标产</w:t>
      </w:r>
      <w:r>
        <w:rPr>
          <w:spacing w:val="-63"/>
        </w:rPr>
        <w:t> </w:t>
      </w:r>
      <w:r>
        <w:rPr>
          <w:spacing w:val="-63"/>
        </w:rPr>
      </w:r>
      <w:r>
        <w:rPr/>
        <w:t>生实质性影响。根据《企业会计准则第</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会计政策、会计估计变更和差错更正》的相关规定，本次会计估计变更采用 </w:t>
      </w:r>
      <w:r>
        <w:rPr>
          <w:spacing w:val="-2"/>
        </w:rPr>
        <w:t>未来适用法进行会计处理，不需追溯调整，不会对以前年度财务状况和经营成果产生影响，本次会计估计变更无需对已披露</w:t>
      </w:r>
      <w:r>
        <w:rPr>
          <w:spacing w:val="-63"/>
        </w:rPr>
        <w:t> </w:t>
      </w:r>
      <w:r>
        <w:rPr>
          <w:spacing w:val="-63"/>
        </w:rPr>
      </w:r>
      <w:r>
        <w:rPr/>
        <w:t>的财务报告进行追溯调整。</w:t>
      </w:r>
    </w:p>
    <w:p>
      <w:pPr>
        <w:spacing w:line="240" w:lineRule="auto" w:before="1"/>
        <w:rPr>
          <w:rFonts w:ascii="宋体" w:hAnsi="宋体" w:cs="宋体" w:eastAsia="宋体" w:hint="default"/>
          <w:sz w:val="23"/>
          <w:szCs w:val="23"/>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1832"/>
        <w:gridCol w:w="4820"/>
        <w:gridCol w:w="2907"/>
      </w:tblGrid>
      <w:tr>
        <w:trPr>
          <w:trHeight w:val="40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税种</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0" w:type="dxa"/>
            <w:vMerge w:val="restart"/>
            <w:tcBorders>
              <w:top w:val="single" w:sz="4" w:space="0" w:color="000000"/>
              <w:left w:val="single" w:sz="9" w:space="0" w:color="D2D2D2"/>
              <w:right w:val="single" w:sz="4" w:space="0" w:color="000000"/>
            </w:tcBorders>
          </w:tcPr>
          <w:p>
            <w:pPr>
              <w:pStyle w:val="TableParagraph"/>
              <w:spacing w:line="309" w:lineRule="auto" w:before="49"/>
              <w:ind w:left="17" w:right="65"/>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，免税的税率 计算销项税，并按扣除当期允许抵扣的进项税额后的差额计 缴增值税。</w:t>
            </w:r>
          </w:p>
        </w:tc>
        <w:tc>
          <w:tcPr>
            <w:tcW w:w="29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4"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820" w:type="dxa"/>
            <w:vMerge/>
            <w:tcBorders>
              <w:left w:val="single" w:sz="9" w:space="0" w:color="D2D2D2"/>
              <w:right w:val="single" w:sz="4" w:space="0" w:color="000000"/>
            </w:tcBorders>
          </w:tcPr>
          <w:p>
            <w:pPr/>
          </w:p>
        </w:tc>
        <w:tc>
          <w:tcPr>
            <w:tcW w:w="2907" w:type="dxa"/>
            <w:vMerge/>
            <w:tcBorders>
              <w:left w:val="single" w:sz="4" w:space="0" w:color="000000"/>
              <w:right w:val="single" w:sz="4" w:space="0" w:color="000000"/>
            </w:tcBorders>
          </w:tcPr>
          <w:p>
            <w:pPr/>
          </w:p>
        </w:tc>
      </w:tr>
      <w:tr>
        <w:trPr>
          <w:trHeight w:val="317"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0" w:type="dxa"/>
            <w:vMerge/>
            <w:tcBorders>
              <w:left w:val="single" w:sz="9" w:space="0" w:color="D2D2D2"/>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r>
        <w:trPr>
          <w:trHeight w:val="40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8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8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1"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按实际增值额和规定税率缴纳土地增值税</w:t>
            </w:r>
          </w:p>
        </w:tc>
        <w:tc>
          <w:tcPr>
            <w:tcW w:w="29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存在不同企业所得税税率纳税主体的，披露情况说明</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江苏点逸网络科技有限公司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83"/>
        <w:jc w:val="left"/>
      </w:pPr>
      <w:r>
        <w:rPr>
          <w:rFonts w:ascii="Times New Roman" w:hAnsi="Times New Roman" w:cs="Times New Roman" w:eastAsia="Times New Roman" w:hint="default"/>
        </w:rPr>
        <w:t>1</w:t>
      </w:r>
      <w:r>
        <w:rPr/>
        <w:t>、增值税 根据财政部、国家税务总局财税</w:t>
      </w:r>
      <w:r>
        <w:rPr>
          <w:rFonts w:ascii="Times New Roman" w:hAnsi="Times New Roman" w:cs="Times New Roman" w:eastAsia="Times New Roman" w:hint="default"/>
        </w:rPr>
        <w:t>[2011]100</w:t>
      </w:r>
      <w:r>
        <w:rPr/>
        <w:t>号文《关于软件产品增值税政策的通知》的规定，自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日起，增值</w:t>
      </w:r>
    </w:p>
    <w:p>
      <w:pPr>
        <w:pStyle w:val="BodyText"/>
        <w:spacing w:line="312" w:lineRule="auto" w:before="13"/>
        <w:ind w:right="0"/>
        <w:jc w:val="left"/>
      </w:pPr>
      <w:r>
        <w:rPr/>
        <w:t>税一般纳税人销售其自行开发生产的软件产品，按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 </w:t>
      </w:r>
      <w:r>
        <w:rPr>
          <w:spacing w:val="-2"/>
        </w:rPr>
        <w:t>退政策。增值税一般纳税人将进口软件产品进行本地化改造后对外销售，其销售的软件产品可享受上述规定的增值税即征即</w:t>
      </w:r>
      <w:r>
        <w:rPr>
          <w:spacing w:val="-62"/>
        </w:rPr>
        <w:t> </w:t>
      </w:r>
      <w:r>
        <w:rPr>
          <w:spacing w:val="-62"/>
        </w:rPr>
      </w:r>
      <w:r>
        <w:rPr>
          <w:spacing w:val="-2"/>
        </w:rPr>
        <w:t>退政策。纳税人受托开发软件产品，著作权属于受托方的征收增值税，著作权属于委托方或属于双方共同拥有的不征收增值</w:t>
      </w:r>
      <w:r>
        <w:rPr>
          <w:spacing w:val="-63"/>
        </w:rPr>
        <w:t> </w:t>
      </w:r>
      <w:r>
        <w:rPr>
          <w:spacing w:val="-63"/>
        </w:rPr>
      </w:r>
      <w:r>
        <w:rPr/>
        <w:t>税；对经过国家版权局注册登记，纳税人在销售时一并转让著作权、所有权的，不征收增值税。</w:t>
      </w:r>
    </w:p>
    <w:p>
      <w:pPr>
        <w:pStyle w:val="BodyText"/>
        <w:spacing w:line="240" w:lineRule="auto" w:before="22"/>
        <w:ind w:left="513" w:right="1133"/>
        <w:jc w:val="left"/>
      </w:pPr>
      <w:r>
        <w:rPr/>
        <w:t>本公司销售其按照规定不得抵扣且未抵扣进项税额的固定资产，按简易办法依</w:t>
      </w:r>
      <w:r>
        <w:rPr>
          <w:rFonts w:ascii="Times New Roman" w:hAnsi="Times New Roman" w:cs="Times New Roman" w:eastAsia="Times New Roman" w:hint="default"/>
        </w:rPr>
        <w:t>3%</w:t>
      </w:r>
      <w:r>
        <w:rPr/>
        <w:t>征收率减按</w:t>
      </w:r>
      <w:r>
        <w:rPr>
          <w:rFonts w:ascii="Times New Roman" w:hAnsi="Times New Roman" w:cs="Times New Roman" w:eastAsia="Times New Roman" w:hint="default"/>
        </w:rPr>
        <w:t>2%</w:t>
      </w:r>
      <w:r>
        <w:rPr/>
        <w:t>征收增值税。</w:t>
      </w:r>
    </w:p>
    <w:p>
      <w:pPr>
        <w:pStyle w:val="BodyText"/>
        <w:spacing w:line="240" w:lineRule="auto" w:before="63"/>
        <w:ind w:left="513" w:right="1133"/>
        <w:jc w:val="left"/>
      </w:pPr>
      <w:r>
        <w:rPr>
          <w:rFonts w:ascii="Times New Roman" w:hAnsi="Times New Roman" w:cs="Times New Roman" w:eastAsia="Times New Roman" w:hint="default"/>
        </w:rPr>
        <w:t>2</w:t>
      </w:r>
      <w:r>
        <w:rPr/>
        <w:t>、企业所得税</w:t>
      </w:r>
    </w:p>
    <w:p>
      <w:pPr>
        <w:pStyle w:val="BodyText"/>
        <w:spacing w:line="300" w:lineRule="auto" w:before="63"/>
        <w:ind w:right="1097" w:firstLine="360"/>
        <w:jc w:val="both"/>
      </w:pPr>
      <w:r>
        <w:rPr>
          <w:spacing w:val="-2"/>
        </w:rPr>
        <w:t>（</w:t>
      </w:r>
      <w:r>
        <w:rPr>
          <w:rFonts w:ascii="Times New Roman" w:hAnsi="Times New Roman" w:cs="Times New Roman" w:eastAsia="Times New Roman" w:hint="default"/>
          <w:spacing w:val="-2"/>
        </w:rPr>
        <w:t>1</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月取得了北京市科学技术委员会、北京市财政局、北京市国家税务局、北京市地方税务局联合颁</w:t>
      </w:r>
      <w:r>
        <w:rPr/>
        <w:t> 发的编号为</w:t>
      </w:r>
      <w:r>
        <w:rPr>
          <w:rFonts w:ascii="Times New Roman" w:hAnsi="Times New Roman" w:cs="Times New Roman" w:eastAsia="Times New Roman" w:hint="default"/>
        </w:rPr>
        <w:t>GR201711001082</w:t>
      </w:r>
      <w:r>
        <w:rPr/>
        <w:t>的《高新技术企业证书》，有效期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pStyle w:val="BodyText"/>
        <w:spacing w:line="300" w:lineRule="auto" w:before="13"/>
        <w:ind w:right="1131" w:firstLine="360"/>
        <w:jc w:val="both"/>
      </w:pPr>
      <w:r>
        <w:rPr/>
        <w:t>（</w:t>
      </w:r>
      <w:r>
        <w:rPr>
          <w:rFonts w:ascii="Times New Roman" w:hAnsi="Times New Roman" w:cs="Times New Roman" w:eastAsia="Times New Roman" w:hint="default"/>
        </w:rPr>
        <w:t>2</w:t>
      </w:r>
      <w:r>
        <w:rPr/>
        <w:t>）武汉新晨信息产业有限公司于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日取得了湖北省科学技术厅、湖北省财政厅、湖北省国家税务局、湖 </w:t>
      </w:r>
      <w:r>
        <w:rPr>
          <w:spacing w:val="-2"/>
        </w:rPr>
        <w:t>北省地方税务局联合颁发的编号为</w:t>
      </w:r>
      <w:r>
        <w:rPr>
          <w:rFonts w:ascii="Times New Roman" w:hAnsi="Times New Roman" w:cs="Times New Roman" w:eastAsia="Times New Roman" w:hint="default"/>
          <w:spacing w:val="-2"/>
        </w:rPr>
        <w:t>GR201742001952</w:t>
      </w:r>
      <w:r>
        <w:rPr>
          <w:spacing w:val="-2"/>
        </w:rPr>
        <w:t>的《高新技术企业证书》，有效期为</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年适用</w:t>
      </w:r>
      <w:r>
        <w:rPr>
          <w:spacing w:val="-31"/>
        </w:rPr>
        <w:t> </w:t>
      </w:r>
      <w:r>
        <w:rPr>
          <w:spacing w:val="-31"/>
        </w:rPr>
      </w:r>
      <w:r>
        <w:rPr/>
        <w:t>的企业所得税税率为</w:t>
      </w:r>
      <w:r>
        <w:rPr>
          <w:rFonts w:ascii="Times New Roman" w:hAnsi="Times New Roman" w:cs="Times New Roman" w:eastAsia="Times New Roman" w:hint="default"/>
        </w:rPr>
        <w:t>15%</w:t>
      </w:r>
      <w:r>
        <w:rPr/>
        <w:t>。</w:t>
      </w:r>
    </w:p>
    <w:p>
      <w:pPr>
        <w:pStyle w:val="BodyText"/>
        <w:spacing w:line="300" w:lineRule="auto" w:before="13"/>
        <w:ind w:right="1132" w:firstLine="360"/>
        <w:jc w:val="both"/>
      </w:pPr>
      <w:r>
        <w:rPr/>
        <w:t>（</w:t>
      </w:r>
      <w:r>
        <w:rPr>
          <w:rFonts w:ascii="Times New Roman" w:hAnsi="Times New Roman" w:cs="Times New Roman" w:eastAsia="Times New Roman" w:hint="default"/>
        </w:rPr>
        <w:t>3</w:t>
      </w:r>
      <w:r>
        <w:rPr/>
        <w:t>）上海新晨信息集成系统有限公司于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03</w:t>
      </w:r>
      <w:r>
        <w:rPr/>
        <w:t>月取得上海市科学技术委员会、上海市财政局、上海市国家税务局、 </w:t>
      </w:r>
      <w:r>
        <w:rPr>
          <w:spacing w:val="-2"/>
        </w:rPr>
        <w:t>上海市地方税务局联合颁发的编号为</w:t>
      </w:r>
      <w:r>
        <w:rPr>
          <w:rFonts w:ascii="Times New Roman" w:hAnsi="Times New Roman" w:cs="Times New Roman" w:eastAsia="Times New Roman" w:hint="default"/>
          <w:spacing w:val="-2"/>
        </w:rPr>
        <w:t>GR201831002721</w:t>
      </w:r>
      <w:r>
        <w:rPr>
          <w:spacing w:val="-2"/>
        </w:rPr>
        <w:t>的《高新技术企业证书》，有效期为</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年适</w:t>
      </w:r>
      <w:r>
        <w:rPr>
          <w:spacing w:val="-35"/>
        </w:rPr>
        <w:t> </w:t>
      </w:r>
      <w:r>
        <w:rPr/>
        <w:t>用的企业所得税税率为</w:t>
      </w:r>
      <w:r>
        <w:rPr>
          <w:rFonts w:ascii="Times New Roman" w:hAnsi="Times New Roman" w:cs="Times New Roman" w:eastAsia="Times New Roman" w:hint="default"/>
        </w:rPr>
        <w:t>15%</w:t>
      </w:r>
      <w:r>
        <w:rPr/>
        <w:t>。</w:t>
      </w:r>
    </w:p>
    <w:p>
      <w:pPr>
        <w:pStyle w:val="BodyText"/>
        <w:spacing w:line="300" w:lineRule="auto" w:before="13"/>
        <w:ind w:right="0" w:firstLine="360"/>
        <w:jc w:val="left"/>
      </w:pPr>
      <w:r>
        <w:rPr>
          <w:spacing w:val="-2"/>
        </w:rPr>
        <w:t>（</w:t>
      </w:r>
      <w:r>
        <w:rPr>
          <w:rFonts w:ascii="Times New Roman" w:hAnsi="Times New Roman" w:cs="Times New Roman" w:eastAsia="Times New Roman" w:hint="default"/>
          <w:spacing w:val="-2"/>
        </w:rPr>
        <w:t>4</w:t>
      </w:r>
      <w:r>
        <w:rPr>
          <w:spacing w:val="-2"/>
        </w:rPr>
        <w:t>）北京瑞得音信息技术有限公司于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日取得北京市科学技术委员会、北京市财政局、北京市国家税务局、</w:t>
      </w:r>
      <w:r>
        <w:rPr/>
        <w:t> </w:t>
      </w:r>
      <w:r>
        <w:rPr>
          <w:spacing w:val="-2"/>
        </w:rPr>
        <w:t>北京市地方税务局联合颁发的编号为</w:t>
      </w:r>
      <w:r>
        <w:rPr>
          <w:rFonts w:ascii="Times New Roman" w:hAnsi="Times New Roman" w:cs="Times New Roman" w:eastAsia="Times New Roman" w:hint="default"/>
          <w:spacing w:val="-2"/>
        </w:rPr>
        <w:t>GR201611002003</w:t>
      </w:r>
      <w:r>
        <w:rPr>
          <w:spacing w:val="-2"/>
        </w:rPr>
        <w:t>的《高新技术企业证书》，有效期为</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年适</w:t>
      </w:r>
      <w:r>
        <w:rPr>
          <w:spacing w:val="-34"/>
        </w:rPr>
        <w:t> </w:t>
      </w:r>
      <w:r>
        <w:rPr/>
        <w:t>用的企业所得税税率为</w:t>
      </w:r>
      <w:r>
        <w:rPr>
          <w:rFonts w:ascii="Times New Roman" w:hAnsi="Times New Roman" w:cs="Times New Roman" w:eastAsia="Times New Roman" w:hint="default"/>
        </w:rPr>
        <w:t>15%</w:t>
      </w:r>
      <w:r>
        <w:rPr/>
        <w:t>。</w:t>
      </w:r>
    </w:p>
    <w:p>
      <w:pPr>
        <w:pStyle w:val="BodyText"/>
        <w:spacing w:line="300" w:lineRule="auto" w:before="13"/>
        <w:ind w:right="1127" w:firstLine="360"/>
        <w:jc w:val="both"/>
      </w:pPr>
      <w:r>
        <w:rPr/>
        <w:t>（</w:t>
      </w:r>
      <w:r>
        <w:rPr>
          <w:rFonts w:ascii="Times New Roman" w:hAnsi="Times New Roman" w:cs="Times New Roman" w:eastAsia="Times New Roman" w:hint="default"/>
        </w:rPr>
        <w:t>5</w:t>
      </w:r>
      <w:r>
        <w:rPr/>
        <w:t>）根据财政部、国家税务总局财税</w:t>
      </w:r>
      <w:r>
        <w:rPr>
          <w:rFonts w:ascii="Times New Roman" w:hAnsi="Times New Roman" w:cs="Times New Roman" w:eastAsia="Times New Roman" w:hint="default"/>
        </w:rPr>
        <w:t>[2018]77</w:t>
      </w:r>
      <w:r>
        <w:rPr/>
        <w:t>号文《关于进一步扩大小型微利企业所得税优惠政策范围的通知》的规 </w:t>
      </w:r>
      <w:r>
        <w:rPr>
          <w:spacing w:val="-2"/>
        </w:rPr>
        <w:t>定，广州新晨信息系统工程有限公司、上海点逸网络科技有限公司、江苏点逸网络科技有限公司属于小型微利企业，且</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年应纳税所得额低于</w:t>
      </w:r>
      <w:r>
        <w:rPr>
          <w:rFonts w:ascii="Times New Roman" w:hAnsi="Times New Roman" w:cs="Times New Roman" w:eastAsia="Times New Roman" w:hint="default"/>
        </w:rPr>
        <w:t>100</w:t>
      </w:r>
      <w:r>
        <w:rPr/>
        <w:t>万元，本期其所得减按</w:t>
      </w:r>
      <w:r>
        <w:rPr>
          <w:rFonts w:ascii="Times New Roman" w:hAnsi="Times New Roman" w:cs="Times New Roman" w:eastAsia="Times New Roman" w:hint="default"/>
        </w:rPr>
        <w:t>50%</w:t>
      </w:r>
      <w:r>
        <w:rPr/>
        <w:t>计入应纳税所得额，并按</w:t>
      </w:r>
      <w:r>
        <w:rPr>
          <w:rFonts w:ascii="Times New Roman" w:hAnsi="Times New Roman" w:cs="Times New Roman" w:eastAsia="Times New Roman" w:hint="default"/>
        </w:rPr>
        <w:t>20%</w:t>
      </w:r>
      <w:r>
        <w:rPr/>
        <w:t>的税率缴纳企业所得税。</w:t>
      </w:r>
    </w:p>
    <w:p>
      <w:pPr>
        <w:spacing w:line="240" w:lineRule="auto" w:before="0"/>
        <w:rPr>
          <w:rFonts w:ascii="宋体" w:hAnsi="宋体" w:cs="宋体" w:eastAsia="宋体" w:hint="default"/>
          <w:sz w:val="18"/>
          <w:szCs w:val="18"/>
        </w:rPr>
      </w:pPr>
    </w:p>
    <w:p>
      <w:pPr>
        <w:pStyle w:val="BodyText"/>
        <w:spacing w:line="338" w:lineRule="auto" w:before="130"/>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无</w:t>
      </w:r>
    </w:p>
    <w:p>
      <w:pPr>
        <w:spacing w:after="0" w:line="33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221,281.30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171,050.57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379,024,780.49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282,489,894.45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31,599,920.09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9,125,755.69</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410,845,981.88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291,786,700.71</w:t>
            </w:r>
          </w:p>
        </w:tc>
      </w:tr>
    </w:tbl>
    <w:p>
      <w:pPr>
        <w:pStyle w:val="BodyText"/>
        <w:spacing w:line="240" w:lineRule="auto" w:before="49"/>
        <w:ind w:right="1133"/>
        <w:jc w:val="left"/>
      </w:pPr>
      <w:r>
        <w:rPr/>
        <w:t>其他说明：其他货币资金系承兑汇票保证金及保函保证金。</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330,364,990.65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322,544,206.44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330,464,990.65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325,919,206.44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3,375,000.00</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390,753,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549.48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60,388,5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58.83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330,364,9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90.65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374,486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,473.73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51,942,26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322,544,20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6.44</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390,753,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549.48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60,388,5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58.83</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330,364,9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90.65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374,486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,473.73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51,942,26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7.29</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322,544,20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6.44</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期末单项金额重大并单项计提坏账准备的应收账款：</w:t>
      </w:r>
    </w:p>
    <w:p>
      <w:pPr>
        <w:pStyle w:val="BodyText"/>
        <w:spacing w:line="340" w:lineRule="auto" w:before="11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265,003,637.58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13,250,181.89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69,784,335.68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6,978,433.58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9,684,937.13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2,905,481.14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11,104,260.97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5,552,130.49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17,370,231.95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13,896,185.56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17,806,146.17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17,806,146.17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390,753,549.48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60,388,558.83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1034"/>
        <w:jc w:val="left"/>
      </w:pPr>
      <w:r>
        <w:rPr/>
        <w:t>确定该组合依据的说明： 公司根据以前年度与之相同或相类似的、按账龄段划分的具有类似信用风险特征的其他应收账款组合的实际损失率为基础， 结合现时情况分析法确定坏账准备计提的比例。</w:t>
      </w:r>
    </w:p>
    <w:p>
      <w:pPr>
        <w:pStyle w:val="BodyText"/>
        <w:spacing w:line="240" w:lineRule="auto" w:before="43"/>
        <w:ind w:right="1133"/>
        <w:jc w:val="left"/>
      </w:pPr>
      <w:r>
        <w:rPr/>
        <w:t>组合中，采用余额百分比法计提坏账准备的应收账款：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不适用</w:t>
      </w:r>
    </w:p>
    <w:p>
      <w:pPr>
        <w:pStyle w:val="BodyText"/>
        <w:spacing w:line="240" w:lineRule="auto" w:before="41"/>
        <w:ind w:right="113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1133"/>
        <w:jc w:val="left"/>
      </w:pPr>
      <w:r>
        <w:rPr/>
        <w:t>本期计提坏账准备金额</w:t>
      </w:r>
      <w:r>
        <w:rPr>
          <w:spacing w:val="-46"/>
        </w:rPr>
        <w:t> </w:t>
      </w:r>
      <w:r>
        <w:rPr>
          <w:rFonts w:ascii="Times New Roman" w:hAnsi="Times New Roman" w:cs="Times New Roman" w:eastAsia="Times New Roman" w:hint="default"/>
        </w:rPr>
        <w:t>8,446,291.54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133"/>
        <w:jc w:val="left"/>
      </w:pPr>
      <w:r>
        <w:rPr>
          <w:rFonts w:ascii="Times New Roman" w:hAnsi="Times New Roman" w:cs="Times New Roman" w:eastAsia="Times New Roman" w:hint="default"/>
        </w:rPr>
        <w:t>3)</w:t>
      </w:r>
      <w:r>
        <w:rPr/>
        <w:t>本期实际核销的应收账款情况</w:t>
      </w:r>
    </w:p>
    <w:p>
      <w:pPr>
        <w:pStyle w:val="BodyText"/>
        <w:spacing w:line="338" w:lineRule="auto" w:before="103"/>
        <w:ind w:right="6824"/>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60" w:lineRule="auto" w:before="43"/>
        <w:ind w:right="8954"/>
        <w:jc w:val="left"/>
      </w:pPr>
      <w:r>
        <w:rPr/>
        <w:t>是 软件与信息技术服务业</w:t>
      </w:r>
    </w:p>
    <w:p>
      <w:pPr>
        <w:spacing w:line="240" w:lineRule="auto" w:before="5"/>
        <w:rPr>
          <w:rFonts w:ascii="宋体" w:hAnsi="宋体" w:cs="宋体" w:eastAsia="宋体" w:hint="default"/>
          <w:sz w:val="3"/>
          <w:szCs w:val="3"/>
        </w:rPr>
      </w:pPr>
    </w:p>
    <w:p>
      <w:pPr>
        <w:spacing w:line="3375" w:lineRule="exact"/>
        <w:ind w:left="153"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5907250" cy="2143125"/>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1" cstate="print"/>
                    <a:stretch>
                      <a:fillRect/>
                    </a:stretch>
                  </pic:blipFill>
                  <pic:spPr>
                    <a:xfrm>
                      <a:off x="0" y="0"/>
                      <a:ext cx="5907250" cy="2143125"/>
                    </a:xfrm>
                    <a:prstGeom prst="rect">
                      <a:avLst/>
                    </a:prstGeom>
                  </pic:spPr>
                </pic:pic>
              </a:graphicData>
            </a:graphic>
          </wp:inline>
        </w:drawing>
      </w:r>
      <w:r>
        <w:rPr>
          <w:rFonts w:ascii="宋体" w:hAnsi="宋体" w:cs="宋体" w:eastAsia="宋体" w:hint="default"/>
          <w:position w:val="-67"/>
          <w:sz w:val="20"/>
          <w:szCs w:val="20"/>
        </w:rPr>
      </w:r>
    </w:p>
    <w:p>
      <w:pPr>
        <w:pStyle w:val="BodyText"/>
        <w:spacing w:line="240" w:lineRule="auto" w:before="78"/>
        <w:ind w:right="1133"/>
        <w:jc w:val="left"/>
      </w:pPr>
      <w:r>
        <w:rPr>
          <w:rFonts w:ascii="Times New Roman" w:hAnsi="Times New Roman" w:cs="Times New Roman" w:eastAsia="Times New Roman" w:hint="default"/>
        </w:rPr>
        <w:t>5)</w:t>
      </w:r>
      <w:r>
        <w:rPr/>
        <w:t>因金融资产转移而终止确认的应收账款</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其他说明：无</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35,243,756.92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7,480,041.30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90.56%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92,375.26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779,896.88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35,336,132.18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8,259,938.18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58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不适用</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28"/>
          <w:szCs w:val="28"/>
        </w:rPr>
      </w:pPr>
    </w:p>
    <w:p>
      <w:pPr>
        <w:spacing w:line="3360" w:lineRule="exact"/>
        <w:ind w:left="153"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5876290" cy="2133600"/>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2" cstate="print"/>
                    <a:stretch>
                      <a:fillRect/>
                    </a:stretch>
                  </pic:blipFill>
                  <pic:spPr>
                    <a:xfrm>
                      <a:off x="0" y="0"/>
                      <a:ext cx="5876290" cy="2133600"/>
                    </a:xfrm>
                    <a:prstGeom prst="rect">
                      <a:avLst/>
                    </a:prstGeom>
                  </pic:spPr>
                </pic:pic>
              </a:graphicData>
            </a:graphic>
          </wp:inline>
        </w:drawing>
      </w:r>
      <w:r>
        <w:rPr>
          <w:rFonts w:ascii="宋体" w:hAnsi="宋体" w:cs="宋体" w:eastAsia="宋体" w:hint="default"/>
          <w:position w:val="-66"/>
          <w:sz w:val="20"/>
          <w:szCs w:val="20"/>
        </w:rPr>
      </w:r>
    </w:p>
    <w:p>
      <w:pPr>
        <w:pStyle w:val="BodyText"/>
        <w:spacing w:line="240" w:lineRule="auto" w:before="86"/>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27,134,801.83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7,794,789.86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27,134,801.83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7,794,789.86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50"/>
        <w:gridCol w:w="848"/>
        <w:gridCol w:w="761"/>
        <w:gridCol w:w="763"/>
        <w:gridCol w:w="763"/>
        <w:gridCol w:w="788"/>
        <w:gridCol w:w="655"/>
        <w:gridCol w:w="761"/>
        <w:gridCol w:w="814"/>
        <w:gridCol w:w="934"/>
        <w:gridCol w:w="931"/>
      </w:tblGrid>
      <w:tr>
        <w:trPr>
          <w:trHeight w:val="402" w:hRule="exact"/>
        </w:trPr>
        <w:tc>
          <w:tcPr>
            <w:tcW w:w="1550" w:type="dxa"/>
            <w:vMerge w:val="restart"/>
            <w:tcBorders>
              <w:top w:val="single" w:sz="4" w:space="0" w:color="000000"/>
              <w:left w:val="single" w:sz="4" w:space="0" w:color="000000"/>
              <w:right w:val="single" w:sz="4" w:space="0" w:color="000000"/>
            </w:tcBorders>
            <w:shd w:val="clear" w:color="auto" w:fill="D2D2D2"/>
          </w:tcPr>
          <w:p>
            <w:pP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550" w:type="dxa"/>
            <w:vMerge/>
            <w:tcBorders>
              <w:left w:val="single" w:sz="4" w:space="0" w:color="000000"/>
              <w:bottom w:val="nil" w:sz="6" w:space="0" w:color="auto"/>
              <w:right w:val="single" w:sz="4" w:space="0" w:color="000000"/>
            </w:tcBorders>
            <w:shd w:val="clear" w:color="auto" w:fill="D2D2D2"/>
          </w:tcPr>
          <w:p>
            <w:pPr/>
          </w:p>
        </w:tc>
        <w:tc>
          <w:tcPr>
            <w:tcW w:w="16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10"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550" w:type="dxa"/>
            <w:vMerge/>
            <w:tcBorders>
              <w:left w:val="single" w:sz="4" w:space="0" w:color="000000"/>
              <w:bottom w:val="single" w:sz="4" w:space="0" w:color="FFFFFF"/>
              <w:right w:val="single" w:sz="4" w:space="0" w:color="000000"/>
            </w:tcBorders>
            <w:shd w:val="clear" w:color="auto" w:fill="D2D2D2"/>
          </w:tcPr>
          <w:p>
            <w:pPr/>
          </w:p>
        </w:tc>
        <w:tc>
          <w:tcPr>
            <w:tcW w:w="84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550" w:type="dxa"/>
            <w:vMerge w:val="restart"/>
            <w:tcBorders>
              <w:top w:val="single" w:sz="4" w:space="0" w:color="FFFFFF"/>
              <w:left w:val="single" w:sz="4" w:space="0" w:color="000000"/>
              <w:right w:val="single" w:sz="4" w:space="0" w:color="000000"/>
            </w:tcBorders>
            <w:shd w:val="clear" w:color="auto" w:fill="D2D2D2"/>
          </w:tcPr>
          <w:p>
            <w:pPr/>
          </w:p>
        </w:tc>
        <w:tc>
          <w:tcPr>
            <w:tcW w:w="84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550" w:type="dxa"/>
            <w:vMerge/>
            <w:tcBorders>
              <w:left w:val="single" w:sz="4" w:space="0" w:color="000000"/>
              <w:right w:val="single" w:sz="4" w:space="0" w:color="000000"/>
            </w:tcBorders>
            <w:shd w:val="clear" w:color="auto" w:fill="D2D2D2"/>
          </w:tcPr>
          <w:p>
            <w:pPr/>
          </w:p>
        </w:tc>
        <w:tc>
          <w:tcPr>
            <w:tcW w:w="848"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50" w:type="dxa"/>
            <w:vMerge/>
            <w:tcBorders>
              <w:left w:val="single" w:sz="4" w:space="0" w:color="000000"/>
              <w:bottom w:val="single" w:sz="4" w:space="0" w:color="000000"/>
              <w:right w:val="single" w:sz="4" w:space="0" w:color="000000"/>
            </w:tcBorders>
            <w:shd w:val="clear" w:color="auto" w:fill="D2D2D2"/>
          </w:tcPr>
          <w:p>
            <w:pPr/>
          </w:p>
        </w:tc>
        <w:tc>
          <w:tcPr>
            <w:tcW w:w="8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75"/>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84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84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29,142,23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2,007,42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27,134,80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1.83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8,614,7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11.65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819,921.7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7,794,789.8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84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5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48" w:type="dxa"/>
            <w:vMerge w:val="restart"/>
            <w:tcBorders>
              <w:top w:val="single" w:sz="4" w:space="0" w:color="000000"/>
              <w:left w:val="single" w:sz="9" w:space="0" w:color="D2D2D2"/>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29,142,23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0.26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2,007,42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8.43</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27,134,80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1.83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8,614,7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11.65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819,921.7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7,794,789.8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91" w:hRule="exact"/>
        </w:trPr>
        <w:tc>
          <w:tcPr>
            <w:tcW w:w="15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8"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4" w:hRule="exact"/>
        </w:trPr>
        <w:tc>
          <w:tcPr>
            <w:tcW w:w="15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980" w:header="745" w:top="1060" w:bottom="1160" w:left="980" w:right="0"/>
          <w:pgNumType w:start="12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373"/>
        <w:gridCol w:w="2393"/>
        <w:gridCol w:w="2393"/>
        <w:gridCol w:w="2393"/>
      </w:tblGrid>
      <w:tr>
        <w:trPr>
          <w:trHeight w:val="206" w:hRule="exact"/>
        </w:trPr>
        <w:tc>
          <w:tcPr>
            <w:tcW w:w="23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3"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27,114,289.64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1,355,714.48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928,870.20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92,887.02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325,407.18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162,703.59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91,849.52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73,479.62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168,713.72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168,713.72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29,142,230.26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2,007,428.43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360" w:lineRule="auto" w:before="44"/>
        <w:ind w:right="1787"/>
        <w:jc w:val="left"/>
      </w:pPr>
      <w:r>
        <w:rPr/>
        <w:t>确定该组合依据的说明： 组合中，采用余额百分比法计提坏账准备的其他应收款：</w:t>
      </w:r>
    </w:p>
    <w:p>
      <w:pPr>
        <w:pStyle w:val="BodyText"/>
        <w:spacing w:line="340" w:lineRule="auto" w:before="25"/>
        <w:ind w:right="2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7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787"/>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1"/>
        <w:jc w:val="left"/>
      </w:pPr>
      <w:r>
        <w:rPr/>
        <w:t>本期计提坏账准备金额</w:t>
      </w:r>
      <w:r>
        <w:rPr>
          <w:spacing w:val="-46"/>
        </w:rPr>
        <w:t> </w:t>
      </w:r>
      <w:r>
        <w:rPr>
          <w:rFonts w:ascii="Times New Roman" w:hAnsi="Times New Roman" w:cs="Times New Roman" w:eastAsia="Times New Roman" w:hint="default"/>
        </w:rPr>
        <w:t>1,187,506.64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787"/>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right="1787"/>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460" w:space="2370"/>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26,193,760.78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5,889,157.15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1,713,269.88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1,018,682.40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148,107.32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614,752.62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代垫运杂费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6,160.70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社保个人承担部分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1,080,931.58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1,016,219.48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29,142,230.26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8,614,711.65</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1,835,082.00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91,754.10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977,464.00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48,873.20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407,753.00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20,387.65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303,434.56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15,171.73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21,523,733.56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1,076,186.68</w:t>
            </w: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right="1133"/>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3"/>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其他说明：无</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after="0" w:line="36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12,295,435.84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12,295,435.84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12,174,538.34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12,174,538.34</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85,051,438.01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85,051,438.01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21,012,000.18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21,012,000.18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19,150,140.49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19,150,140.49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1,607,848.61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1,607,848.61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116,497,014.34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116,497,014.34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34,794,387.13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1,607,848.61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33,186,538.52</w:t>
            </w:r>
          </w:p>
        </w:tc>
      </w:tr>
    </w:tbl>
    <w:p>
      <w:pPr>
        <w:pStyle w:val="BodyText"/>
        <w:spacing w:line="340"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1,607,848.61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1,607,848.61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1,607,848.61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1,607,848.61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增值税预缴税额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11,750.11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456,127.12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6,124,533.16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5,791,598.36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所得税预缴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11,785.51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78,660.47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6,226,729.25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6,247,725.48</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8"/>
        <w:gridCol w:w="1196"/>
        <w:gridCol w:w="1248"/>
        <w:gridCol w:w="1369"/>
        <w:gridCol w:w="1366"/>
      </w:tblGrid>
      <w:tr>
        <w:trPr>
          <w:trHeight w:val="204"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按公允价值计量的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1121"/>
        <w:gridCol w:w="1136"/>
        <w:gridCol w:w="566"/>
        <w:gridCol w:w="1133"/>
        <w:gridCol w:w="852"/>
        <w:gridCol w:w="991"/>
        <w:gridCol w:w="850"/>
        <w:gridCol w:w="428"/>
        <w:gridCol w:w="991"/>
        <w:gridCol w:w="634"/>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期末</w:t>
            </w:r>
          </w:p>
        </w:tc>
        <w:tc>
          <w:tcPr>
            <w:tcW w:w="991" w:type="dxa"/>
            <w:vMerge/>
            <w:tcBorders>
              <w:left w:val="single" w:sz="4" w:space="0" w:color="000000"/>
              <w:bottom w:val="single" w:sz="4" w:space="0" w:color="000000"/>
              <w:right w:val="single" w:sz="4" w:space="0" w:color="000000"/>
            </w:tcBorders>
            <w:shd w:val="clear" w:color="auto" w:fill="D2D2D2"/>
          </w:tcPr>
          <w:p>
            <w:pPr/>
          </w:p>
        </w:tc>
        <w:tc>
          <w:tcPr>
            <w:tcW w:w="634"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新晨航空 科技（天 津）有限 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北京如智 科技有限 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1,393,000.00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19.90%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410"/>
        <w:gridCol w:w="1274"/>
        <w:gridCol w:w="1136"/>
        <w:gridCol w:w="1349"/>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410"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3,841,347.00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3,841,347.00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72,330,498.91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72,330,498.91</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2410"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72,330,498.91</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72,330,498.91</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410"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3,841,347.00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3,841,347.00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3,841,347.00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3,841,347.00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72,330,498.91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72,330,498.91</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04"/>
        <w:gridCol w:w="2410"/>
        <w:gridCol w:w="1274"/>
        <w:gridCol w:w="1136"/>
        <w:gridCol w:w="1349"/>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2,518,615.95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2,518,615.95</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2,879,046.63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2,879,046.63</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805,870.42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805,870.42</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）本期新增</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2,073,176.21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2,073,176.21</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2,685,874.59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2,685,874.59</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2,685,874.59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2,685,874.59</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2,711,787.99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2,711,787.99</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4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69,618,710.92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69,618,710.92</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1,322,731.05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1,322,731.05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2410"/>
        <w:gridCol w:w="3190"/>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宋体" w:hAnsi="宋体" w:cs="宋体" w:eastAsia="宋体" w:hint="default"/>
                <w:sz w:val="18"/>
                <w:szCs w:val="18"/>
              </w:rPr>
              <w:t>中关村环保科技示范园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号楼出租部分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1" w:right="0"/>
              <w:jc w:val="left"/>
              <w:rPr>
                <w:rFonts w:ascii="Times New Roman" w:hAnsi="Times New Roman" w:cs="Times New Roman" w:eastAsia="Times New Roman" w:hint="default"/>
                <w:sz w:val="18"/>
                <w:szCs w:val="18"/>
              </w:rPr>
            </w:pPr>
            <w:r>
              <w:rPr>
                <w:rFonts w:ascii="Times New Roman"/>
                <w:sz w:val="18"/>
              </w:rPr>
              <w:t>68,497,375.92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产权证书办理中</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39,510,920.81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12,868,828.23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39,510,920.81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12,868,828.23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3" w:hRule="exact"/>
        </w:trPr>
        <w:tc>
          <w:tcPr>
            <w:tcW w:w="1916"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5"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25,082,323.30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3,140,054.63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9,937,623.15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38,160,001.08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36,931,399.11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472,584.78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2,694,540.17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40,098,524.06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472,584.78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2,548,649.48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3,021,234.26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36,931,399.11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36,931,399.11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145,890.69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145,890.69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12,507,021.06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583,679.00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953,674.34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14,044,374.40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583,679.00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953,674.34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1,537,353.34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）转入投资性房地产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12,507,021.06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12,507,021.06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49,506,701.35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3,028,960.41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11,678,488.98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64,214,150.74</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15,990,897.77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2,879,617.72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6,420,657.36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25,291,172.85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1,545,364.15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112,529.86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1,283,935.81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2,941,829.82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1,545,364.15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1,191,012.86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2,848,906.87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92,922.95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92,922.95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2,073,176.21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554,495.05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902,101.48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3,529,772.74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554,495.05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902,101.48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1,456,596.53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）转入投资性房地产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2,073,176.21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2,073,176.21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15,463,085.71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2,437,652.53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6,802,491.69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24,703,229.93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34,043,615.64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591,307.88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4,875,997.29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39,510,920.81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9,091,425.53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260,436.91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3,516,965.79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12,868,828.23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9"/>
        <w:gridCol w:w="2552"/>
        <w:gridCol w:w="3190"/>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中关村环保科技示范园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号楼自用部分</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6" w:right="0"/>
              <w:jc w:val="left"/>
              <w:rPr>
                <w:rFonts w:ascii="Times New Roman" w:hAnsi="Times New Roman" w:cs="Times New Roman" w:eastAsia="Times New Roman" w:hint="default"/>
                <w:sz w:val="18"/>
                <w:szCs w:val="18"/>
              </w:rPr>
            </w:pPr>
            <w:r>
              <w:rPr>
                <w:rFonts w:ascii="Times New Roman"/>
                <w:sz w:val="18"/>
              </w:rPr>
              <w:t>27,253,334.77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产权证书办理中</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89,622,829.57</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89,622,829.57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定制厂房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89,622,829.57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89,622,829.57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89,622,829.57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89,622,829.57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定制厂 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99,526,0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15.52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89,622,8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6,955,06</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2.93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36,931,3</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99.11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59,646,4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93.39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99,526,0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89,622,8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6,955,06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36,931,3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99.11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59,646,4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571"/>
        <w:gridCol w:w="1277"/>
        <w:gridCol w:w="1558"/>
        <w:gridCol w:w="1702"/>
        <w:gridCol w:w="1342"/>
      </w:tblGrid>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58"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02"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42"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6,759,763.72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6,759,763.72</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6,457,846.36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6,457,846.36</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6,447,846.36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6,447,846.36</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277"/>
        <w:gridCol w:w="1558"/>
        <w:gridCol w:w="1702"/>
        <w:gridCol w:w="1342"/>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13,217,610.08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13,217,610.08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4,386,340.08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4,386,340.08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1,850,109.00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1,850,109.00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1,840,109.00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1,840,109.00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6,236,449.08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6,236,449.08</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6,981,161.00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6,981,161.00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2,373,423.64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2,373,423.64</w:t>
            </w:r>
          </w:p>
        </w:tc>
      </w:tr>
    </w:tbl>
    <w:p>
      <w:pPr>
        <w:pStyle w:val="BodyText"/>
        <w:spacing w:line="240" w:lineRule="auto" w:before="49"/>
        <w:ind w:right="1133"/>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4"/>
        <w:gridCol w:w="1277"/>
        <w:gridCol w:w="1560"/>
        <w:gridCol w:w="991"/>
        <w:gridCol w:w="850"/>
        <w:gridCol w:w="692"/>
        <w:gridCol w:w="1366"/>
      </w:tblGrid>
      <w:tr>
        <w:trPr>
          <w:trHeight w:val="207" w:hRule="exact"/>
        </w:trPr>
        <w:tc>
          <w:tcPr>
            <w:tcW w:w="28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28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1"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1541"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8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991" w:type="dxa"/>
            <w:vMerge w:val="restart"/>
            <w:tcBorders>
              <w:top w:val="single" w:sz="4" w:space="0" w:color="000000"/>
              <w:left w:val="single" w:sz="13" w:space="0" w:color="D2D2D2"/>
              <w:right w:val="single" w:sz="13" w:space="0" w:color="D2D2D2"/>
            </w:tcBorders>
            <w:shd w:val="clear" w:color="auto" w:fill="E0FFFF"/>
          </w:tcPr>
          <w:p>
            <w:pPr/>
          </w:p>
        </w:tc>
        <w:tc>
          <w:tcPr>
            <w:tcW w:w="850" w:type="dxa"/>
            <w:vMerge w:val="restart"/>
            <w:tcBorders>
              <w:top w:val="single" w:sz="4" w:space="0" w:color="000000"/>
              <w:left w:val="single" w:sz="4" w:space="0" w:color="000000"/>
              <w:right w:val="single" w:sz="15" w:space="0" w:color="E0FFFF"/>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92" w:type="dxa"/>
            <w:vMerge w:val="restart"/>
            <w:tcBorders>
              <w:top w:val="single" w:sz="4" w:space="0" w:color="000000"/>
              <w:left w:val="single" w:sz="10" w:space="0" w:color="D2D2D2"/>
              <w:right w:val="single" w:sz="10" w:space="0" w:color="D2D2D2"/>
            </w:tcBorders>
            <w:shd w:val="clear" w:color="auto" w:fill="E0FFFF"/>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8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13" w:space="0" w:color="D2D2D2"/>
              <w:bottom w:val="single" w:sz="4" w:space="0" w:color="000000"/>
              <w:right w:val="single" w:sz="13" w:space="0" w:color="D2D2D2"/>
            </w:tcBorders>
            <w:shd w:val="clear" w:color="auto" w:fill="E0FFFF"/>
          </w:tcPr>
          <w:p>
            <w:pPr/>
          </w:p>
        </w:tc>
        <w:tc>
          <w:tcPr>
            <w:tcW w:w="850" w:type="dxa"/>
            <w:vMerge/>
            <w:tcBorders>
              <w:left w:val="single" w:sz="4" w:space="0" w:color="000000"/>
              <w:bottom w:val="single" w:sz="4" w:space="0" w:color="000000"/>
              <w:right w:val="single" w:sz="15" w:space="0" w:color="E0FFFF"/>
            </w:tcBorders>
            <w:shd w:val="clear" w:color="auto" w:fill="D2D2D2"/>
          </w:tcPr>
          <w:p>
            <w:pPr/>
          </w:p>
        </w:tc>
        <w:tc>
          <w:tcPr>
            <w:tcW w:w="692" w:type="dxa"/>
            <w:vMerge/>
            <w:tcBorders>
              <w:left w:val="single" w:sz="10" w:space="0" w:color="D2D2D2"/>
              <w:bottom w:val="single" w:sz="4" w:space="0" w:color="000000"/>
              <w:right w:val="single" w:sz="10" w:space="0" w:color="D2D2D2"/>
            </w:tcBorders>
            <w:shd w:val="clear" w:color="auto" w:fill="E0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1277"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152,727,059.26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152,727,059.26</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152,727,059.26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152,727,059.26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商誉所在资产组或资产组组合的相关信息</w:t>
      </w:r>
    </w:p>
    <w:p>
      <w:pPr>
        <w:spacing w:line="240" w:lineRule="auto" w:before="8"/>
        <w:rPr>
          <w:rFonts w:ascii="宋体" w:hAnsi="宋体" w:cs="宋体" w:eastAsia="宋体" w:hint="default"/>
          <w:sz w:val="9"/>
          <w:szCs w:val="9"/>
        </w:rPr>
      </w:pPr>
    </w:p>
    <w:p>
      <w:pPr>
        <w:spacing w:line="2460" w:lineRule="exact"/>
        <w:ind w:left="153"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5848984" cy="1562100"/>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4" cstate="print"/>
                    <a:stretch>
                      <a:fillRect/>
                    </a:stretch>
                  </pic:blipFill>
                  <pic:spPr>
                    <a:xfrm>
                      <a:off x="0" y="0"/>
                      <a:ext cx="5848984" cy="1562100"/>
                    </a:xfrm>
                    <a:prstGeom prst="rect">
                      <a:avLst/>
                    </a:prstGeom>
                  </pic:spPr>
                </pic:pic>
              </a:graphicData>
            </a:graphic>
          </wp:inline>
        </w:drawing>
      </w:r>
      <w:r>
        <w:rPr>
          <w:rFonts w:ascii="宋体" w:hAnsi="宋体" w:cs="宋体" w:eastAsia="宋体" w:hint="default"/>
          <w:position w:val="-48"/>
          <w:sz w:val="20"/>
          <w:szCs w:val="20"/>
        </w:rPr>
      </w:r>
    </w:p>
    <w:p>
      <w:pPr>
        <w:pStyle w:val="BodyText"/>
        <w:spacing w:line="338" w:lineRule="auto" w:before="69"/>
        <w:ind w:right="1124"/>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 商誉的可收回金额按照预计未来现金流量的现值计算，其预计现金流量根据公司批准的</w:t>
      </w:r>
      <w:r>
        <w:rPr>
          <w:rFonts w:ascii="Times New Roman" w:hAnsi="Times New Roman" w:cs="Times New Roman" w:eastAsia="Times New Roman" w:hint="default"/>
        </w:rPr>
        <w:t>5</w:t>
      </w:r>
      <w:r>
        <w:rPr/>
        <w:t>年期现金流量预测为基础，现金流</w:t>
      </w:r>
    </w:p>
    <w:p>
      <w:pPr>
        <w:pStyle w:val="BodyText"/>
        <w:spacing w:line="230" w:lineRule="exact"/>
        <w:ind w:right="0"/>
        <w:jc w:val="left"/>
      </w:pPr>
      <w:r>
        <w:rPr/>
        <w:t>量预测使用的折现率</w:t>
      </w:r>
      <w:r>
        <w:rPr>
          <w:rFonts w:ascii="Times New Roman" w:hAnsi="Times New Roman" w:cs="Times New Roman" w:eastAsia="Times New Roman" w:hint="default"/>
        </w:rPr>
        <w:t>19.04%</w:t>
      </w:r>
      <w:r>
        <w:rPr/>
        <w:t>，预测期以后的现金流量根据增长率</w:t>
      </w:r>
      <w:r>
        <w:rPr>
          <w:rFonts w:ascii="Times New Roman" w:hAnsi="Times New Roman" w:cs="Times New Roman" w:eastAsia="Times New Roman" w:hint="default"/>
        </w:rPr>
        <w:t>15%</w:t>
      </w:r>
      <w:r>
        <w:rPr/>
        <w:t>推断得出，该增长率和软件技术服务行业总体长期平均</w:t>
      </w:r>
    </w:p>
    <w:p>
      <w:pPr>
        <w:pStyle w:val="BodyText"/>
        <w:spacing w:line="309" w:lineRule="auto" w:before="63"/>
        <w:ind w:right="1130"/>
        <w:jc w:val="left"/>
      </w:pPr>
      <w:r>
        <w:rPr/>
        <w:t>增长率相当。 </w:t>
      </w:r>
      <w:r>
        <w:rPr>
          <w:spacing w:val="-2"/>
        </w:rPr>
        <w:t>根据公司聘请的北京华亚正信资产评估有限公司对新晨科技公司出具的《评估报告》（华亚正信评报字【</w:t>
      </w:r>
      <w:r>
        <w:rPr>
          <w:rFonts w:ascii="Times New Roman" w:hAnsi="Times New Roman" w:cs="Times New Roman" w:eastAsia="Times New Roman" w:hint="default"/>
          <w:spacing w:val="-2"/>
        </w:rPr>
        <w:t>2019</w:t>
      </w:r>
      <w:r>
        <w:rPr>
          <w:spacing w:val="-2"/>
        </w:rPr>
        <w:t>】第</w:t>
      </w:r>
      <w:r>
        <w:rPr>
          <w:rFonts w:ascii="Times New Roman" w:hAnsi="Times New Roman" w:cs="Times New Roman" w:eastAsia="Times New Roman" w:hint="default"/>
          <w:spacing w:val="-2"/>
        </w:rPr>
        <w:t>A01-0026</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号），包含商誉的资产组或资产组组合可收回金额为</w:t>
      </w:r>
      <w:r>
        <w:rPr>
          <w:rFonts w:ascii="Times New Roman" w:hAnsi="Times New Roman" w:cs="Times New Roman" w:eastAsia="Times New Roman" w:hint="default"/>
        </w:rPr>
        <w:t>39,536.64</w:t>
      </w:r>
      <w:r>
        <w:rPr/>
        <w:t>万元。</w:t>
      </w:r>
    </w:p>
    <w:p>
      <w:pPr>
        <w:pStyle w:val="BodyText"/>
        <w:spacing w:line="240" w:lineRule="auto" w:before="46"/>
        <w:ind w:right="1133"/>
        <w:jc w:val="left"/>
      </w:pPr>
      <w:r>
        <w:rPr/>
        <w:t>商誉减值测试的影响</w:t>
      </w:r>
    </w:p>
    <w:p>
      <w:pPr>
        <w:pStyle w:val="BodyText"/>
        <w:spacing w:line="300" w:lineRule="auto" w:before="115"/>
        <w:ind w:right="1117"/>
        <w:jc w:val="left"/>
      </w:pPr>
      <w:r>
        <w:rPr>
          <w:spacing w:val="-2"/>
        </w:rPr>
        <w:t>商誉所在资产组或资产组组合可收回金额高于其账面价值，本期并购重组相关方已完成</w:t>
      </w:r>
      <w:r>
        <w:rPr>
          <w:rFonts w:ascii="Times New Roman" w:hAnsi="Times New Roman" w:cs="Times New Roman" w:eastAsia="Times New Roman" w:hint="default"/>
          <w:spacing w:val="-2"/>
        </w:rPr>
        <w:t>2018</w:t>
      </w:r>
      <w:r>
        <w:rPr>
          <w:spacing w:val="-2"/>
        </w:rPr>
        <w:t>年度业绩承诺，无需计提商誉减</w:t>
      </w:r>
      <w:r>
        <w:rPr>
          <w:spacing w:val="-61"/>
        </w:rPr>
        <w:t> </w:t>
      </w:r>
      <w:r>
        <w:rPr>
          <w:spacing w:val="-61"/>
        </w:rPr>
      </w:r>
      <w:r>
        <w:rPr/>
        <w:t>值准备。</w:t>
      </w:r>
    </w:p>
    <w:p>
      <w:pPr>
        <w:pStyle w:val="BodyText"/>
        <w:spacing w:line="240" w:lineRule="auto" w:before="72"/>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726,627.23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369,292.94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141,973.24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953,946.93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726,627.23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369,292.94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141,973.24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953,946.93</w:t>
            </w:r>
          </w:p>
        </w:tc>
      </w:tr>
    </w:tbl>
    <w:p>
      <w:pPr>
        <w:pStyle w:val="BodyText"/>
        <w:spacing w:line="357" w:lineRule="auto" w:before="49"/>
        <w:ind w:right="4634"/>
        <w:jc w:val="left"/>
      </w:pPr>
      <w:r>
        <w:rPr/>
        <w:t>其他说明 注：本年增加金额是因非同一控制下合并北京瑞得音信息技术有限公司形成。</w:t>
      </w:r>
    </w:p>
    <w:p>
      <w:pPr>
        <w:spacing w:after="0" w:line="357"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61,743,566.45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9,307,336.83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51,956,223.14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7,851,123.25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667,715.36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100,157.30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1,020,711.75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174,115.10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2,211,542.11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377,249.35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未付成本费用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17,259,543.69</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2,588,931.55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988,104.34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148,215.65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80,691,537.25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12,170,540.78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55,155,869.59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8,376,588.25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5"/>
        <w:gridCol w:w="1914"/>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12,170,540.78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8,376,588.25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652,420.81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2,413,814.55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1,865,623.68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4,247,080.60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2,518,044.49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6,660,895.15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2,940,251.43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1,060,571.12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1,060,571.12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31,246.56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31,246.56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84,472.87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84,472.87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130,538.62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130,538.62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558,794.51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1,865,623.68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4,247,080.60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预付购建固定资产款项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8,691,104.00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8,691,104.00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129,963,242.48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76,538,637.33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206,501,879.81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064"/>
        <w:jc w:val="left"/>
      </w:pPr>
      <w:r>
        <w:rPr/>
        <w:t>短期借款分类的说明： 注</w:t>
      </w:r>
      <w:r>
        <w:rPr>
          <w:rFonts w:ascii="Times New Roman" w:hAnsi="Times New Roman" w:cs="Times New Roman" w:eastAsia="Times New Roman" w:hint="default"/>
        </w:rPr>
        <w:t>1</w:t>
      </w:r>
      <w:r>
        <w:rPr/>
        <w:t>：保证借款情况详见本附注十二、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w:t>
      </w:r>
    </w:p>
    <w:p>
      <w:pPr>
        <w:pStyle w:val="BodyText"/>
        <w:spacing w:line="214" w:lineRule="exact"/>
        <w:ind w:right="0"/>
        <w:jc w:val="left"/>
      </w:pPr>
      <w:r>
        <w:rPr/>
        <w:t>注</w:t>
      </w:r>
      <w:r>
        <w:rPr>
          <w:rFonts w:ascii="Times New Roman" w:hAnsi="Times New Roman" w:cs="Times New Roman" w:eastAsia="Times New Roman" w:hint="default"/>
        </w:rPr>
        <w:t>2</w:t>
      </w:r>
      <w:r>
        <w:rPr/>
        <w:t>：保证借款中与华夏银行华夏银行北京中关村支行的</w:t>
      </w:r>
      <w:r>
        <w:rPr>
          <w:rFonts w:ascii="Times New Roman" w:hAnsi="Times New Roman" w:cs="Times New Roman" w:eastAsia="Times New Roman" w:hint="default"/>
        </w:rPr>
        <w:t>5,000</w:t>
      </w:r>
      <w:r>
        <w:rPr/>
        <w:t>万借款，在担保的同时，本公司以所属的</w:t>
      </w:r>
      <w:r>
        <w:rPr>
          <w:rFonts w:ascii="Times New Roman" w:hAnsi="Times New Roman" w:cs="Times New Roman" w:eastAsia="Times New Roman" w:hint="default"/>
        </w:rPr>
        <w:t>4</w:t>
      </w:r>
      <w:r>
        <w:rPr/>
        <w:t>个软件著作权（</w:t>
      </w:r>
      <w:r>
        <w:rPr>
          <w:rFonts w:ascii="Times New Roman" w:hAnsi="Times New Roman" w:cs="Times New Roman" w:eastAsia="Times New Roman" w:hint="default"/>
        </w:rPr>
        <w:t>a</w:t>
      </w:r>
      <w:r>
        <w:rPr/>
        <w:t>：</w:t>
      </w:r>
    </w:p>
    <w:p>
      <w:pPr>
        <w:pStyle w:val="BodyText"/>
        <w:spacing w:line="300" w:lineRule="auto" w:before="63"/>
        <w:ind w:right="1154"/>
        <w:jc w:val="left"/>
        <w:rPr>
          <w:rFonts w:ascii="宋体" w:hAnsi="宋体" w:cs="宋体" w:eastAsia="宋体" w:hint="default"/>
        </w:rPr>
      </w:pPr>
      <w:r>
        <w:rPr/>
        <w:t>融资贷款系统</w:t>
      </w:r>
      <w:r>
        <w:rPr>
          <w:rFonts w:ascii="Times New Roman" w:hAnsi="Times New Roman" w:cs="Times New Roman" w:eastAsia="Times New Roman" w:hint="default"/>
        </w:rPr>
        <w:t>V1.0</w:t>
      </w:r>
      <w:r>
        <w:rPr/>
        <w:t>，号码：</w:t>
      </w:r>
      <w:r>
        <w:rPr>
          <w:rFonts w:ascii="Times New Roman" w:hAnsi="Times New Roman" w:cs="Times New Roman" w:eastAsia="Times New Roman" w:hint="default"/>
        </w:rPr>
        <w:t>2014SR072646</w:t>
      </w:r>
      <w:r>
        <w:rPr/>
        <w:t>；</w:t>
      </w:r>
      <w:r>
        <w:rPr>
          <w:rFonts w:ascii="Times New Roman" w:hAnsi="Times New Roman" w:cs="Times New Roman" w:eastAsia="Times New Roman" w:hint="default"/>
        </w:rPr>
        <w:t>b</w:t>
      </w:r>
      <w:r>
        <w:rPr/>
        <w:t>：集团资金管理系统</w:t>
      </w:r>
      <w:r>
        <w:rPr>
          <w:rFonts w:ascii="Times New Roman" w:hAnsi="Times New Roman" w:cs="Times New Roman" w:eastAsia="Times New Roman" w:hint="default"/>
        </w:rPr>
        <w:t>V1.0</w:t>
      </w:r>
      <w:r>
        <w:rPr/>
        <w:t>，号码：</w:t>
      </w:r>
      <w:r>
        <w:rPr>
          <w:rFonts w:ascii="Times New Roman" w:hAnsi="Times New Roman" w:cs="Times New Roman" w:eastAsia="Times New Roman" w:hint="default"/>
        </w:rPr>
        <w:t>2012SR084275</w:t>
      </w:r>
      <w:r>
        <w:rPr/>
        <w:t>；</w:t>
      </w:r>
      <w:r>
        <w:rPr>
          <w:rFonts w:ascii="Times New Roman" w:hAnsi="Times New Roman" w:cs="Times New Roman" w:eastAsia="Times New Roman" w:hint="default"/>
        </w:rPr>
        <w:t>c</w:t>
      </w:r>
      <w:r>
        <w:rPr/>
        <w:t>：数据仓库展示系统，号 码：</w:t>
      </w:r>
      <w:r>
        <w:rPr>
          <w:rFonts w:ascii="Times New Roman" w:hAnsi="Times New Roman" w:cs="Times New Roman" w:eastAsia="Times New Roman" w:hint="default"/>
        </w:rPr>
        <w:t>2012SR084816</w:t>
      </w:r>
      <w:r>
        <w:rPr/>
        <w:t>；</w:t>
      </w:r>
      <w:r>
        <w:rPr>
          <w:rFonts w:ascii="Times New Roman" w:hAnsi="Times New Roman" w:cs="Times New Roman" w:eastAsia="Times New Roman" w:hint="default"/>
        </w:rPr>
        <w:t>d</w:t>
      </w:r>
      <w:r>
        <w:rPr/>
        <w:t>：新晨企业服务总线系统</w:t>
      </w:r>
      <w:r>
        <w:rPr>
          <w:rFonts w:ascii="Times New Roman" w:hAnsi="Times New Roman" w:cs="Times New Roman" w:eastAsia="Times New Roman" w:hint="default"/>
        </w:rPr>
        <w:t>[</w:t>
      </w:r>
      <w:r>
        <w:rPr/>
        <w:t>简称：新晨</w:t>
      </w:r>
      <w:r>
        <w:rPr>
          <w:rFonts w:ascii="Times New Roman" w:hAnsi="Times New Roman" w:cs="Times New Roman" w:eastAsia="Times New Roman" w:hint="default"/>
        </w:rPr>
        <w:t>ESB]V1.0,</w:t>
      </w:r>
      <w:r>
        <w:rPr/>
        <w:t>号码：</w:t>
      </w:r>
      <w:r>
        <w:rPr>
          <w:rFonts w:ascii="Times New Roman" w:hAnsi="Times New Roman" w:cs="Times New Roman" w:eastAsia="Times New Roman" w:hint="default"/>
        </w:rPr>
        <w:t>2016SR060891</w:t>
      </w:r>
      <w:r>
        <w:rPr/>
        <w:t>）作为质押。</w:t>
      </w:r>
      <w:r>
        <w:rPr>
          <w:rFonts w:ascii="宋体" w:hAnsi="宋体" w:cs="宋体" w:eastAsia="宋体" w:hint="default"/>
        </w:rPr>
        <w:t> </w:t>
      </w:r>
    </w:p>
    <w:p>
      <w:pPr>
        <w:spacing w:line="240" w:lineRule="auto" w:before="4"/>
        <w:rPr>
          <w:rFonts w:ascii="宋体" w:hAnsi="宋体" w:cs="宋体" w:eastAsia="宋体" w:hint="default"/>
          <w:sz w:val="22"/>
          <w:szCs w:val="22"/>
        </w:rPr>
      </w:pPr>
    </w:p>
    <w:p>
      <w:pPr>
        <w:spacing w:line="547" w:lineRule="auto" w:before="0"/>
        <w:ind w:left="152" w:right="49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100"/>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Times New Roman" w:hAnsi="Times New Roman" w:cs="Times New Roman" w:eastAsia="Times New Roman" w:hint="default"/>
          <w:b/>
          <w:bCs/>
          <w:spacing w:val="-1"/>
          <w:sz w:val="21"/>
          <w:szCs w:val="21"/>
        </w:rPr>
        <w:t>27</w:t>
      </w:r>
      <w:r>
        <w:rPr>
          <w:rFonts w:ascii="宋体" w:hAnsi="宋体" w:cs="宋体" w:eastAsia="宋体" w:hint="default"/>
          <w:b/>
          <w:bCs/>
          <w:spacing w:val="-1"/>
          <w:sz w:val="21"/>
          <w:szCs w:val="21"/>
        </w:rPr>
        <w:t>、以公允价值计量且其变动计入当期损益的金融负债</w:t>
      </w:r>
      <w:r>
        <w:rPr>
          <w:rFonts w:ascii="宋体" w:hAnsi="宋体" w:cs="宋体" w:eastAsia="宋体" w:hint="default"/>
          <w:spacing w:val="-1"/>
          <w:sz w:val="21"/>
          <w:szCs w:val="21"/>
        </w:rPr>
      </w:r>
    </w:p>
    <w:p>
      <w:pPr>
        <w:pStyle w:val="Heading3"/>
        <w:spacing w:line="240" w:lineRule="auto" w:before="26"/>
        <w:ind w:right="1133"/>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79,553,323.80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6,948,320.00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110,145,375.54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103,655,423.70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189,698,699.34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110,603,743.70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5,317,000.00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79,553,323.80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1,631,320.00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79,553,323.80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6,948,320.00</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应付软件款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5,098,394.52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10,429,547.05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15,821,466.95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14,955,809.84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应付材料设备款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89,225,514.07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78,270,066.81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110,145,375.54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103,655,423.70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5,331,083.33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2,646,326.36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1,331,100.82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10,902,710.51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预收合同进度款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18,681,947.66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7,103,388.21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335,855.74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263,864.52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19,017,803.40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7,367,252.73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472,200.00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55"/>
        <w:gridCol w:w="1844"/>
        <w:gridCol w:w="1844"/>
        <w:gridCol w:w="1632"/>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18,123,708.60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185,999,690.91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177,579,540.57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26,543,858.94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340,943.89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16,333,022.15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16,310,420.85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363,545.19</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194,600.00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18,464,652.49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202,527,313.06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194,084,561.42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26,907,404.13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55"/>
        <w:gridCol w:w="1844"/>
        <w:gridCol w:w="1844"/>
        <w:gridCol w:w="1632"/>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3,383,179.88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157,914,319.42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151,427,741.31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9,869,757.99</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4,291,650.92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4,291,650.92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222,516.44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9,688,787.53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9,659,572.58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251,731.39</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193,874.62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8,751,304.58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8,725,508.00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219,671.20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09"/>
        <w:gridCol w:w="1844"/>
        <w:gridCol w:w="1844"/>
        <w:gridCol w:w="1844"/>
        <w:gridCol w:w="1632"/>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4,289.86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204,529.40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203,240.95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5,578.31</w:t>
            </w:r>
          </w:p>
        </w:tc>
      </w:tr>
      <w:tr>
        <w:trPr>
          <w:trHeight w:val="404"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24,351.96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732,953.55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730,823.63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26,481.88</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11,780,465.22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11,778,277.22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14,520,200.28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2,324,467.82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422,298.54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16,422,369.56</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18,123,708.60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185,999,690.91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177,579,540.57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26,543,858.94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352,127.55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15,731,710.56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15,734,723.44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349,114.67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601,311.59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575,697.41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14,430.52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340,943.89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16,333,022.15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16,310,420.85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363,545.19</w:t>
            </w:r>
          </w:p>
        </w:tc>
      </w:tr>
    </w:tbl>
    <w:p>
      <w:pPr>
        <w:pStyle w:val="BodyText"/>
        <w:spacing w:line="240" w:lineRule="auto" w:before="49"/>
        <w:ind w:right="0"/>
        <w:jc w:val="both"/>
      </w:pPr>
      <w:r>
        <w:rPr/>
        <w:t>其他说明：</w:t>
      </w:r>
    </w:p>
    <w:p>
      <w:pPr>
        <w:pStyle w:val="BodyText"/>
        <w:spacing w:line="309" w:lineRule="auto" w:before="115"/>
        <w:ind w:right="1130"/>
        <w:jc w:val="both"/>
      </w:pPr>
      <w:r>
        <w:rPr>
          <w:spacing w:val="-2"/>
        </w:rPr>
        <w:t>本公司按规定参加由政府机构设立的养老保险、失业保险计划，根据该等计划，本公司分别按员工基本工资的</w:t>
      </w:r>
      <w:r>
        <w:rPr>
          <w:rFonts w:ascii="Times New Roman" w:hAnsi="Times New Roman" w:cs="Times New Roman" w:eastAsia="Times New Roman" w:hint="default"/>
          <w:spacing w:val="-2"/>
        </w:rPr>
        <w:t>19%</w:t>
      </w:r>
      <w:r>
        <w:rPr>
          <w:spacing w:val="-2"/>
        </w:rPr>
        <w:t>、</w:t>
      </w:r>
      <w:r>
        <w:rPr>
          <w:rFonts w:ascii="Times New Roman" w:hAnsi="Times New Roman" w:cs="Times New Roman" w:eastAsia="Times New Roman" w:hint="default"/>
          <w:spacing w:val="-2"/>
        </w:rPr>
        <w:t>0.8%</w:t>
      </w:r>
      <w:r>
        <w:rPr>
          <w:spacing w:val="-2"/>
        </w:rPr>
        <w:t>每</w:t>
      </w:r>
      <w:r>
        <w:rPr>
          <w:spacing w:val="-47"/>
        </w:rPr>
        <w:t> </w:t>
      </w:r>
      <w:r>
        <w:rPr>
          <w:spacing w:val="-2"/>
        </w:rPr>
        <w:t>月向该等计划缴存费用。除上述每月缴存费用外，本公司不再承担进一步支付义务。相应的支出于发生时计入当期损益或相</w:t>
      </w:r>
      <w:r>
        <w:rPr>
          <w:spacing w:val="-63"/>
        </w:rPr>
        <w:t> </w:t>
      </w:r>
      <w:r>
        <w:rPr>
          <w:spacing w:val="-63"/>
        </w:rPr>
      </w:r>
      <w:r>
        <w:rPr/>
        <w:t>关资产的成本。</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15,492,847.21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25,516,792.99</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5,249,500.37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2,650,322.13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86,667.89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67,863.83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1,079,840.21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1,864,062.82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486,976.77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822,454.26</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289,307.04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498,098.06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23,130.42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22,707,459.32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31,442,724.51</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357,033.89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17,321,450.26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25,485,551.81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17,678,484.15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25,485,551.81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357,033.89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357,033.89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2,335,423.30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142,205.44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员工待报销款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189,204.98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181,552.00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社保公积金个人部分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1,415.64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1,804.67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288,813.21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股权激励股份回购义务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14,553,921.00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24,256,535.00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241,485.34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614,641.49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17,321,450.26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25,485,551.81</w:t>
            </w:r>
          </w:p>
        </w:tc>
      </w:tr>
    </w:tbl>
    <w:p>
      <w:pPr>
        <w:pStyle w:val="BodyText"/>
        <w:spacing w:line="240" w:lineRule="auto" w:before="49"/>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股权激励股份回购义务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7,276,960.50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处于等待期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7,276,960.50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87"/>
        <w:gridCol w:w="2693"/>
        <w:gridCol w:w="3190"/>
      </w:tblGrid>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316,901.88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86"/>
        <w:gridCol w:w="2693"/>
        <w:gridCol w:w="3190"/>
      </w:tblGrid>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316,901.88</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671,202.46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671,202.46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671,202.46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671,202.46</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848"/>
        <w:gridCol w:w="1279"/>
        <w:gridCol w:w="1061"/>
        <w:gridCol w:w="1063"/>
        <w:gridCol w:w="1063"/>
        <w:gridCol w:w="1064"/>
        <w:gridCol w:w="1063"/>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 w:right="56"/>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7" w:right="91" w:hanging="92"/>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面向灾备资 源共享的容 灾云关键技 术与系统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420,137.65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420,137.65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面向灾备资 源共享的容 灾云关键技 术与系统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251,064.81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251,064.81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671,202.46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671,202.46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91,191,500.00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63,834,050.00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63,834,050.00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155,025,550.00</w:t>
            </w:r>
          </w:p>
        </w:tc>
      </w:tr>
    </w:tbl>
    <w:p>
      <w:pPr>
        <w:pStyle w:val="BodyText"/>
        <w:spacing w:line="240" w:lineRule="auto" w:before="49"/>
        <w:ind w:right="1133"/>
        <w:jc w:val="left"/>
      </w:pPr>
      <w:r>
        <w:rPr/>
        <w:t>其他说明：</w:t>
      </w:r>
    </w:p>
    <w:p>
      <w:pPr>
        <w:pStyle w:val="BodyText"/>
        <w:spacing w:line="240" w:lineRule="auto" w:before="115"/>
        <w:ind w:left="513" w:right="0"/>
        <w:jc w:val="left"/>
      </w:pPr>
      <w:r>
        <w:rPr/>
        <w:t>经本公司</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年年度股东大会审议通过的《新晨科技股份有限公司</w:t>
      </w:r>
      <w:r>
        <w:rPr>
          <w:rFonts w:ascii="Times New Roman" w:hAnsi="Times New Roman" w:cs="Times New Roman" w:eastAsia="Times New Roman" w:hint="default"/>
        </w:rPr>
        <w:t>2017</w:t>
      </w:r>
      <w:r>
        <w:rPr/>
        <w:t>年度利润分配及资本公积金转增股本预案》，</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1128"/>
        <w:jc w:val="both"/>
      </w:pPr>
      <w:r>
        <w:rPr/>
        <w:t>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9,119.15</w:t>
      </w:r>
      <w:r>
        <w:rPr/>
        <w:t>万股为基数，向全体股东实施每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0.80</w:t>
      </w:r>
      <w:r>
        <w:rPr/>
        <w:t>元（含税），同时以资本公积金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股。分红前本公司总股本为</w:t>
      </w:r>
      <w:r>
        <w:rPr>
          <w:rFonts w:ascii="Times New Roman" w:hAnsi="Times New Roman" w:cs="Times New Roman" w:eastAsia="Times New Roman" w:hint="default"/>
        </w:rPr>
        <w:t>9,119.15</w:t>
      </w:r>
      <w:r>
        <w:rPr/>
        <w:t>万股，分红后总股本增至</w:t>
      </w:r>
      <w:r>
        <w:rPr>
          <w:rFonts w:ascii="Times New Roman" w:hAnsi="Times New Roman" w:cs="Times New Roman" w:eastAsia="Times New Roman" w:hint="default"/>
        </w:rPr>
        <w:t>15,502.555</w:t>
      </w:r>
      <w:r>
        <w:rPr/>
        <w:t>万股。经本公司</w:t>
      </w:r>
      <w:r>
        <w:rPr>
          <w:rFonts w:ascii="Times New Roman" w:hAnsi="Times New Roman" w:cs="Times New Roman" w:eastAsia="Times New Roman" w:hint="default"/>
        </w:rPr>
        <w:t>2018</w:t>
      </w:r>
      <w:r>
        <w:rPr/>
        <w:t>年第二 </w:t>
      </w:r>
      <w:r>
        <w:rPr>
          <w:spacing w:val="-2"/>
        </w:rPr>
        <w:t>次临时股东大会，审议通过了《关于新晨科技股份有限公司变更公司注册资本的议案》和《关于修订</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spacing w:val="-2"/>
        </w:rPr>
        <w:t>及办理工商</w:t>
      </w:r>
      <w:r>
        <w:rPr>
          <w:spacing w:val="-61"/>
        </w:rPr>
        <w:t> </w:t>
      </w:r>
      <w:r>
        <w:rPr>
          <w:spacing w:val="-61"/>
        </w:rPr>
      </w:r>
      <w:r>
        <w:rPr/>
        <w:t>变更登记的议案》，因本公司</w:t>
      </w:r>
      <w:r>
        <w:rPr>
          <w:rFonts w:ascii="Times New Roman" w:hAnsi="Times New Roman" w:cs="Times New Roman" w:eastAsia="Times New Roman" w:hint="default"/>
        </w:rPr>
        <w:t>2017</w:t>
      </w:r>
      <w:r>
        <w:rPr/>
        <w:t>年年度权益分派方案已经实施完成，本公司注册资本由人民币</w:t>
      </w:r>
      <w:r>
        <w:rPr>
          <w:rFonts w:ascii="Times New Roman" w:hAnsi="Times New Roman" w:cs="Times New Roman" w:eastAsia="Times New Roman" w:hint="default"/>
        </w:rPr>
        <w:t>9,119.15</w:t>
      </w:r>
      <w:r>
        <w:rPr/>
        <w:t>万元变更为人民币 </w:t>
      </w:r>
      <w:r>
        <w:rPr>
          <w:rFonts w:ascii="Times New Roman" w:hAnsi="Times New Roman" w:cs="Times New Roman" w:eastAsia="Times New Roman" w:hint="default"/>
        </w:rPr>
        <w:t>15,502.555</w:t>
      </w:r>
      <w:r>
        <w:rPr/>
        <w:t>万元，本公司股份总数由</w:t>
      </w:r>
      <w:r>
        <w:rPr>
          <w:rFonts w:ascii="Times New Roman" w:hAnsi="Times New Roman" w:cs="Times New Roman" w:eastAsia="Times New Roman" w:hint="default"/>
        </w:rPr>
        <w:t>9,119.15</w:t>
      </w:r>
      <w:r>
        <w:rPr/>
        <w:t>万股增加至</w:t>
      </w:r>
      <w:r>
        <w:rPr>
          <w:rFonts w:ascii="Times New Roman" w:hAnsi="Times New Roman" w:cs="Times New Roman" w:eastAsia="Times New Roman" w:hint="default"/>
        </w:rPr>
        <w:t>15,502.555</w:t>
      </w:r>
      <w:r>
        <w:rPr/>
        <w:t>万股。截至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日止，本公司已完成工商变更登 记手续，并取得北京市工商行政管理局海淀分局换发的营业执照。</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222,365,763.42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2,751,618.00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63,834,050.00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161,283,331.42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2,341,475.61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1,547,785.14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2,751,618.00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1,137,642.75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224,707,239.03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4,299,403.14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66,585,668.00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162,420,974.17</w:t>
            </w:r>
          </w:p>
        </w:tc>
      </w:tr>
    </w:tbl>
    <w:p>
      <w:pPr>
        <w:pStyle w:val="BodyText"/>
        <w:spacing w:line="360" w:lineRule="auto" w:before="49"/>
        <w:ind w:left="513" w:right="1210" w:hanging="361"/>
        <w:jc w:val="left"/>
      </w:pPr>
      <w:r>
        <w:rPr/>
        <w:t>其他说明，包括本期增减变动情况、变动原因说明： 本年因实施</w:t>
      </w:r>
      <w:r>
        <w:rPr>
          <w:rFonts w:ascii="Times New Roman" w:hAnsi="Times New Roman" w:cs="Times New Roman" w:eastAsia="Times New Roman" w:hint="default"/>
        </w:rPr>
        <w:t>2017</w:t>
      </w:r>
      <w:r>
        <w:rPr/>
        <w:t>年度权益分派及资本公积转增股本，导致期末资本公积</w:t>
      </w:r>
      <w:r>
        <w:rPr>
          <w:rFonts w:ascii="Times New Roman" w:hAnsi="Times New Roman" w:cs="Times New Roman" w:eastAsia="Times New Roman" w:hint="default"/>
        </w:rPr>
        <w:t>-</w:t>
      </w:r>
      <w:r>
        <w:rPr/>
        <w:t>股本溢价减少</w:t>
      </w:r>
      <w:r>
        <w:rPr>
          <w:rFonts w:ascii="Times New Roman" w:hAnsi="Times New Roman" w:cs="Times New Roman" w:eastAsia="Times New Roman" w:hint="default"/>
        </w:rPr>
        <w:t>63,834,050.00</w:t>
      </w:r>
      <w:r>
        <w:rPr/>
        <w:t>元；其他资本公积</w:t>
      </w:r>
    </w:p>
    <w:p>
      <w:pPr>
        <w:pStyle w:val="BodyText"/>
        <w:spacing w:line="199" w:lineRule="exact"/>
        <w:ind w:right="1133"/>
        <w:jc w:val="left"/>
      </w:pPr>
      <w:r>
        <w:rPr/>
        <w:t>变动原因为实施限制性股票方案引起的变动。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844"/>
        <w:gridCol w:w="1702"/>
        <w:gridCol w:w="1844"/>
        <w:gridCol w:w="1774"/>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限制性股票产生的回购义务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9,702,614.00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14,553,921.00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24,256,535.00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9,702,614.00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14,553,921.00</w:t>
            </w:r>
          </w:p>
        </w:tc>
      </w:tr>
    </w:tbl>
    <w:p>
      <w:pPr>
        <w:pStyle w:val="BodyText"/>
        <w:spacing w:line="357" w:lineRule="auto" w:before="49"/>
        <w:ind w:left="513" w:right="0" w:hanging="361"/>
        <w:jc w:val="left"/>
      </w:pPr>
      <w:r>
        <w:rPr/>
        <w:t>其他说明，包括本期增减变动情况、变动原因说明： </w:t>
      </w:r>
      <w:r>
        <w:rPr>
          <w:spacing w:val="-2"/>
        </w:rPr>
        <w:t>本年库存股减少，原因为</w:t>
      </w:r>
      <w:r>
        <w:rPr>
          <w:rFonts w:ascii="Times New Roman" w:hAnsi="Times New Roman" w:cs="Times New Roman" w:eastAsia="Times New Roman" w:hint="default"/>
          <w:spacing w:val="-2"/>
        </w:rPr>
        <w:t>2017</w:t>
      </w:r>
      <w:r>
        <w:rPr>
          <w:spacing w:val="-2"/>
        </w:rPr>
        <w:t>年度实施附回购义务的限制性股票，本年完成第一次解锁。库存股金额按照附回购义务的</w:t>
      </w:r>
    </w:p>
    <w:p>
      <w:pPr>
        <w:pStyle w:val="BodyText"/>
        <w:spacing w:line="201" w:lineRule="exact"/>
        <w:ind w:right="1133"/>
        <w:jc w:val="left"/>
      </w:pPr>
      <w:r>
        <w:rPr/>
        <w:t>限制性股票的数量以及相应的回购价格计算确定。</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footerReference w:type="default" r:id="rId25"/>
          <w:pgSz w:w="11910" w:h="16840"/>
          <w:pgMar w:footer="980" w:header="745" w:top="1060" w:bottom="1160" w:left="980" w:right="0"/>
          <w:pgNumType w:start="139"/>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39,991,615.35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2,007,685.82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41,999,301.17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39,991,615.35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2,007,685.82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41,999,301.17</w:t>
            </w:r>
          </w:p>
        </w:tc>
      </w:tr>
    </w:tbl>
    <w:p>
      <w:pPr>
        <w:pStyle w:val="BodyText"/>
        <w:spacing w:line="240" w:lineRule="auto" w:before="49"/>
        <w:ind w:right="1133"/>
        <w:jc w:val="left"/>
      </w:pPr>
      <w:r>
        <w:rPr/>
        <w:t>盈余公积说明，包括本期增减变动情况、变动原因说明：</w:t>
      </w:r>
    </w:p>
    <w:p>
      <w:pPr>
        <w:pStyle w:val="BodyText"/>
        <w:spacing w:line="309" w:lineRule="auto" w:before="115"/>
        <w:ind w:right="1034"/>
        <w:jc w:val="left"/>
      </w:pPr>
      <w:r>
        <w:rPr>
          <w:spacing w:val="-4"/>
        </w:rPr>
        <w:t>根据《公司法》、公司章程的规定，本公司按净利润的</w:t>
      </w:r>
      <w:r>
        <w:rPr>
          <w:rFonts w:ascii="Times New Roman" w:hAnsi="Times New Roman" w:cs="Times New Roman" w:eastAsia="Times New Roman" w:hint="default"/>
          <w:spacing w:val="-4"/>
        </w:rPr>
        <w:t>10%</w:t>
      </w:r>
      <w:r>
        <w:rPr>
          <w:spacing w:val="-4"/>
        </w:rPr>
        <w:t>提取法定盈余公积。法定盈余公积累计额达到本公司注册资本</w:t>
      </w:r>
      <w:r>
        <w:rPr>
          <w:rFonts w:ascii="Times New Roman" w:hAnsi="Times New Roman" w:cs="Times New Roman" w:eastAsia="Times New Roman" w:hint="default"/>
          <w:spacing w:val="-4"/>
        </w:rPr>
        <w:t>50%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以上的，不再提取。 本公司在提取法定盈余公积金后，可提取任意盈余公积金。经批准，任意盈余公积金可用于弥补以前年度亏损或增加股本。</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263,511,881.12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236,700,724.74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263,511,881.12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236,700,724.74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38,368,529.31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36,187,810.88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2,007,685.82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3,066,154.50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7,295,320.00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6,310,500.00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292,577,404.61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263,511,881.12</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802,051,625.07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632,458,612.75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605,507,617.99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462,830,807.90</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17,138,131.90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2,139,152.53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944,194.66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182,464.22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819,189,756.97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634,597,765.28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606,451,812.65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463,013,272.12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588,109.83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1,978,193.20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343,800.34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965,481.76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1,022,085.26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1,115,911.71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18,017.94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5,870.00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333,026.13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118,644.82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76,274.85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434,907.33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2,709,402.27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5,404.48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5,090,779.43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4,642,431.24</w:t>
            </w:r>
          </w:p>
        </w:tc>
      </w:tr>
    </w:tbl>
    <w:p>
      <w:pPr>
        <w:pStyle w:val="BodyText"/>
        <w:spacing w:line="240" w:lineRule="auto" w:before="49"/>
        <w:ind w:right="1133"/>
        <w:jc w:val="left"/>
        <w:rPr>
          <w:rFonts w:ascii="宋体" w:hAnsi="宋体" w:cs="宋体" w:eastAsia="宋体" w:hint="default"/>
        </w:rPr>
      </w:pPr>
      <w:r>
        <w:rPr/>
        <w:t>其他说明：无</w:t>
      </w:r>
      <w:r>
        <w:rPr>
          <w:rFonts w:ascii="宋体" w:hAnsi="宋体" w:cs="宋体" w:eastAsia="宋体" w:hint="default"/>
        </w:rPr>
        <w:t> </w:t>
      </w:r>
    </w:p>
    <w:p>
      <w:pPr>
        <w:pStyle w:val="BodyText"/>
        <w:spacing w:line="240" w:lineRule="auto" w:before="115"/>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10,593,919.92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9,075,393.24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5,889,959.15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6,565,062.06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4,750,599.13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3,023,738.12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3,263,869.38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2,344,345.57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2,011,308.52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2,948,118.53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26,509,656.10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23,956,657.52</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32,256,841.99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23,912,263.77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1,809,599.60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2,582,589.30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8,111,179.51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5,825,328.47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2,601,672.17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1,952,259.18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审计和技术咨询费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963,082.29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941,426.07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816,084.05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778,905.64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1,202,198.48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1,185,470.99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1,547,785.14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2,235,689.61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2,259,929.84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2,497,383.80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51,568,373.07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41,911,316.83</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32,989,955.17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21,084,057.24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695,678.12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127,939.22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3,808,710.35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5,082,214.36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37,494,343.64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26,294,210.82</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6,026,328.03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58,603.43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1,784,467.22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2,303,268.36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20,189.51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835,690.89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183,951.62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5,068,510.77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-2,040,523.80</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8,674,511.04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12,583,984.84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8,674,511.04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12,583,984.84</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1,668,104.34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2,336,973.17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1,097,228.77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1,097,228.77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31,171.14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-30,165.61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5,913.97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147,907.42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153,821.39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6"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32,661.64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32,661.64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2,156.64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2,156.64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34,818.28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34,818.28</w:t>
            </w:r>
          </w:p>
        </w:tc>
      </w:tr>
    </w:tbl>
    <w:p>
      <w:pPr>
        <w:pStyle w:val="BodyText"/>
        <w:spacing w:line="240" w:lineRule="auto" w:before="49"/>
        <w:ind w:right="1133"/>
        <w:jc w:val="left"/>
      </w:pPr>
      <w:r>
        <w:rPr/>
        <w:t>其他说明：无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8,096,131.56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4,577,705.31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-3,793,952.53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-2,213,176.33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4,302,179.03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2,364,528.98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216"/>
        <w:gridCol w:w="3343"/>
      </w:tblGrid>
      <w:tr>
        <w:trPr>
          <w:trHeight w:val="403"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52,991,328.81</w:t>
            </w:r>
          </w:p>
        </w:tc>
      </w:tr>
      <w:tr>
        <w:trPr>
          <w:trHeight w:val="403"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7,948,699.32</w:t>
            </w:r>
          </w:p>
        </w:tc>
      </w:tr>
      <w:tr>
        <w:trPr>
          <w:trHeight w:val="401"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293,811.31</w:t>
            </w:r>
          </w:p>
        </w:tc>
      </w:tr>
      <w:tr>
        <w:trPr>
          <w:trHeight w:val="403"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66,119.59</w:t>
            </w:r>
          </w:p>
        </w:tc>
      </w:tr>
      <w:tr>
        <w:trPr>
          <w:trHeight w:val="401"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1,106,607.24</w:t>
            </w:r>
          </w:p>
        </w:tc>
      </w:tr>
      <w:tr>
        <w:trPr>
          <w:trHeight w:val="403"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-35,044.67</w:t>
            </w:r>
          </w:p>
        </w:tc>
      </w:tr>
      <w:tr>
        <w:trPr>
          <w:trHeight w:val="401"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-142,028.95</w:t>
            </w:r>
          </w:p>
        </w:tc>
      </w:tr>
      <w:tr>
        <w:trPr>
          <w:trHeight w:val="404" w:hRule="exact"/>
        </w:trPr>
        <w:tc>
          <w:tcPr>
            <w:tcW w:w="6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-4,935,984.80</w:t>
            </w:r>
          </w:p>
        </w:tc>
      </w:tr>
      <w:tr>
        <w:trPr>
          <w:trHeight w:val="401"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4,302,179.03</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16,374,788.69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10,156,173.70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2,133,517.08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6,777,940.19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1,720,926.00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1,784,467.22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2,303,268.36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2,847,569.54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1,190,055.39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334.630005pt;margin-top:685.179993pt;width:110.7pt;height:19.6pt;mso-position-horizontal-relative:page;mso-position-vertical-relative:page;z-index:-888472" coordorigin="6693,13704" coordsize="2214,392">
            <v:shape style="position:absolute;left:6693;top:13704;width:2214;height:392" coordorigin="6693,13704" coordsize="2214,392" path="m6693,14095l8906,14095,8906,13704,6693,13704,6693,1409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23,820,342.53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22,148,363.64</w:t>
            </w:r>
          </w:p>
        </w:tc>
      </w:tr>
    </w:tbl>
    <w:p>
      <w:pPr>
        <w:pStyle w:val="BodyText"/>
        <w:spacing w:line="357" w:lineRule="auto" w:before="49"/>
        <w:ind w:right="3464"/>
        <w:jc w:val="left"/>
      </w:pPr>
      <w:r>
        <w:rPr/>
        <w:t>收到的其他与经营活动有关的现金说明： 保证金中本期收到的保函及银行承兑汇票保证金为</w:t>
      </w:r>
      <w:r>
        <w:rPr>
          <w:rFonts w:ascii="Times New Roman" w:hAnsi="Times New Roman" w:cs="Times New Roman" w:eastAsia="Times New Roman" w:hint="default"/>
        </w:rPr>
        <w:t>5,608,895.00</w:t>
      </w:r>
      <w:r>
        <w:rPr/>
        <w:t>元（上期为</w:t>
      </w:r>
      <w:r>
        <w:rPr>
          <w:rFonts w:ascii="Times New Roman" w:hAnsi="Times New Roman" w:cs="Times New Roman" w:eastAsia="Times New Roman" w:hint="default"/>
        </w:rPr>
        <w:t>5,781,144.00</w:t>
      </w:r>
      <w:r>
        <w:rPr/>
        <w:t>元）。</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52,646,609.31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14,716,440.56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3,136,050.02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9,588,275.76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以现金支付的各项费用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56,065,947.35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50,544,767.62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111,848,606.68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74,849,483.94</w:t>
            </w:r>
          </w:p>
        </w:tc>
      </w:tr>
    </w:tbl>
    <w:p>
      <w:pPr>
        <w:pStyle w:val="BodyText"/>
        <w:spacing w:line="357" w:lineRule="auto" w:before="49"/>
        <w:ind w:right="3014"/>
        <w:jc w:val="left"/>
      </w:pPr>
      <w:r>
        <w:rPr/>
        <w:t>支付的其他与经营活动有关的现金说明： 保证金中本期支付的保函及银行承兑汇票保证金为</w:t>
      </w:r>
      <w:r>
        <w:rPr>
          <w:rFonts w:ascii="Times New Roman" w:hAnsi="Times New Roman" w:cs="Times New Roman" w:eastAsia="Times New Roman" w:hint="default"/>
        </w:rPr>
        <w:t>31,550,761.28</w:t>
      </w:r>
      <w:r>
        <w:rPr/>
        <w:t>元（上期金额为</w:t>
      </w:r>
      <w:r>
        <w:rPr>
          <w:rFonts w:ascii="Times New Roman" w:hAnsi="Times New Roman" w:cs="Times New Roman" w:eastAsia="Times New Roman" w:hint="default"/>
        </w:rPr>
        <w:t>5,608,895.00</w:t>
      </w:r>
      <w:r>
        <w:rPr/>
        <w:t>元）。</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3"/>
        <w:gridCol w:w="2284"/>
        <w:gridCol w:w="1771"/>
      </w:tblGrid>
      <w:tr>
        <w:trPr>
          <w:trHeight w:val="403"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48,689,149.78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36,186,563.05</w:t>
            </w:r>
          </w:p>
        </w:tc>
      </w:tr>
      <w:tr>
        <w:trPr>
          <w:trHeight w:val="401"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8,674,511.04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12,583,984.84</w:t>
            </w:r>
          </w:p>
        </w:tc>
      </w:tr>
      <w:tr>
        <w:trPr>
          <w:trHeight w:val="403"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3,654,777.29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2,258,802.12</w:t>
            </w:r>
          </w:p>
        </w:tc>
      </w:tr>
      <w:tr>
        <w:trPr>
          <w:trHeight w:val="401"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1,810,109.00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1,119,242.24</w:t>
            </w:r>
          </w:p>
        </w:tc>
      </w:tr>
      <w:tr>
        <w:trPr>
          <w:trHeight w:val="403"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141,973.24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98,444.39</w:t>
            </w:r>
          </w:p>
        </w:tc>
      </w:tr>
      <w:tr>
        <w:trPr>
          <w:trHeight w:val="401" w:hRule="exact"/>
        </w:trPr>
        <w:tc>
          <w:tcPr>
            <w:tcW w:w="550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22" w:space="0" w:color="FFFFFF"/>
              <w:bottom w:val="single" w:sz="4" w:space="0" w:color="000000"/>
              <w:right w:val="single" w:sz="4" w:space="0" w:color="000000"/>
            </w:tcBorders>
          </w:tcPr>
          <w:p>
            <w:pPr>
              <w:pStyle w:val="TableParagraph"/>
              <w:tabs>
                <w:tab w:pos="1135" w:val="left" w:leader="none"/>
              </w:tabs>
              <w:spacing w:line="240" w:lineRule="auto" w:before="49"/>
              <w:ind w:left="-13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-13,067,299.07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30,165.61</w:t>
            </w:r>
          </w:p>
        </w:tc>
      </w:tr>
      <w:tr>
        <w:trPr>
          <w:trHeight w:val="403"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6,026,328.03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58,603.43</w:t>
            </w:r>
          </w:p>
        </w:tc>
      </w:tr>
      <w:tr>
        <w:trPr>
          <w:trHeight w:val="401"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-1,097,228.77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-3,793,952.53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-2,213,176.33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08"/>
        <w:gridCol w:w="2279"/>
        <w:gridCol w:w="1771"/>
      </w:tblGrid>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-83,310,475.82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8,782,020.24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-50,940,993.95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-128,110,642.37</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106,503,911.77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66,795,588.51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559,680.80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1,918,787.73</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23,850,490.81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-491,616.54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81" w:right="0"/>
              <w:jc w:val="left"/>
              <w:rPr>
                <w:rFonts w:ascii="Times New Roman" w:hAnsi="Times New Roman" w:cs="Times New Roman" w:eastAsia="Times New Roman" w:hint="default"/>
                <w:sz w:val="18"/>
                <w:szCs w:val="18"/>
              </w:rPr>
            </w:pPr>
            <w:r>
              <w:rPr>
                <w:rFonts w:ascii="Times New Roman"/>
                <w:sz w:val="18"/>
              </w:rPr>
              <w:t>--</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379,295,220.60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286,177,805.71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286,177,805.71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309,703,944.48</w:t>
            </w:r>
          </w:p>
        </w:tc>
      </w:tr>
      <w:tr>
        <w:trPr>
          <w:trHeight w:val="404"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93,117,414.89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-23,526,138.77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27,420,676.55</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27,420,676.55</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56,579,323.45</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8"/>
        <w:gridCol w:w="2279"/>
        <w:gridCol w:w="1771"/>
      </w:tblGrid>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379,295,220.60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286,177,805.71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221,281.30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171,050.57</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379,024,780.49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282,489,894.45</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22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49,158.81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3,516,860.69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30"/>
        <w:gridCol w:w="2269"/>
        <w:gridCol w:w="1771"/>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2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1" w:right="0"/>
              <w:jc w:val="left"/>
              <w:rPr>
                <w:rFonts w:ascii="Times New Roman" w:hAnsi="Times New Roman" w:cs="Times New Roman" w:eastAsia="Times New Roman" w:hint="default"/>
                <w:sz w:val="18"/>
                <w:szCs w:val="18"/>
              </w:rPr>
            </w:pPr>
            <w:r>
              <w:rPr>
                <w:rFonts w:ascii="Times New Roman"/>
                <w:sz w:val="18"/>
              </w:rPr>
              <w:t>379,295,220.60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286,177,805.71</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2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994"/>
        <w:jc w:val="left"/>
      </w:pPr>
      <w:r>
        <w:rPr/>
        <w:t>其他说明： 现金和现金等价物不含母公司或子公司使用受限制的现金和现金等价物。</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69</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70</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31,550,761.28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汇票及保函保证金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31,550,761.28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25,129.13</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6.86320</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172,466.24</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47" w:type="dxa"/>
        <w:tblLayout w:type="fixed"/>
        <w:tblCellMar>
          <w:top w:w="0" w:type="dxa"/>
          <w:left w:w="0" w:type="dxa"/>
          <w:bottom w:w="0" w:type="dxa"/>
          <w:right w:w="0" w:type="dxa"/>
        </w:tblCellMar>
        <w:tblLook w:val="01E0"/>
      </w:tblPr>
      <w:tblGrid>
        <w:gridCol w:w="992"/>
        <w:gridCol w:w="994"/>
        <w:gridCol w:w="5954"/>
        <w:gridCol w:w="1702"/>
      </w:tblGrid>
      <w:tr>
        <w:trPr>
          <w:trHeight w:val="401"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737,039.53</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面向灾备资源共享的容灾云关键技术与系统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737,039.53</w:t>
            </w:r>
          </w:p>
        </w:tc>
      </w:tr>
      <w:tr>
        <w:trPr>
          <w:trHeight w:val="40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251,064.81</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面向灾备资源共享的容灾云关键技术与系统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251,064.81</w:t>
            </w: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有收益相关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中关村科技园区海淀园区管理委员会产规处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年重点培育企业专项资金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center"/>
              <w:rPr>
                <w:rFonts w:ascii="宋体" w:hAnsi="宋体" w:cs="宋体" w:eastAsia="宋体" w:hint="default"/>
                <w:sz w:val="18"/>
                <w:szCs w:val="18"/>
              </w:rPr>
            </w:pPr>
            <w:r>
              <w:rPr>
                <w:rFonts w:ascii="宋体" w:hAnsi="宋体" w:cs="宋体" w:eastAsia="宋体" w:hint="default"/>
                <w:sz w:val="18"/>
                <w:szCs w:val="18"/>
              </w:rPr>
              <w:t>有收益相关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290,000.00</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上海市长宁区财政局财政扶持资金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290,000.00</w:t>
            </w: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有收益相关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中关村企业信用促进会中介服务支持资金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center"/>
              <w:rPr>
                <w:rFonts w:ascii="宋体" w:hAnsi="宋体" w:cs="宋体" w:eastAsia="宋体" w:hint="default"/>
                <w:sz w:val="18"/>
                <w:szCs w:val="18"/>
              </w:rPr>
            </w:pPr>
            <w:r>
              <w:rPr>
                <w:rFonts w:ascii="宋体" w:hAnsi="宋体" w:cs="宋体" w:eastAsia="宋体" w:hint="default"/>
                <w:sz w:val="18"/>
                <w:szCs w:val="18"/>
              </w:rPr>
              <w:t>有收益相关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武汉东湖新技术开发区管理委员会财政局服务业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小进规</w:t>
            </w:r>
            <w:r>
              <w:rPr>
                <w:rFonts w:ascii="Times New Roman" w:hAnsi="Times New Roman" w:cs="Times New Roman" w:eastAsia="Times New Roman" w:hint="default"/>
                <w:sz w:val="18"/>
                <w:szCs w:val="18"/>
              </w:rPr>
              <w:t>"</w:t>
            </w:r>
            <w:r>
              <w:rPr>
                <w:rFonts w:ascii="宋体" w:hAnsi="宋体" w:cs="宋体" w:eastAsia="宋体" w:hint="default"/>
                <w:sz w:val="18"/>
                <w:szCs w:val="18"/>
              </w:rPr>
              <w:t>政策款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有收益相关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武汉东湖新技术开发区管理委员会财政局高新企业认定补助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r>
    </w:tbl>
    <w:p>
      <w:pPr>
        <w:spacing w:line="240" w:lineRule="auto" w:before="3"/>
        <w:rPr>
          <w:rFonts w:ascii="宋体" w:hAnsi="宋体" w:cs="宋体" w:eastAsia="宋体" w:hint="default"/>
          <w:sz w:val="19"/>
          <w:szCs w:val="19"/>
        </w:rPr>
      </w:pPr>
    </w:p>
    <w:p>
      <w:pPr>
        <w:pStyle w:val="Heading3"/>
        <w:spacing w:line="240" w:lineRule="auto" w:before="36"/>
        <w:ind w:left="252"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624" w:lineRule="exact" w:before="56"/>
        <w:ind w:left="252" w:right="8585"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left="252"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419"/>
        <w:gridCol w:w="850"/>
        <w:gridCol w:w="1277"/>
        <w:gridCol w:w="850"/>
        <w:gridCol w:w="850"/>
        <w:gridCol w:w="994"/>
        <w:gridCol w:w="850"/>
        <w:gridCol w:w="1419"/>
        <w:gridCol w:w="1205"/>
      </w:tblGrid>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9" w:right="59"/>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65" w:right="74" w:hanging="92"/>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5"/>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北京瑞得音信息 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163,200,000.00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取得控制 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67,594,931.92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21,071,755.10</w:t>
            </w:r>
          </w:p>
        </w:tc>
      </w:tr>
    </w:tbl>
    <w:p>
      <w:pPr>
        <w:pStyle w:val="BodyText"/>
        <w:spacing w:line="240" w:lineRule="auto" w:before="49"/>
        <w:ind w:left="252" w:right="0"/>
        <w:jc w:val="left"/>
      </w:pPr>
      <w:r>
        <w:rPr/>
        <w:t>其他说明：</w:t>
      </w:r>
    </w:p>
    <w:p>
      <w:pPr>
        <w:pStyle w:val="BodyText"/>
        <w:spacing w:line="300" w:lineRule="auto" w:before="115"/>
        <w:ind w:left="252"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日，公司第九届董事会第十四次会议审议通过了《关于新晨科技股份有限公司收购北京瑞得音信息技术有</w:t>
      </w:r>
      <w:r>
        <w:rPr/>
        <w:t> 限公司部分股权的议案》，决议以现金方式分别向薛震、杨蓓支付</w:t>
      </w:r>
      <w:r>
        <w:rPr>
          <w:rFonts w:ascii="Times New Roman" w:hAnsi="Times New Roman" w:cs="Times New Roman" w:eastAsia="Times New Roman" w:hint="default"/>
        </w:rPr>
        <w:t>13,872.00</w:t>
      </w:r>
      <w:r>
        <w:rPr/>
        <w:t>万元、</w:t>
      </w:r>
      <w:r>
        <w:rPr>
          <w:rFonts w:ascii="Times New Roman" w:hAnsi="Times New Roman" w:cs="Times New Roman" w:eastAsia="Times New Roman" w:hint="default"/>
        </w:rPr>
        <w:t>2,448.00</w:t>
      </w:r>
      <w:r>
        <w:rPr/>
        <w:t>万元，收购其持有的北京瑞得音 信息技术有限公司</w:t>
      </w:r>
      <w:r>
        <w:rPr>
          <w:rFonts w:ascii="Times New Roman" w:hAnsi="Times New Roman" w:cs="Times New Roman" w:eastAsia="Times New Roman" w:hint="default"/>
        </w:rPr>
        <w:t>43.35%</w:t>
      </w:r>
      <w:r>
        <w:rPr/>
        <w:t>、</w:t>
      </w:r>
      <w:r>
        <w:rPr>
          <w:rFonts w:ascii="Times New Roman" w:hAnsi="Times New Roman" w:cs="Times New Roman" w:eastAsia="Times New Roman" w:hint="default"/>
        </w:rPr>
        <w:t>7.65%</w:t>
      </w:r>
      <w:r>
        <w:rPr/>
        <w:t>的股权。</w:t>
      </w:r>
    </w:p>
    <w:p>
      <w:pPr>
        <w:pStyle w:val="BodyText"/>
        <w:spacing w:line="300" w:lineRule="auto" w:before="13"/>
        <w:ind w:left="252" w:right="1129" w:firstLine="360"/>
        <w:jc w:val="both"/>
      </w:pP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月初按照协议约定支付了不低于</w:t>
      </w:r>
      <w:r>
        <w:rPr>
          <w:rFonts w:ascii="Times New Roman" w:hAnsi="Times New Roman" w:cs="Times New Roman" w:eastAsia="Times New Roman" w:hint="default"/>
          <w:spacing w:val="-1"/>
        </w:rPr>
        <w:t>50%</w:t>
      </w:r>
      <w:r>
        <w:rPr>
          <w:spacing w:val="-1"/>
        </w:rPr>
        <w:t>的收购款，并委派过半数董事，能够控制其经营和财务决策。公司</w:t>
      </w:r>
      <w:r>
        <w:rPr/>
        <w:t> 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日确定为购买日。</w:t>
      </w:r>
    </w:p>
    <w:p>
      <w:pPr>
        <w:spacing w:line="240" w:lineRule="auto" w:before="5"/>
        <w:rPr>
          <w:rFonts w:ascii="宋体" w:hAnsi="宋体" w:cs="宋体" w:eastAsia="宋体" w:hint="default"/>
          <w:sz w:val="22"/>
          <w:szCs w:val="22"/>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5244"/>
        <w:gridCol w:w="4325"/>
      </w:tblGrid>
      <w:tr>
        <w:trPr>
          <w:trHeight w:val="403"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3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988"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r>
      <w:tr>
        <w:trPr>
          <w:trHeight w:val="401"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163,200,000.00</w:t>
            </w:r>
          </w:p>
        </w:tc>
      </w:tr>
      <w:tr>
        <w:trPr>
          <w:trHeight w:val="403"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8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244"/>
        <w:gridCol w:w="4325"/>
      </w:tblGrid>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10,472,940.74</w:t>
            </w:r>
          </w:p>
        </w:tc>
      </w:tr>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152,727,059.26</w:t>
            </w:r>
          </w:p>
        </w:tc>
      </w:tr>
    </w:tbl>
    <w:p>
      <w:pPr>
        <w:pStyle w:val="BodyText"/>
        <w:spacing w:line="357" w:lineRule="auto" w:before="49"/>
        <w:ind w:left="513" w:right="0" w:hanging="361"/>
        <w:jc w:val="left"/>
      </w:pPr>
      <w:r>
        <w:rPr/>
        <w:t>合并成本公允价值的确定方法、或有对价及其变动的说明： </w:t>
      </w:r>
      <w:r>
        <w:rPr>
          <w:spacing w:val="-2"/>
        </w:rPr>
        <w:t>合并对价以现金形式支付。合并对价依据北京华信众合资产评估有限公司出具的华信众合评报字【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1101</w:t>
      </w:r>
      <w:r>
        <w:rPr>
          <w:spacing w:val="-2"/>
        </w:rPr>
        <w:t>号《资</w:t>
      </w:r>
    </w:p>
    <w:p>
      <w:pPr>
        <w:pStyle w:val="BodyText"/>
        <w:spacing w:line="214" w:lineRule="exact"/>
        <w:ind w:right="1133"/>
        <w:jc w:val="left"/>
      </w:pPr>
      <w:r>
        <w:rPr/>
        <w:t>产评估报告》确定，评估值基准日为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日，评估值为</w:t>
      </w:r>
      <w:r>
        <w:rPr>
          <w:rFonts w:ascii="Times New Roman" w:hAnsi="Times New Roman" w:cs="Times New Roman" w:eastAsia="Times New Roman" w:hint="default"/>
        </w:rPr>
        <w:t>32,062.60</w:t>
      </w:r>
      <w:r>
        <w:rPr/>
        <w:t>万元。</w:t>
      </w:r>
    </w:p>
    <w:p>
      <w:pPr>
        <w:pStyle w:val="BodyText"/>
        <w:spacing w:line="360" w:lineRule="auto" w:before="103"/>
        <w:ind w:right="8414"/>
        <w:jc w:val="left"/>
      </w:pPr>
      <w:r>
        <w:rPr/>
        <w:t>大额商誉形成的主要原因：无 其他说明：</w:t>
      </w:r>
    </w:p>
    <w:p>
      <w:pPr>
        <w:pStyle w:val="BodyText"/>
        <w:spacing w:line="312" w:lineRule="auto" w:before="25"/>
        <w:ind w:right="1129" w:firstLine="360"/>
        <w:jc w:val="left"/>
      </w:pPr>
      <w:r>
        <w:rPr/>
        <w:t>公司与北京瑞得音信息技术有限公司股东薛震、杨蓓签订股权转让协议，约定北京瑞得音信息技术有限公司如未实现 </w:t>
      </w:r>
      <w:r>
        <w:rPr>
          <w:rFonts w:ascii="Times New Roman" w:hAnsi="Times New Roman" w:cs="Times New Roman" w:eastAsia="Times New Roman" w:hint="default"/>
          <w:spacing w:val="-1"/>
        </w:rPr>
        <w:t>2018-2020</w:t>
      </w:r>
      <w:r>
        <w:rPr>
          <w:spacing w:val="-1"/>
        </w:rPr>
        <w:t>年度的承诺利润、</w:t>
      </w:r>
      <w:r>
        <w:rPr>
          <w:rFonts w:ascii="Times New Roman" w:hAnsi="Times New Roman" w:cs="Times New Roman" w:eastAsia="Times New Roman" w:hint="default"/>
          <w:spacing w:val="-1"/>
        </w:rPr>
        <w:t>2018-2020</w:t>
      </w:r>
      <w:r>
        <w:rPr>
          <w:spacing w:val="-1"/>
        </w:rPr>
        <w:t>年度各年末商誉存在减值、应收账款未按时收回，薛震、杨蓓应按协议约定对本公司</w:t>
      </w:r>
      <w:r>
        <w:rPr>
          <w:spacing w:val="-54"/>
        </w:rPr>
        <w:t> </w:t>
      </w:r>
      <w:r>
        <w:rPr>
          <w:spacing w:val="-54"/>
        </w:rPr>
      </w:r>
      <w:r>
        <w:rPr>
          <w:spacing w:val="-2"/>
        </w:rPr>
        <w:t>进行补偿。购买日确定的或有对价的金额，依据本公司对收到补偿款的最佳估计数确定，购买日确定的或有对价的公允价值</w:t>
      </w:r>
      <w:r>
        <w:rPr>
          <w:spacing w:val="-63"/>
        </w:rPr>
        <w:t> </w:t>
      </w:r>
      <w:r>
        <w:rPr>
          <w:spacing w:val="-63"/>
        </w:rPr>
      </w:r>
      <w:r>
        <w:rPr/>
        <w:t>为</w:t>
      </w:r>
      <w:r>
        <w:rPr>
          <w:rFonts w:ascii="Times New Roman" w:hAnsi="Times New Roman" w:cs="Times New Roman" w:eastAsia="Times New Roman" w:hint="default"/>
        </w:rPr>
        <w:t>0.00</w:t>
      </w:r>
      <w:r>
        <w:rPr/>
        <w:t>元。</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2009"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27,420,676.55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27,420,676.55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17,073,103.26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17,073,103.26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44,884,689.70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44,884,689.70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固定资产等非流动资产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650,347.69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650,347.69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69,493,639.28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69,493,639.28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20,535,177.92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20,535,177.92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20,535,177.92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20,535,177.92</w:t>
            </w:r>
          </w:p>
        </w:tc>
      </w:tr>
    </w:tbl>
    <w:p>
      <w:pPr>
        <w:pStyle w:val="BodyText"/>
        <w:spacing w:line="357" w:lineRule="auto" w:before="49"/>
        <w:ind w:left="513" w:right="1133" w:hanging="361"/>
        <w:jc w:val="left"/>
      </w:pPr>
      <w:r>
        <w:rPr/>
        <w:t>可辨认资产、负债公允价值的确定方法： </w:t>
      </w:r>
      <w:r>
        <w:rPr>
          <w:spacing w:val="-2"/>
        </w:rPr>
        <w:t>被购买方可辨认资产、负债公允价值的确认：公司管理层评估了该公司行业特点、业务模式、资产负债构成等，该公司</w:t>
      </w:r>
    </w:p>
    <w:p>
      <w:pPr>
        <w:pStyle w:val="BodyText"/>
        <w:spacing w:line="224" w:lineRule="exact"/>
        <w:ind w:right="0"/>
        <w:jc w:val="left"/>
      </w:pPr>
      <w:r>
        <w:rPr/>
        <w:t>所属行业为软件、信息传输和信息技术服务业，资产、负债主要为流动资产、流动负债，认为公允价值与账面价值接近，公</w:t>
      </w:r>
    </w:p>
    <w:p>
      <w:pPr>
        <w:pStyle w:val="BodyText"/>
        <w:spacing w:line="360" w:lineRule="auto" w:before="76"/>
        <w:ind w:right="5894"/>
        <w:jc w:val="left"/>
      </w:pPr>
      <w:r>
        <w:rPr/>
        <w:t>司管理层确认以各项资产、负债的公允价值与账面价值一致。 企业合并中承担的被购买方的或有负债：无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8"/>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40"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3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2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6"/>
        <w:gridCol w:w="708"/>
        <w:gridCol w:w="701"/>
        <w:gridCol w:w="2984"/>
        <w:gridCol w:w="711"/>
        <w:gridCol w:w="708"/>
        <w:gridCol w:w="1066"/>
      </w:tblGrid>
      <w:tr>
        <w:trPr>
          <w:trHeight w:val="404"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70" w:right="77"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298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708"/>
        <w:gridCol w:w="701"/>
        <w:gridCol w:w="2984"/>
        <w:gridCol w:w="711"/>
        <w:gridCol w:w="708"/>
        <w:gridCol w:w="1066"/>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1"/>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江苏点逸网络科技有限公司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4"/>
        <w:jc w:val="left"/>
      </w:pPr>
      <w:r>
        <w:rPr/>
        <w:t>确定公司是代理人还是委托人的依据： 其他说明：无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1561"/>
        <w:gridCol w:w="1985"/>
        <w:gridCol w:w="1702"/>
        <w:gridCol w:w="1915"/>
      </w:tblGrid>
      <w:tr>
        <w:trPr>
          <w:trHeight w:val="766"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808" w:right="84"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396" w:right="34"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10,325,160.00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20,387,397.18</w:t>
            </w:r>
          </w:p>
        </w:tc>
      </w:tr>
    </w:tbl>
    <w:p>
      <w:pPr>
        <w:pStyle w:val="BodyText"/>
        <w:spacing w:line="360" w:lineRule="auto" w:before="49"/>
        <w:ind w:right="6434"/>
        <w:jc w:val="left"/>
      </w:pPr>
      <w:r>
        <w:rPr/>
        <w:t>子公司少数股东的持股比例不同于表决权比例的说明： 其他说明：无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北京瑞 得音信 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91,283,4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671,273.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91,954,6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50,347,7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50,347,7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21,169,0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21,261,8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10,440,4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14.55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10,440,4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14.55</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3"/>
        <w:gridCol w:w="991"/>
        <w:gridCol w:w="992"/>
        <w:gridCol w:w="1135"/>
        <w:gridCol w:w="1133"/>
        <w:gridCol w:w="1133"/>
        <w:gridCol w:w="1063"/>
        <w:gridCol w:w="1064"/>
        <w:gridCol w:w="1055"/>
      </w:tblGrid>
      <w:tr>
        <w:trPr>
          <w:trHeight w:val="401"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3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5" w:right="108"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2" w:right="58"/>
              <w:jc w:val="left"/>
              <w:rPr>
                <w:rFonts w:ascii="宋体" w:hAnsi="宋体" w:cs="宋体" w:eastAsia="宋体" w:hint="default"/>
                <w:sz w:val="18"/>
                <w:szCs w:val="18"/>
              </w:rPr>
            </w:pPr>
            <w:r>
              <w:rPr>
                <w:rFonts w:ascii="宋体" w:hAnsi="宋体" w:cs="宋体" w:eastAsia="宋体" w:hint="default"/>
                <w:sz w:val="18"/>
                <w:szCs w:val="18"/>
              </w:rPr>
              <w:t>北京瑞得音 信息技术有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102,365,387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31,265,507.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31,265,507.01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12,112,619.29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24,735,596.48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4,713,660.47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4,713,660.47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2,867,107.98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991"/>
        <w:gridCol w:w="992"/>
        <w:gridCol w:w="1135"/>
        <w:gridCol w:w="1133"/>
        <w:gridCol w:w="1133"/>
        <w:gridCol w:w="1063"/>
        <w:gridCol w:w="1064"/>
        <w:gridCol w:w="1066"/>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本公司的主要金融工具包括应收账款、应付账款等，各项金融工具的详细情况说明见本附注七相关项目。与这些金融工</w:t>
      </w:r>
      <w:r>
        <w:rPr/>
        <w:t> </w:t>
      </w:r>
      <w:r>
        <w:rPr>
          <w:spacing w:val="-2"/>
        </w:rPr>
        <w:t>具有关的风险，以及本公司为降低这些风险所采取的风险管理政策如下所述。本公司管理层对这些风险敞口进行管理和监控</w:t>
      </w:r>
      <w:r>
        <w:rPr>
          <w:spacing w:val="-64"/>
        </w:rPr>
        <w:t> </w:t>
      </w:r>
      <w:r>
        <w:rPr>
          <w:spacing w:val="-64"/>
        </w:rPr>
      </w:r>
      <w:r>
        <w:rPr/>
        <w:t>以确保将上述风险控制在限定的范围之内。</w:t>
      </w:r>
    </w:p>
    <w:p>
      <w:pPr>
        <w:pStyle w:val="BodyText"/>
        <w:spacing w:line="316" w:lineRule="auto" w:before="19"/>
        <w:ind w:right="1132"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240" w:lineRule="auto" w:before="19"/>
        <w:ind w:left="494" w:right="8231"/>
        <w:jc w:val="center"/>
      </w:pPr>
      <w:r>
        <w:rPr/>
        <w:t>（一）风险管理目标和政策</w:t>
      </w:r>
    </w:p>
    <w:p>
      <w:pPr>
        <w:spacing w:after="0" w:line="240" w:lineRule="auto"/>
        <w:jc w:val="cente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17" w:firstLine="360"/>
        <w:jc w:val="left"/>
      </w:pPr>
      <w:r>
        <w:rPr/>
        <w:t>本公司从事风险管理的目标是在风险和收益之间取得适当的平衡，将风险对本公司经营业绩的负面影响降低到最低水 </w:t>
      </w:r>
      <w:r>
        <w:rPr>
          <w:spacing w:val="-2"/>
        </w:rPr>
        <w:t>平，使股东及其其他权益投资者的利益最大化。基于该风险管理目标，本公司风险管理的基本策略是确定和分析本公司所面</w:t>
      </w:r>
      <w:r>
        <w:rPr>
          <w:spacing w:val="-63"/>
        </w:rPr>
        <w:t> </w:t>
      </w:r>
      <w:r>
        <w:rPr>
          <w:spacing w:val="-63"/>
        </w:rPr>
      </w: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pStyle w:val="BodyText"/>
        <w:spacing w:line="240" w:lineRule="auto" w:before="17"/>
        <w:ind w:left="513" w:right="1133"/>
        <w:jc w:val="left"/>
      </w:pPr>
      <w:r>
        <w:rPr>
          <w:rFonts w:ascii="Times New Roman" w:hAnsi="Times New Roman" w:cs="Times New Roman" w:eastAsia="Times New Roman" w:hint="default"/>
        </w:rPr>
        <w:t>1</w:t>
      </w:r>
      <w:r>
        <w:rPr/>
        <w:t>、市场风险</w:t>
      </w:r>
    </w:p>
    <w:p>
      <w:pPr>
        <w:pStyle w:val="BodyText"/>
        <w:spacing w:line="300" w:lineRule="auto" w:before="63"/>
        <w:ind w:left="513" w:right="1117"/>
        <w:jc w:val="left"/>
      </w:pPr>
      <w:r>
        <w:rPr/>
        <w:t>（</w:t>
      </w:r>
      <w:r>
        <w:rPr>
          <w:rFonts w:ascii="Times New Roman" w:hAnsi="Times New Roman" w:cs="Times New Roman" w:eastAsia="Times New Roman" w:hint="default"/>
        </w:rPr>
        <w:t>1</w:t>
      </w:r>
      <w:r>
        <w:rPr/>
        <w:t>）外汇风险 </w:t>
      </w:r>
      <w:r>
        <w:rPr>
          <w:spacing w:val="-2"/>
        </w:rPr>
        <w:t>外汇风险指因汇率变动产生损失的风险。本公司主要经营活动位于中国境内，主要的结算单位为人民币，承受外汇风险</w:t>
      </w:r>
    </w:p>
    <w:p>
      <w:pPr>
        <w:pStyle w:val="BodyText"/>
        <w:spacing w:line="300" w:lineRule="auto" w:before="31"/>
        <w:ind w:right="0"/>
        <w:jc w:val="left"/>
      </w:pPr>
      <w:r>
        <w:rPr>
          <w:spacing w:val="-2"/>
        </w:rPr>
        <w:t>主要与美元有关。于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日，除下表所述资产或负债为美元余额外，本公司的资产及负债均为人民币余额。该等外</w:t>
      </w:r>
      <w:r>
        <w:rPr>
          <w:spacing w:val="-59"/>
        </w:rPr>
        <w:t> </w:t>
      </w:r>
      <w:r>
        <w:rPr>
          <w:spacing w:val="-59"/>
        </w:rPr>
      </w:r>
      <w:r>
        <w:rPr/>
        <w:t>币余额的资产和负债产生的外汇风险可能对本公司的经营业绩产生影响。</w:t>
      </w:r>
    </w:p>
    <w:p>
      <w:pPr>
        <w:spacing w:line="240" w:lineRule="auto" w:before="2"/>
        <w:rPr>
          <w:rFonts w:ascii="宋体" w:hAnsi="宋体" w:cs="宋体" w:eastAsia="宋体" w:hint="default"/>
          <w:sz w:val="4"/>
          <w:szCs w:val="4"/>
        </w:rPr>
      </w:pPr>
    </w:p>
    <w:p>
      <w:pPr>
        <w:spacing w:line="870" w:lineRule="exact"/>
        <w:ind w:left="153" w:right="0" w:firstLine="0"/>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5880326" cy="552450"/>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6" cstate="print"/>
                    <a:stretch>
                      <a:fillRect/>
                    </a:stretch>
                  </pic:blipFill>
                  <pic:spPr>
                    <a:xfrm>
                      <a:off x="0" y="0"/>
                      <a:ext cx="5880326" cy="552450"/>
                    </a:xfrm>
                    <a:prstGeom prst="rect">
                      <a:avLst/>
                    </a:prstGeom>
                  </pic:spPr>
                </pic:pic>
              </a:graphicData>
            </a:graphic>
          </wp:inline>
        </w:drawing>
      </w:r>
      <w:r>
        <w:rPr>
          <w:rFonts w:ascii="宋体" w:hAnsi="宋体" w:cs="宋体" w:eastAsia="宋体" w:hint="default"/>
          <w:position w:val="-16"/>
          <w:sz w:val="20"/>
          <w:szCs w:val="20"/>
        </w:rPr>
      </w:r>
    </w:p>
    <w:p>
      <w:pPr>
        <w:pStyle w:val="BodyText"/>
        <w:spacing w:line="319" w:lineRule="auto" w:before="43"/>
        <w:ind w:right="0"/>
        <w:jc w:val="left"/>
      </w:pPr>
      <w:r>
        <w:rPr/>
        <w:t>外汇风险敏感性分析： </w:t>
      </w:r>
      <w:r>
        <w:rPr>
          <w:spacing w:val="-2"/>
        </w:rPr>
        <w:t>外汇风险敏感性分析假设：所有境外经营净投资套期及现金流量套期均高度有效。在上述假设的基础上，在其他变量不变的</w:t>
      </w:r>
      <w:r>
        <w:rPr>
          <w:spacing w:val="-63"/>
        </w:rPr>
        <w:t> </w:t>
      </w:r>
      <w:r>
        <w:rPr>
          <w:spacing w:val="-63"/>
        </w:rPr>
      </w:r>
      <w:r>
        <w:rPr/>
        <w:t>情况下，汇率可能发生的合理变动对当期损益和股东权益的税前影响如下：</w:t>
      </w:r>
    </w:p>
    <w:p>
      <w:pPr>
        <w:spacing w:line="2160" w:lineRule="exact"/>
        <w:ind w:left="153"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5887085" cy="1371600"/>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27" cstate="print"/>
                    <a:stretch>
                      <a:fillRect/>
                    </a:stretch>
                  </pic:blipFill>
                  <pic:spPr>
                    <a:xfrm>
                      <a:off x="0" y="0"/>
                      <a:ext cx="5887085" cy="1371600"/>
                    </a:xfrm>
                    <a:prstGeom prst="rect">
                      <a:avLst/>
                    </a:prstGeom>
                  </pic:spPr>
                </pic:pic>
              </a:graphicData>
            </a:graphic>
          </wp:inline>
        </w:drawing>
      </w:r>
      <w:r>
        <w:rPr>
          <w:rFonts w:ascii="宋体" w:hAnsi="宋体" w:cs="宋体" w:eastAsia="宋体" w:hint="default"/>
          <w:position w:val="-42"/>
          <w:sz w:val="20"/>
          <w:szCs w:val="20"/>
        </w:rPr>
      </w:r>
    </w:p>
    <w:p>
      <w:pPr>
        <w:pStyle w:val="BodyText"/>
        <w:spacing w:line="300" w:lineRule="auto" w:before="41"/>
        <w:ind w:left="513" w:right="0"/>
        <w:jc w:val="left"/>
      </w:pPr>
      <w:r>
        <w:rPr/>
        <w:t>（</w:t>
      </w:r>
      <w:r>
        <w:rPr>
          <w:rFonts w:ascii="Times New Roman" w:hAnsi="Times New Roman" w:cs="Times New Roman" w:eastAsia="Times New Roman" w:hint="default"/>
        </w:rPr>
        <w:t>2</w:t>
      </w:r>
      <w:r>
        <w:rPr/>
        <w:t>）利率风险－现金流量变动风险 </w:t>
      </w:r>
      <w:r>
        <w:rPr>
          <w:spacing w:val="-1"/>
        </w:rPr>
        <w:t>本公司因利率变动引起金融工具现金流量变动的风险主要与浮动利率银行借款</w:t>
      </w:r>
      <w:r>
        <w:rPr>
          <w:rFonts w:ascii="Times New Roman" w:hAnsi="Times New Roman" w:cs="Times New Roman" w:eastAsia="Times New Roman" w:hint="default"/>
          <w:spacing w:val="-1"/>
        </w:rPr>
        <w:t>(</w:t>
      </w:r>
      <w:r>
        <w:rPr>
          <w:spacing w:val="-1"/>
        </w:rPr>
        <w:t>详见本附注七、</w:t>
      </w:r>
      <w:r>
        <w:rPr>
          <w:rFonts w:ascii="Times New Roman" w:hAnsi="Times New Roman" w:cs="Times New Roman" w:eastAsia="Times New Roman" w:hint="default"/>
          <w:spacing w:val="-1"/>
        </w:rPr>
        <w:t>26)</w:t>
      </w:r>
      <w:r>
        <w:rPr>
          <w:spacing w:val="-1"/>
        </w:rPr>
        <w:t>有关。本公司的政策</w:t>
      </w:r>
    </w:p>
    <w:p>
      <w:pPr>
        <w:pStyle w:val="BodyText"/>
        <w:spacing w:line="319" w:lineRule="auto" w:before="13"/>
        <w:ind w:left="513" w:right="7513" w:hanging="361"/>
        <w:jc w:val="left"/>
      </w:pPr>
      <w:r>
        <w:rPr/>
        <w:t>是保持这些借款的浮动利率。 利率风险敏感性分析： 利率风险敏感性分析基于下述假设：</w:t>
      </w:r>
    </w:p>
    <w:p>
      <w:pPr>
        <w:pStyle w:val="BodyText"/>
        <w:spacing w:line="240" w:lineRule="auto" w:before="17"/>
        <w:ind w:left="513" w:right="1133"/>
        <w:jc w:val="left"/>
      </w:pPr>
      <w:r>
        <w:rPr>
          <w:rFonts w:ascii="Times New Roman" w:hAnsi="Times New Roman" w:cs="Times New Roman" w:eastAsia="Times New Roman" w:hint="default"/>
        </w:rPr>
        <w:t>•</w:t>
      </w:r>
      <w:r>
        <w:rPr/>
        <w:t>市场利率变化影响可变利率金融工具的利息收入或费用；</w:t>
      </w:r>
    </w:p>
    <w:p>
      <w:pPr>
        <w:pStyle w:val="BodyText"/>
        <w:spacing w:line="240" w:lineRule="auto" w:before="63"/>
        <w:ind w:left="513" w:right="1133"/>
        <w:jc w:val="left"/>
      </w:pPr>
      <w:r>
        <w:rPr>
          <w:rFonts w:ascii="Times New Roman" w:hAnsi="Times New Roman" w:cs="Times New Roman" w:eastAsia="Times New Roman" w:hint="default"/>
        </w:rPr>
        <w:t>•</w:t>
      </w:r>
      <w:r>
        <w:rPr/>
        <w:t>对于以公允价值计量的固定利率金融工具，市场利率变化仅仅影响其利息收入或费用；</w:t>
      </w:r>
    </w:p>
    <w:p>
      <w:pPr>
        <w:pStyle w:val="BodyText"/>
        <w:spacing w:line="240" w:lineRule="auto" w:before="63"/>
        <w:ind w:left="513" w:right="1133"/>
        <w:jc w:val="left"/>
      </w:pPr>
      <w:r>
        <w:rPr>
          <w:rFonts w:ascii="Times New Roman" w:hAnsi="Times New Roman" w:cs="Times New Roman" w:eastAsia="Times New Roman" w:hint="default"/>
        </w:rPr>
        <w:t>•</w:t>
      </w:r>
      <w:r>
        <w:rPr/>
        <w:t>对于指定为套期工具的衍生金融工具，市场利率变化影响其公允价值，并且所有利率套期预计都是高度有效的；</w:t>
      </w:r>
    </w:p>
    <w:p>
      <w:pPr>
        <w:pStyle w:val="BodyText"/>
        <w:spacing w:line="300" w:lineRule="auto" w:before="63"/>
        <w:ind w:left="513" w:right="1213"/>
        <w:jc w:val="left"/>
      </w:pPr>
      <w:r>
        <w:rPr>
          <w:rFonts w:ascii="Times New Roman" w:hAnsi="Times New Roman" w:cs="Times New Roman" w:eastAsia="Times New Roman" w:hint="default"/>
        </w:rPr>
        <w:t>•</w:t>
      </w:r>
      <w:r>
        <w:rPr/>
        <w:t>以资产负债表日市场利率采用现金流量折现法计算衍生金融工具及其他金融资产和负债的公允价值变化。 在上述假设的基础上，在其他变量不变的情况下，利率可能发生的合理变动对当期损益和股东权益的税前影响如下：</w:t>
      </w:r>
    </w:p>
    <w:p>
      <w:pPr>
        <w:spacing w:line="240" w:lineRule="auto" w:before="3"/>
        <w:rPr>
          <w:rFonts w:ascii="宋体" w:hAnsi="宋体" w:cs="宋体" w:eastAsia="宋体" w:hint="default"/>
          <w:sz w:val="13"/>
          <w:szCs w:val="13"/>
        </w:rPr>
      </w:pPr>
    </w:p>
    <w:p>
      <w:pPr>
        <w:spacing w:line="2190" w:lineRule="exact"/>
        <w:ind w:left="153"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5884398" cy="1390650"/>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28" cstate="print"/>
                    <a:stretch>
                      <a:fillRect/>
                    </a:stretch>
                  </pic:blipFill>
                  <pic:spPr>
                    <a:xfrm>
                      <a:off x="0" y="0"/>
                      <a:ext cx="5884398" cy="1390650"/>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8"/>
        <w:rPr>
          <w:rFonts w:ascii="宋体" w:hAnsi="宋体" w:cs="宋体" w:eastAsia="宋体" w:hint="default"/>
          <w:sz w:val="12"/>
          <w:szCs w:val="12"/>
        </w:rPr>
      </w:pPr>
    </w:p>
    <w:p>
      <w:pPr>
        <w:pStyle w:val="BodyText"/>
        <w:spacing w:line="300" w:lineRule="auto"/>
        <w:ind w:left="513" w:right="8863"/>
        <w:jc w:val="left"/>
      </w:pPr>
      <w:r>
        <w:rPr/>
        <w:t>（</w:t>
      </w:r>
      <w:r>
        <w:rPr>
          <w:rFonts w:ascii="Times New Roman" w:hAnsi="Times New Roman" w:cs="Times New Roman" w:eastAsia="Times New Roman" w:hint="default"/>
        </w:rPr>
        <w:t>3</w:t>
      </w:r>
      <w:r>
        <w:rPr/>
        <w:t>）其他价格风险 无。</w:t>
      </w:r>
    </w:p>
    <w:p>
      <w:pPr>
        <w:pStyle w:val="BodyText"/>
        <w:spacing w:line="240" w:lineRule="auto" w:before="31"/>
        <w:ind w:left="513" w:right="1133"/>
        <w:jc w:val="left"/>
      </w:pPr>
      <w:r>
        <w:rPr>
          <w:rFonts w:ascii="Times New Roman" w:hAnsi="Times New Roman" w:cs="Times New Roman" w:eastAsia="Times New Roman" w:hint="default"/>
        </w:rPr>
        <w:t>2</w:t>
      </w:r>
      <w:r>
        <w:rPr/>
        <w:t>、信用风险</w:t>
      </w:r>
    </w:p>
    <w:p>
      <w:pPr>
        <w:pStyle w:val="BodyText"/>
        <w:spacing w:line="240" w:lineRule="auto" w:before="62"/>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spacing w:val="-1"/>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t>日</w:t>
      </w:r>
      <w:r>
        <w:rPr>
          <w:spacing w:val="-82"/>
        </w:rPr>
        <w:t>，</w:t>
      </w:r>
      <w:r>
        <w:rPr/>
        <w:t>可能引起本</w:t>
      </w:r>
      <w:r>
        <w:rPr>
          <w:spacing w:val="-3"/>
        </w:rPr>
        <w:t>公</w:t>
      </w:r>
      <w:r>
        <w:rPr/>
        <w:t>司财务损失的最大信用风险敞口主要来自于合同另一方未能履行义务而导致本公司金融</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资产产生的损失以及本公司承担的财务担保，具体包括：</w:t>
      </w:r>
    </w:p>
    <w:p>
      <w:pPr>
        <w:pStyle w:val="BodyText"/>
        <w:spacing w:line="300" w:lineRule="auto" w:before="77"/>
        <w:ind w:left="513" w:right="0"/>
        <w:jc w:val="left"/>
      </w:pPr>
      <w:r>
        <w:rPr>
          <w:rFonts w:ascii="Times New Roman" w:hAnsi="Times New Roman" w:cs="Times New Roman" w:eastAsia="Times New Roman" w:hint="default"/>
        </w:rPr>
        <w:t>•</w:t>
      </w:r>
      <w:r>
        <w:rPr/>
        <w:t>合并资产负债表中已确认的金融资产的账面金额。 </w:t>
      </w:r>
      <w:r>
        <w:rPr>
          <w:spacing w:val="-2"/>
        </w:rPr>
        <w:t>对于应收账款、其他应收款和应收票据，本公司设定相关政策以控制信用风险敞口。本公司会定期对客户信用记录进行</w:t>
      </w:r>
    </w:p>
    <w:p>
      <w:pPr>
        <w:pStyle w:val="BodyText"/>
        <w:spacing w:line="316" w:lineRule="auto" w:before="31"/>
        <w:ind w:right="1131"/>
        <w:jc w:val="both"/>
      </w:pPr>
      <w:r>
        <w:rPr>
          <w:spacing w:val="-2"/>
        </w:rPr>
        <w:t>监控，对于信用记录不良的客户，本公司会采用书面催款等方式，以确保本公司的整体信用风险在可控的范围内。此外，本</w:t>
      </w:r>
      <w:r>
        <w:rPr>
          <w:spacing w:val="-67"/>
        </w:rPr>
        <w:t> </w:t>
      </w:r>
      <w:r>
        <w:rPr>
          <w:spacing w:val="-67"/>
        </w:rPr>
      </w:r>
      <w:r>
        <w:rPr>
          <w:spacing w:val="-2"/>
        </w:rPr>
        <w:t>公司于每个资产负债表日审核每一单项应收款的回收情况，以确保就无法回收的款项计提充分的坏账准备。因此，本公司管</w:t>
      </w:r>
      <w:r>
        <w:rPr>
          <w:spacing w:val="-64"/>
        </w:rPr>
        <w:t> </w:t>
      </w:r>
      <w:r>
        <w:rPr>
          <w:spacing w:val="-64"/>
        </w:rPr>
      </w:r>
      <w:r>
        <w:rPr/>
        <w:t>理层认为本公司所承担的信用风险已经大为降低。</w:t>
      </w:r>
    </w:p>
    <w:p>
      <w:pPr>
        <w:pStyle w:val="BodyText"/>
        <w:spacing w:line="240" w:lineRule="auto" w:before="19"/>
        <w:ind w:left="513" w:right="1133"/>
        <w:jc w:val="left"/>
      </w:pPr>
      <w:r>
        <w:rPr/>
        <w:t>本公司的流动资金存放在信用评级较高的银行，故流动资金的信用风险较低。</w:t>
      </w:r>
    </w:p>
    <w:p>
      <w:pPr>
        <w:pStyle w:val="BodyText"/>
        <w:spacing w:line="300" w:lineRule="auto" w:before="76"/>
        <w:ind w:left="513" w:right="1117"/>
        <w:jc w:val="left"/>
      </w:pPr>
      <w:r>
        <w:rPr>
          <w:rFonts w:ascii="Times New Roman" w:hAnsi="Times New Roman" w:cs="Times New Roman" w:eastAsia="Times New Roman" w:hint="default"/>
        </w:rPr>
        <w:t>3</w:t>
      </w:r>
      <w:r>
        <w:rPr/>
        <w:t>、流动风险 </w:t>
      </w:r>
      <w:r>
        <w:rPr>
          <w:spacing w:val="-2"/>
        </w:rPr>
        <w:t>管理流动风险时，本公司保持管理层认为充分的现金及现金等价物并对其进行监控，以满足本公司经营需要，并降低现</w:t>
      </w:r>
    </w:p>
    <w:p>
      <w:pPr>
        <w:pStyle w:val="BodyText"/>
        <w:spacing w:line="309" w:lineRule="auto" w:before="31"/>
        <w:ind w:left="513" w:right="3734" w:hanging="361"/>
        <w:jc w:val="left"/>
      </w:pPr>
      <w:r>
        <w:rPr/>
        <w:t>金流量波动的影响。本公司管理层对银行借款的使用情况进行监控并确保遵守借款协议。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日，本公司尚未使用的银行授信额度为人民币</w:t>
      </w:r>
      <w:r>
        <w:rPr>
          <w:rFonts w:ascii="Times New Roman" w:hAnsi="Times New Roman" w:cs="Times New Roman" w:eastAsia="Times New Roman" w:hint="default"/>
        </w:rPr>
        <w:t>70,123,396.52</w:t>
      </w:r>
      <w:r>
        <w:rPr/>
        <w:t>元。 本公司持有的金融负债按未折现剩余合同义务的到期期限分析如下：</w:t>
      </w:r>
    </w:p>
    <w:p>
      <w:pPr>
        <w:spacing w:line="240" w:lineRule="auto" w:before="9"/>
        <w:rPr>
          <w:rFonts w:ascii="宋体" w:hAnsi="宋体" w:cs="宋体" w:eastAsia="宋体" w:hint="default"/>
          <w:sz w:val="2"/>
          <w:szCs w:val="2"/>
        </w:rPr>
      </w:pPr>
    </w:p>
    <w:p>
      <w:pPr>
        <w:spacing w:line="2145" w:lineRule="exact"/>
        <w:ind w:left="153"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5893227" cy="1362075"/>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9" cstate="print"/>
                    <a:stretch>
                      <a:fillRect/>
                    </a:stretch>
                  </pic:blipFill>
                  <pic:spPr>
                    <a:xfrm>
                      <a:off x="0" y="0"/>
                      <a:ext cx="5893227" cy="1362075"/>
                    </a:xfrm>
                    <a:prstGeom prst="rect">
                      <a:avLst/>
                    </a:prstGeom>
                  </pic:spPr>
                </pic:pic>
              </a:graphicData>
            </a:graphic>
          </wp:inline>
        </w:drawing>
      </w:r>
      <w:r>
        <w:rPr>
          <w:rFonts w:ascii="宋体" w:hAnsi="宋体" w:cs="宋体" w:eastAsia="宋体" w:hint="default"/>
          <w:position w:val="-42"/>
          <w:sz w:val="20"/>
          <w:szCs w:val="20"/>
        </w:rPr>
      </w:r>
    </w:p>
    <w:p>
      <w:pPr>
        <w:pStyle w:val="BodyText"/>
        <w:spacing w:line="316" w:lineRule="auto" w:before="29"/>
        <w:ind w:left="513" w:right="3373"/>
        <w:jc w:val="left"/>
      </w:pPr>
      <w:r>
        <w:rPr/>
        <w:t>（二）金融资产转移 本公司期末不存在所有未终止确认的已转移金融资产，以及已转移金融资产的继续涉入。</w:t>
      </w:r>
    </w:p>
    <w:p>
      <w:pPr>
        <w:pStyle w:val="BodyText"/>
        <w:spacing w:line="316" w:lineRule="auto" w:before="19"/>
        <w:ind w:left="513" w:right="6613"/>
        <w:jc w:val="left"/>
      </w:pPr>
      <w:r>
        <w:rPr/>
        <w:t>（三）金融资产与金融负债的抵销 本公司期末不存在金融资产于金融负债的抵消。</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360" w:lineRule="auto" w:before="102"/>
        <w:ind w:right="7154"/>
        <w:jc w:val="left"/>
      </w:pPr>
      <w:r>
        <w:rPr/>
        <w:t>本企业的母公司情况的说明 本企业最终控制方是李福华、康路、张燕生。 其他说明：</w:t>
      </w:r>
    </w:p>
    <w:p>
      <w:pPr>
        <w:pStyle w:val="BodyText"/>
        <w:spacing w:line="309" w:lineRule="auto" w:before="25"/>
        <w:ind w:right="1134"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日，李福华、康路、张燕生三人共同签署《共同控制及一致行动人协议》，约定在涉及公司经营管理等相 </w:t>
      </w:r>
      <w:r>
        <w:rPr>
          <w:spacing w:val="-2"/>
        </w:rPr>
        <w:t>关事项时，三人作为一致行动人共同行使股东的召集权、提案权、表决权等股东权利。同时，《公司章程（草案）》亦对上</w:t>
      </w:r>
      <w:r>
        <w:rPr>
          <w:spacing w:val="-69"/>
        </w:rPr>
        <w:t> </w:t>
      </w:r>
      <w:r>
        <w:rPr>
          <w:spacing w:val="-69"/>
        </w:rPr>
      </w:r>
      <w:r>
        <w:rPr/>
        <w:t>述三人行使股东表决权时的一致行动安排进行了约定。</w:t>
      </w:r>
    </w:p>
    <w:p>
      <w:pPr>
        <w:spacing w:line="240" w:lineRule="auto" w:before="3"/>
        <w:rPr>
          <w:rFonts w:ascii="宋体" w:hAnsi="宋体" w:cs="宋体" w:eastAsia="宋体" w:hint="default"/>
          <w:sz w:val="23"/>
          <w:szCs w:val="23"/>
        </w:rPr>
      </w:pPr>
    </w:p>
    <w:p>
      <w:pPr>
        <w:spacing w:line="547" w:lineRule="auto" w:before="0"/>
        <w:ind w:left="152" w:right="7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Heading3"/>
        <w:spacing w:line="240" w:lineRule="auto" w:before="26"/>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829"/>
        <w:gridCol w:w="5742"/>
      </w:tblGrid>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4"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北京迅通达科技发展有限公司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天津时代怡诺科技股份有限公司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829"/>
        <w:gridCol w:w="5742"/>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北京怡诺创业投资中心（有限合伙）</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江苏宏微科技股份有限公司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昆腾微电子股份有限公司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天津市聚晶自动化新技术有限公司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以上股东关系密切的家庭成员控制的企业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北京沃瑞视讯投资中心（有限合伙）</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北京水兵壹号科技有限公司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以上股东能够施加重大影响的企业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北京灵境世界科技有限公司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北京米沃科技中心（有限合伙）</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以上股东关系密切的家庭成员控制的企业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江苏新业科技投资发展有限公司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江苏新业置业发展有限公司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南京金源房地产开发有限公司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江苏新业文体实业有限公司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江苏金源新业物业服务有限公司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南京金源商业管理有限公司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南京新业亿阳商务信息咨询有限公司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南京新业丰泽物业服务有限公司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南京铁源房地产开发有限公司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以上股东及与其关系密切的家庭成员能够施加重大影响的企业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南京金宏源房地产开发有限公司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以上股东及与其关系密切的家庭成员能够施加重大影响的企业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南京金汇智物业服务有限公司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南京源聚汇物业管理有限公司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南京汇添富物业管理有限公司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南京东吴置业有限公司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银川富洪投资合伙企业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银川富泽股权投资合伙企业（有限合伙）</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上海渱大企业管理合伙企业（有限合伙）</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北京德莱赛塔机械设备有限公司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北京厚德阳光商贸有限公司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实际控制人关系密切的家庭成员能够施加重大影响的企业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北京泛涵投资管理有限公司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董事关系密切的家庭成员能够施加重大影响的企业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浙江泛涵投资管理有限公司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董事关系密切的家庭成员能够施加重大影响的企业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北京科力华源科技有限公司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监事关系密切的家庭成员控制的企业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良生美嘉国际贸易（北京）有限公司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独立董事及与其关系密切的家庭成员共同控制的企业</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青岛良生丽芙国际贸易有限公司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独立董事关系密切的家庭成员控制的企业</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北京如智科技有限公司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本公司之参股公司</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新晨航空科技（天津）有限公司</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本公司之参股公司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关联担保情况说明</w:t>
      </w:r>
    </w:p>
    <w:p>
      <w:pPr>
        <w:pStyle w:val="BodyText"/>
        <w:spacing w:line="304" w:lineRule="auto" w:before="115"/>
        <w:ind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日，康路与招商银行世纪城支行签订最高额不可撤销担保书，为同日公司与招商银行世纪城支行签订的 </w:t>
      </w:r>
      <w:r>
        <w:rPr>
          <w:rFonts w:ascii="Times New Roman" w:hAnsi="Times New Roman" w:cs="Times New Roman" w:eastAsia="Times New Roman" w:hint="default"/>
        </w:rPr>
        <w:t>“2017</w:t>
      </w:r>
      <w:r>
        <w:rPr/>
        <w:t>年招世授字第</w:t>
      </w:r>
      <w:r>
        <w:rPr>
          <w:rFonts w:ascii="Times New Roman" w:hAnsi="Times New Roman" w:cs="Times New Roman" w:eastAsia="Times New Roman" w:hint="default"/>
        </w:rPr>
        <w:t>015</w:t>
      </w:r>
      <w:r>
        <w:rPr/>
        <w:t>号</w:t>
      </w:r>
      <w:r>
        <w:rPr>
          <w:rFonts w:ascii="Times New Roman" w:hAnsi="Times New Roman" w:cs="Times New Roman" w:eastAsia="Times New Roman" w:hint="default"/>
        </w:rPr>
        <w:t>”</w:t>
      </w:r>
      <w:r>
        <w:rPr/>
        <w:t>《授信协议》授信期间本公司所有债务承担连带保证责任，融资额度为</w:t>
      </w:r>
      <w:r>
        <w:rPr>
          <w:rFonts w:ascii="Times New Roman" w:hAnsi="Times New Roman" w:cs="Times New Roman" w:eastAsia="Times New Roman" w:hint="default"/>
        </w:rPr>
        <w:t>6,000</w:t>
      </w:r>
      <w:r>
        <w:rPr/>
        <w:t>万元，同时原</w:t>
      </w:r>
      <w:r>
        <w:rPr>
          <w:rFonts w:ascii="Times New Roman" w:hAnsi="Times New Roman" w:cs="Times New Roman" w:eastAsia="Times New Roman" w:hint="default"/>
        </w:rPr>
        <w:t>“2016 </w:t>
      </w:r>
      <w:r>
        <w:rPr/>
        <w:t>年招世授字</w:t>
      </w:r>
      <w:r>
        <w:rPr>
          <w:rFonts w:ascii="Times New Roman" w:hAnsi="Times New Roman" w:cs="Times New Roman" w:eastAsia="Times New Roman" w:hint="default"/>
        </w:rPr>
        <w:t>017</w:t>
      </w:r>
      <w:r>
        <w:rPr/>
        <w:t>号</w:t>
      </w:r>
      <w:r>
        <w:rPr>
          <w:rFonts w:ascii="Times New Roman" w:hAnsi="Times New Roman" w:cs="Times New Roman" w:eastAsia="Times New Roman" w:hint="default"/>
        </w:rPr>
        <w:t>”</w:t>
      </w:r>
      <w:r>
        <w:rPr/>
        <w:t>《授信协议》项下正在执行的公司流动资金借款和保函转移至</w:t>
      </w:r>
      <w:r>
        <w:rPr>
          <w:rFonts w:ascii="Times New Roman" w:hAnsi="Times New Roman" w:cs="Times New Roman" w:eastAsia="Times New Roman" w:hint="default"/>
        </w:rPr>
        <w:t>“2017</w:t>
      </w:r>
      <w:r>
        <w:rPr/>
        <w:t>年招世授字第</w:t>
      </w:r>
      <w:r>
        <w:rPr>
          <w:rFonts w:ascii="Times New Roman" w:hAnsi="Times New Roman" w:cs="Times New Roman" w:eastAsia="Times New Roman" w:hint="default"/>
        </w:rPr>
        <w:t>015</w:t>
      </w:r>
      <w:r>
        <w:rPr/>
        <w:t>号</w:t>
      </w:r>
      <w:r>
        <w:rPr>
          <w:rFonts w:ascii="Times New Roman" w:hAnsi="Times New Roman" w:cs="Times New Roman" w:eastAsia="Times New Roman" w:hint="default"/>
        </w:rPr>
        <w:t>”</w:t>
      </w:r>
      <w:r>
        <w:rPr/>
        <w:t>《授信协议》项 </w:t>
      </w:r>
      <w:r>
        <w:rPr>
          <w:spacing w:val="-2"/>
        </w:rPr>
        <w:t>下继续执行。担保书约定在授信期届满时，银行向授信申请人提供的贷款、垫款或其他授信仍有余额时，保证人在担保书确</w:t>
      </w:r>
      <w:r>
        <w:rPr>
          <w:spacing w:val="-65"/>
        </w:rPr>
        <w:t> </w:t>
      </w:r>
      <w:r>
        <w:rPr>
          <w:spacing w:val="-65"/>
        </w:rPr>
      </w:r>
      <w:r>
        <w:rPr>
          <w:spacing w:val="-2"/>
        </w:rPr>
        <w:t>定的保证范围内承担连带清偿责任。截至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日止，本公司在招商银行北京世纪城支行银行承兑汇票和保函余额合</w:t>
      </w:r>
      <w:r>
        <w:rPr>
          <w:spacing w:val="-59"/>
        </w:rPr>
        <w:t> </w:t>
      </w:r>
      <w:r>
        <w:rPr>
          <w:spacing w:val="-59"/>
        </w:rPr>
      </w:r>
      <w:r>
        <w:rPr/>
        <w:t>计</w:t>
      </w:r>
      <w:r>
        <w:rPr>
          <w:rFonts w:ascii="Times New Roman" w:hAnsi="Times New Roman" w:cs="Times New Roman" w:eastAsia="Times New Roman" w:hint="default"/>
        </w:rPr>
        <w:t>20,483,810.00</w:t>
      </w:r>
      <w:r>
        <w:rPr/>
        <w:t>元，流动资金借款</w:t>
      </w:r>
      <w:r>
        <w:rPr>
          <w:rFonts w:ascii="Times New Roman" w:hAnsi="Times New Roman" w:cs="Times New Roman" w:eastAsia="Times New Roman" w:hint="default"/>
        </w:rPr>
        <w:t>29,816,000.13</w:t>
      </w:r>
      <w:r>
        <w:rPr/>
        <w:t>元，担保责任仍在履行。</w:t>
      </w:r>
    </w:p>
    <w:p>
      <w:pPr>
        <w:pStyle w:val="BodyText"/>
        <w:spacing w:line="300" w:lineRule="auto" w:before="9"/>
        <w:ind w:right="1128"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17</w:t>
      </w:r>
      <w:r>
        <w:rPr>
          <w:spacing w:val="-1"/>
        </w:rPr>
        <w:t>日，康路与浦发银行北京分行签订最高额保证合同，为本公司编号为</w:t>
      </w:r>
      <w:r>
        <w:rPr>
          <w:rFonts w:ascii="Times New Roman" w:hAnsi="Times New Roman" w:cs="Times New Roman" w:eastAsia="Times New Roman" w:hint="default"/>
          <w:spacing w:val="-1"/>
        </w:rPr>
        <w:t>BC2017070600001126</w:t>
      </w:r>
      <w:r>
        <w:rPr>
          <w:spacing w:val="-1"/>
        </w:rPr>
        <w:t>号《融资额度协</w:t>
      </w:r>
      <w:r>
        <w:rPr/>
        <w:t> </w:t>
      </w:r>
      <w:r>
        <w:rPr>
          <w:spacing w:val="-1"/>
        </w:rPr>
        <w:t>议》下发生的所有债务承担连带保证责任，融资额度为</w:t>
      </w:r>
      <w:r>
        <w:rPr>
          <w:rFonts w:ascii="Times New Roman" w:hAnsi="Times New Roman" w:cs="Times New Roman" w:eastAsia="Times New Roman" w:hint="default"/>
          <w:spacing w:val="-1"/>
        </w:rPr>
        <w:t>5,000</w:t>
      </w:r>
      <w:r>
        <w:rPr>
          <w:spacing w:val="-1"/>
        </w:rPr>
        <w:t>万元，同时原</w:t>
      </w:r>
      <w:r>
        <w:rPr>
          <w:rFonts w:ascii="Times New Roman" w:hAnsi="Times New Roman" w:cs="Times New Roman" w:eastAsia="Times New Roman" w:hint="default"/>
          <w:spacing w:val="-1"/>
        </w:rPr>
        <w:t>BC2016071500001661</w:t>
      </w:r>
      <w:r>
        <w:rPr>
          <w:spacing w:val="-1"/>
        </w:rPr>
        <w:t>号《融资额度协议》项下正</w:t>
      </w:r>
      <w:r>
        <w:rPr>
          <w:spacing w:val="-43"/>
        </w:rPr>
        <w:t> </w:t>
      </w:r>
      <w:r>
        <w:rPr>
          <w:spacing w:val="-43"/>
        </w:rPr>
      </w:r>
      <w:r>
        <w:rPr/>
        <w:t>在执行的公司流动资金借款和保函转移至</w:t>
      </w:r>
      <w:r>
        <w:rPr>
          <w:rFonts w:ascii="Times New Roman" w:hAnsi="Times New Roman" w:cs="Times New Roman" w:eastAsia="Times New Roman" w:hint="default"/>
        </w:rPr>
        <w:t>BC2017070600001126</w:t>
      </w:r>
      <w:r>
        <w:rPr/>
        <w:t>号《融资额度协议》项下继续执行。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日，康路与 浦发银行北京分行签订最高额保证合同，为本公司编号为</w:t>
      </w:r>
      <w:r>
        <w:rPr>
          <w:rFonts w:ascii="Times New Roman" w:hAnsi="Times New Roman" w:cs="Times New Roman" w:eastAsia="Times New Roman" w:hint="default"/>
        </w:rPr>
        <w:t>BC2018020100001440</w:t>
      </w:r>
      <w:r>
        <w:rPr/>
        <w:t>号《融资额度协议》下发生的所有债务承担 </w:t>
      </w:r>
      <w:r>
        <w:rPr>
          <w:spacing w:val="-1"/>
        </w:rPr>
        <w:t>连带保证责任，融资额度为</w:t>
      </w:r>
      <w:r>
        <w:rPr>
          <w:rFonts w:ascii="Times New Roman" w:hAnsi="Times New Roman" w:cs="Times New Roman" w:eastAsia="Times New Roman" w:hint="default"/>
          <w:spacing w:val="-1"/>
        </w:rPr>
        <w:t>6,000</w:t>
      </w:r>
      <w:r>
        <w:rPr>
          <w:spacing w:val="-1"/>
        </w:rPr>
        <w:t>万元，同时原</w:t>
      </w:r>
      <w:r>
        <w:rPr>
          <w:rFonts w:ascii="Times New Roman" w:hAnsi="Times New Roman" w:cs="Times New Roman" w:eastAsia="Times New Roman" w:hint="default"/>
          <w:spacing w:val="-1"/>
        </w:rPr>
        <w:t>BC2017070600001126</w:t>
      </w:r>
      <w:r>
        <w:rPr>
          <w:spacing w:val="-1"/>
        </w:rPr>
        <w:t>号《融资额度协议》项下正在执行的公司流动资金借款</w:t>
      </w:r>
      <w:r>
        <w:rPr>
          <w:spacing w:val="-43"/>
        </w:rPr>
        <w:t> </w:t>
      </w:r>
      <w:r>
        <w:rPr>
          <w:spacing w:val="-43"/>
        </w:rPr>
      </w:r>
      <w:r>
        <w:rPr/>
        <w:t>和保函转移至</w:t>
      </w:r>
      <w:r>
        <w:rPr>
          <w:rFonts w:ascii="Times New Roman" w:hAnsi="Times New Roman" w:cs="Times New Roman" w:eastAsia="Times New Roman" w:hint="default"/>
        </w:rPr>
        <w:t>BC2018020100001440</w:t>
      </w:r>
      <w:r>
        <w:rPr/>
        <w:t>号《融资额度协议》下继续执行。截至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日止，本公司在浦发银行北京分行 银行承兑汇票和保函余额合计</w:t>
      </w:r>
      <w:r>
        <w:rPr>
          <w:rFonts w:ascii="Times New Roman" w:hAnsi="Times New Roman" w:cs="Times New Roman" w:eastAsia="Times New Roman" w:hint="default"/>
        </w:rPr>
        <w:t>3,637,400.00</w:t>
      </w:r>
      <w:r>
        <w:rPr/>
        <w:t>元，流动资金借款</w:t>
      </w:r>
      <w:r>
        <w:rPr>
          <w:rFonts w:ascii="Times New Roman" w:hAnsi="Times New Roman" w:cs="Times New Roman" w:eastAsia="Times New Roman" w:hint="default"/>
        </w:rPr>
        <w:t>50,147,242.35</w:t>
      </w:r>
      <w:r>
        <w:rPr/>
        <w:t>元。</w:t>
      </w:r>
    </w:p>
    <w:p>
      <w:pPr>
        <w:pStyle w:val="BodyText"/>
        <w:spacing w:line="240" w:lineRule="auto" w:before="13"/>
        <w:ind w:left="513" w:right="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4</w:t>
      </w:r>
      <w:r>
        <w:rPr>
          <w:spacing w:val="-3"/>
        </w:rPr>
        <w:t>日，康路与中信银行股份有限公司总行营业部签订最高额保证合同，为本公司编号为（</w:t>
      </w:r>
      <w:r>
        <w:rPr>
          <w:rFonts w:ascii="Times New Roman" w:hAnsi="Times New Roman" w:cs="Times New Roman" w:eastAsia="Times New Roman" w:hint="default"/>
          <w:spacing w:val="-3"/>
        </w:rPr>
        <w:t>2018</w:t>
      </w:r>
      <w:r>
        <w:rPr>
          <w:spacing w:val="-3"/>
        </w:rPr>
        <w:t>）信银营授字</w:t>
      </w:r>
      <w:r>
        <w:rPr>
          <w:spacing w:val="-9"/>
        </w:rPr>
        <w:t> </w:t>
      </w:r>
      <w:r>
        <w:rPr/>
        <w:t>第</w:t>
      </w:r>
    </w:p>
    <w:p>
      <w:pPr>
        <w:pStyle w:val="BodyText"/>
        <w:spacing w:line="300" w:lineRule="auto" w:before="63"/>
        <w:ind w:right="0"/>
        <w:jc w:val="left"/>
      </w:pPr>
      <w:r>
        <w:rPr>
          <w:rFonts w:ascii="Times New Roman" w:hAnsi="Times New Roman" w:cs="Times New Roman" w:eastAsia="Times New Roman" w:hint="default"/>
          <w:spacing w:val="-1"/>
        </w:rPr>
        <w:t>000085</w:t>
      </w:r>
      <w:r>
        <w:rPr>
          <w:spacing w:val="-1"/>
        </w:rPr>
        <w:t>号《综合授信合同》下发生的所有债务承担连带保证责任，融资额度为</w:t>
      </w:r>
      <w:r>
        <w:rPr>
          <w:rFonts w:ascii="Times New Roman" w:hAnsi="Times New Roman" w:cs="Times New Roman" w:eastAsia="Times New Roman" w:hint="default"/>
          <w:spacing w:val="-1"/>
        </w:rPr>
        <w:t>12,000</w:t>
      </w:r>
      <w:r>
        <w:rPr>
          <w:spacing w:val="-1"/>
        </w:rPr>
        <w:t>万元；截至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w:t>
      </w:r>
      <w:r>
        <w:rPr>
          <w:spacing w:val="-75"/>
        </w:rPr>
        <w:t> </w:t>
      </w:r>
      <w:r>
        <w:rPr>
          <w:spacing w:val="-75"/>
        </w:rPr>
      </w:r>
      <w:r>
        <w:rPr/>
        <w:t>在中信银行股份有限公司中关村支行银行承兑汇票和保函余额合计</w:t>
      </w:r>
      <w:r>
        <w:rPr>
          <w:rFonts w:ascii="Times New Roman" w:hAnsi="Times New Roman" w:cs="Times New Roman" w:eastAsia="Times New Roman" w:hint="default"/>
        </w:rPr>
        <w:t>79,553,323.80</w:t>
      </w:r>
      <w:r>
        <w:rPr/>
        <w:t>元，流动资金借款</w:t>
      </w:r>
      <w:r>
        <w:rPr>
          <w:rFonts w:ascii="Times New Roman" w:hAnsi="Times New Roman" w:cs="Times New Roman" w:eastAsia="Times New Roman" w:hint="default"/>
        </w:rPr>
        <w:t>0.00</w:t>
      </w:r>
      <w:r>
        <w:rPr/>
        <w:t>元。</w:t>
      </w:r>
    </w:p>
    <w:p>
      <w:pPr>
        <w:pStyle w:val="BodyText"/>
        <w:spacing w:line="300" w:lineRule="auto" w:before="13"/>
        <w:ind w:right="112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日，康路、叶红与华夏银行北京中关村支行签订个人最高额保证合同，本公司与华夏银行北京中关村支行签</w:t>
      </w:r>
      <w:r>
        <w:rPr/>
        <w:t> </w:t>
      </w:r>
      <w:r>
        <w:rPr>
          <w:spacing w:val="-2"/>
        </w:rPr>
        <w:t>订编号为</w:t>
      </w:r>
      <w:r>
        <w:rPr>
          <w:rFonts w:ascii="Times New Roman" w:hAnsi="Times New Roman" w:cs="Times New Roman" w:eastAsia="Times New Roman" w:hint="default"/>
          <w:spacing w:val="-2"/>
        </w:rPr>
        <w:t>YYB27</w:t>
      </w:r>
      <w:r>
        <w:rPr>
          <w:spacing w:val="-2"/>
        </w:rPr>
        <w:t>（高质）</w:t>
      </w:r>
      <w:r>
        <w:rPr>
          <w:rFonts w:ascii="Times New Roman" w:hAnsi="Times New Roman" w:cs="Times New Roman" w:eastAsia="Times New Roman" w:hint="default"/>
          <w:spacing w:val="-2"/>
        </w:rPr>
        <w:t>20180038</w:t>
      </w:r>
      <w:r>
        <w:rPr>
          <w:spacing w:val="-2"/>
        </w:rPr>
        <w:t>《最高额质押合同》，为本公司</w:t>
      </w:r>
      <w:r>
        <w:rPr>
          <w:rFonts w:ascii="Times New Roman" w:hAnsi="Times New Roman" w:cs="Times New Roman" w:eastAsia="Times New Roman" w:hint="default"/>
          <w:spacing w:val="-2"/>
        </w:rPr>
        <w:t>YYB27(</w:t>
      </w:r>
      <w:r>
        <w:rPr>
          <w:spacing w:val="-2"/>
        </w:rPr>
        <w:t>融资</w:t>
      </w:r>
      <w:r>
        <w:rPr>
          <w:rFonts w:ascii="Times New Roman" w:hAnsi="Times New Roman" w:cs="Times New Roman" w:eastAsia="Times New Roman" w:hint="default"/>
          <w:spacing w:val="-2"/>
        </w:rPr>
        <w:t>)20180060</w:t>
      </w:r>
      <w:r>
        <w:rPr>
          <w:spacing w:val="-2"/>
        </w:rPr>
        <w:t>号《最高额融资合同》下发生的所</w:t>
      </w:r>
      <w:r>
        <w:rPr>
          <w:spacing w:val="-29"/>
        </w:rPr>
        <w:t> </w:t>
      </w:r>
      <w:r>
        <w:rPr>
          <w:spacing w:val="-29"/>
        </w:rPr>
      </w:r>
      <w:r>
        <w:rPr/>
        <w:t>有债务承担连带保证责任，融资额度为</w:t>
      </w:r>
      <w:r>
        <w:rPr>
          <w:rFonts w:ascii="Times New Roman" w:hAnsi="Times New Roman" w:cs="Times New Roman" w:eastAsia="Times New Roman" w:hint="default"/>
        </w:rPr>
        <w:t>5,000</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日止，本公司在华夏银行北京中关村支行银行承兑汇 票和保函余额合计</w:t>
      </w:r>
      <w:r>
        <w:rPr>
          <w:rFonts w:ascii="Times New Roman" w:hAnsi="Times New Roman" w:cs="Times New Roman" w:eastAsia="Times New Roman" w:hint="default"/>
        </w:rPr>
        <w:t>0.00</w:t>
      </w:r>
      <w:r>
        <w:rPr/>
        <w:t>元，流动资金借款</w:t>
      </w:r>
      <w:r>
        <w:rPr>
          <w:rFonts w:ascii="Times New Roman" w:hAnsi="Times New Roman" w:cs="Times New Roman" w:eastAsia="Times New Roman" w:hint="default"/>
        </w:rPr>
        <w:t>50,000,000.00</w:t>
      </w:r>
      <w:r>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3,081,396.00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2,074,513.00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line="2235" w:lineRule="exact"/>
        <w:ind w:left="153"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5943600" cy="1419225"/>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30" cstate="print"/>
                    <a:stretch>
                      <a:fillRect/>
                    </a:stretch>
                  </pic:blipFill>
                  <pic:spPr>
                    <a:xfrm>
                      <a:off x="0" y="0"/>
                      <a:ext cx="5943600" cy="1419225"/>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5"/>
        <w:rPr>
          <w:rFonts w:ascii="宋体" w:hAnsi="宋体" w:cs="宋体" w:eastAsia="宋体" w:hint="default"/>
          <w:b/>
          <w:bCs/>
          <w:sz w:val="29"/>
          <w:szCs w:val="2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4"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708,220.00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1"/>
        <w:gridCol w:w="5459"/>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本公司采用布莱克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r>
              <w:rPr>
                <w:rFonts w:ascii="Times New Roman" w:hAnsi="Times New Roman" w:cs="Times New Roman" w:eastAsia="Times New Roman" w:hint="default"/>
                <w:sz w:val="18"/>
                <w:szCs w:val="18"/>
              </w:rPr>
              <w:t>B-S </w:t>
            </w:r>
            <w:r>
              <w:rPr>
                <w:rFonts w:ascii="宋体" w:hAnsi="宋体" w:cs="宋体" w:eastAsia="宋体" w:hint="default"/>
                <w:sz w:val="18"/>
                <w:szCs w:val="18"/>
              </w:rPr>
              <w:t>模型）确定</w:t>
            </w:r>
          </w:p>
        </w:tc>
      </w:tr>
      <w:tr>
        <w:trPr>
          <w:trHeight w:val="715"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本公司采用获授限制性股票额度基数与解锁安排中相应每期解锁比例 确定</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3,783,474.75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1,547,785.14</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right="6074"/>
        <w:jc w:val="left"/>
      </w:pPr>
      <w:r>
        <w:rPr/>
        <w:t>资产负债表日存在的重要承诺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日，本公司无需要披露的或有事项。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4"/>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7,751,277.50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7,751,277.50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日起执行新会计准则的影响： </w:t>
      </w:r>
      <w:r>
        <w:rPr>
          <w:spacing w:val="-2"/>
        </w:rPr>
        <w:t>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日分别发布了《企业会计准则第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w:t>
      </w:r>
      <w:r>
        <w:rPr>
          <w:rFonts w:ascii="Times New Roman" w:hAnsi="Times New Roman" w:cs="Times New Roman" w:eastAsia="Times New Roman" w:hint="default"/>
          <w:spacing w:val="-2"/>
        </w:rPr>
        <w:t>2017</w:t>
      </w:r>
      <w:r>
        <w:rPr>
          <w:spacing w:val="-2"/>
        </w:rPr>
        <w:t>年修订）》（财会〔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7</w:t>
      </w:r>
    </w:p>
    <w:p>
      <w:pPr>
        <w:pStyle w:val="BodyText"/>
        <w:spacing w:line="300" w:lineRule="auto" w:before="13"/>
        <w:ind w:right="1128"/>
        <w:jc w:val="both"/>
      </w:pPr>
      <w:r>
        <w:rPr/>
        <w:t>号）、《企业会计准则第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w:t>
      </w:r>
      <w:r>
        <w:rPr>
          <w:spacing w:val="-3"/>
        </w:rPr>
        <w:t> </w:t>
      </w:r>
      <w:r>
        <w:rPr/>
        <w:t>会计（</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w:t>
      </w:r>
      <w:r>
        <w:rPr>
          <w:spacing w:val="-3"/>
        </w:rPr>
        <w:t> </w:t>
      </w:r>
      <w:r>
        <w:rPr>
          <w:spacing w:val="-2"/>
        </w:rPr>
        <w:t>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14</w:t>
      </w:r>
      <w:r>
        <w:rPr>
          <w:spacing w:val="-2"/>
        </w:rPr>
        <w:t>号）（上述准则以下统称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），并要求境内上市公司自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日起施行。经本</w:t>
      </w:r>
      <w:r>
        <w:rPr>
          <w:spacing w:val="-37"/>
        </w:rPr>
        <w:t> </w:t>
      </w:r>
      <w:r>
        <w:rPr>
          <w:spacing w:val="-37"/>
        </w:rPr>
      </w:r>
      <w:r>
        <w:rPr/>
        <w:t>公司第九届董事会第十六次会议于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日决议通过，本公司将于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日起执行上述新金融工具准则，并将依 据上述新金融工具准则的规定对相关会计政策进行变更。</w:t>
      </w:r>
    </w:p>
    <w:p>
      <w:pPr>
        <w:pStyle w:val="BodyText"/>
        <w:spacing w:line="316" w:lineRule="auto" w:before="31"/>
        <w:ind w:left="513" w:right="1117"/>
        <w:jc w:val="left"/>
      </w:pPr>
      <w:r>
        <w:rPr/>
        <w:t>以下为所涉及的会计政策变更的主要内容： 在新金融工具准则下所有已确认金融资产其后续均按摊余成本或公允价值计量。 </w:t>
      </w:r>
      <w:r>
        <w:rPr>
          <w:spacing w:val="-2"/>
        </w:rPr>
        <w:t>在新金融工具准则施行日，以本公司该日既有事实和情况为基础评估管理金融资产的业务模式、以金融资产初始确认时</w:t>
      </w:r>
    </w:p>
    <w:p>
      <w:pPr>
        <w:pStyle w:val="BodyText"/>
        <w:spacing w:line="316" w:lineRule="auto" w:before="19"/>
        <w:ind w:right="1130"/>
        <w:jc w:val="both"/>
      </w:pPr>
      <w:r>
        <w:rPr>
          <w:spacing w:val="-2"/>
        </w:rPr>
        <w:t>的事实和情况为基础评估该金融资产上的合同现金流量特征，将金融资产分为三类：按摊余成本计量、按公允价值计量且其</w:t>
      </w:r>
      <w:r>
        <w:rPr>
          <w:spacing w:val="-65"/>
        </w:rPr>
        <w:t> </w:t>
      </w:r>
      <w:r>
        <w:rPr>
          <w:spacing w:val="-65"/>
        </w:rPr>
      </w:r>
      <w:r>
        <w:rPr>
          <w:spacing w:val="-2"/>
        </w:rPr>
        <w:t>变动计入其他综合收益及按公允价值计量且其变动计入损益。其中，对于按公允价值计量且其变动计入其他综合收益的权益</w:t>
      </w:r>
      <w:r>
        <w:rPr>
          <w:spacing w:val="-64"/>
        </w:rPr>
        <w:t> </w:t>
      </w:r>
      <w:r>
        <w:rPr>
          <w:spacing w:val="-64"/>
        </w:rPr>
      </w:r>
      <w:r>
        <w:rPr>
          <w:spacing w:val="-2"/>
        </w:rPr>
        <w:t>工具投资，当该金融资产终止确认时，之前计入其他综合收益的累计利得或损失将从其他综合收益转入留存收益，不计入当</w:t>
      </w:r>
      <w:r>
        <w:rPr>
          <w:spacing w:val="-63"/>
        </w:rPr>
        <w:t> </w:t>
      </w:r>
      <w:r>
        <w:rPr>
          <w:spacing w:val="-63"/>
        </w:rPr>
      </w:r>
      <w:r>
        <w:rPr/>
        <w:t>期损益。</w:t>
      </w:r>
    </w:p>
    <w:p>
      <w:pPr>
        <w:pStyle w:val="BodyText"/>
        <w:spacing w:line="316" w:lineRule="auto" w:before="19"/>
        <w:ind w:right="0" w:firstLine="360"/>
        <w:jc w:val="left"/>
      </w:pPr>
      <w:r>
        <w:rPr>
          <w:spacing w:val="-2"/>
        </w:rPr>
        <w:t>在新金融工具准则下，本公司以预期信用损失为基础，对以摊余成本计量的金融资产、以公允价值计量且其变动计入其</w:t>
      </w:r>
      <w:r>
        <w:rPr/>
        <w:t> 他综合收益的债务工具投资、租赁应收款、合同资产及财务担保合同计提减值准备并确认信用减值损失。</w:t>
      </w:r>
    </w:p>
    <w:p>
      <w:pPr>
        <w:pStyle w:val="BodyText"/>
        <w:spacing w:line="300" w:lineRule="auto" w:before="19"/>
        <w:ind w:right="0" w:firstLine="360"/>
        <w:jc w:val="left"/>
      </w:pPr>
      <w:r>
        <w:rPr>
          <w:spacing w:val="-2"/>
        </w:rPr>
        <w:t>（</w:t>
      </w:r>
      <w:r>
        <w:rPr>
          <w:rFonts w:ascii="Times New Roman" w:hAnsi="Times New Roman" w:cs="Times New Roman" w:eastAsia="Times New Roman" w:hint="default"/>
          <w:spacing w:val="-2"/>
        </w:rPr>
        <w:t>2</w:t>
      </w:r>
      <w:r>
        <w:rPr>
          <w:spacing w:val="-2"/>
        </w:rPr>
        <w:t>）公司经</w:t>
      </w:r>
      <w:r>
        <w:rPr>
          <w:rFonts w:ascii="Times New Roman" w:hAnsi="Times New Roman" w:cs="Times New Roman" w:eastAsia="Times New Roman" w:hint="default"/>
          <w:spacing w:val="-2"/>
        </w:rPr>
        <w:t>2019</w:t>
      </w:r>
      <w:r>
        <w:rPr>
          <w:spacing w:val="-2"/>
        </w:rPr>
        <w:t>年第一次总经理办公会会议决议，基于本公司的发展战略，以自有资金</w:t>
      </w:r>
      <w:r>
        <w:rPr>
          <w:rFonts w:ascii="Times New Roman" w:hAnsi="Times New Roman" w:cs="Times New Roman" w:eastAsia="Times New Roman" w:hint="default"/>
          <w:spacing w:val="-2"/>
        </w:rPr>
        <w:t>3,000.00</w:t>
      </w:r>
      <w:r>
        <w:rPr>
          <w:spacing w:val="-2"/>
        </w:rPr>
        <w:t>万元取得了北京清林软</w:t>
      </w:r>
      <w:r>
        <w:rPr/>
        <w:t> 件科技有限公司</w:t>
      </w:r>
      <w:r>
        <w:rPr>
          <w:rFonts w:ascii="Times New Roman" w:hAnsi="Times New Roman" w:cs="Times New Roman" w:eastAsia="Times New Roman" w:hint="default"/>
        </w:rPr>
        <w:t>25.00%</w:t>
      </w:r>
      <w:r>
        <w:rPr/>
        <w:t>的股权。</w:t>
      </w:r>
    </w:p>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）其他资产置换</w:t>
      </w:r>
      <w:r>
        <w:rPr>
          <w:b w:val="0"/>
          <w:bCs w:val="0"/>
        </w:rPr>
      </w:r>
    </w:p>
    <w:p>
      <w:pPr>
        <w:spacing w:after="0" w:line="240" w:lineRule="auto"/>
        <w:jc w:val="both"/>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297,756,467.25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305,137,737.98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297,756,467.25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308,512,737.98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8"/>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right="-18"/>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165" w:space="3664"/>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231,570.00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355,605,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234.87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57,848,7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16.27%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297,756,4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67.25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355,399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,848.44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50,262,11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305,137,73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7.98</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355,605,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234.87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57,848,7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67.62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16.27%</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297,756,4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67.25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355,399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,848.44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50,262,11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0.46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14.14%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305,137,73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7.98</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5"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232,067,473.82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11,603,373.69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68,922,926.67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6,892,292.67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9,048,734.39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2,714,620.32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10,945,160.97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5,472,580.49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17,275,192.85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13,820,154.28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17,345,746.17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17,345,746.17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355,605,234.87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57,848,767.62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确定该组合依据的说明：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公司根据以前年度与之相同或相类似的、按账龄段划分的具有类似信用风险特征的其他应收账款组合的实际损失率为基础， 结合现时情况分析法确定坏账准备计提的比例。</w:t>
      </w:r>
    </w:p>
    <w:p>
      <w:pPr>
        <w:pStyle w:val="BodyText"/>
        <w:spacing w:line="240" w:lineRule="auto" w:before="58"/>
        <w:ind w:right="1133"/>
        <w:jc w:val="left"/>
      </w:pPr>
      <w:r>
        <w:rPr/>
        <w:t>组合中，采用余额百分比法计提坏账准备的应收账款：</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9"/>
        <w:ind w:right="4456"/>
        <w:jc w:val="left"/>
      </w:pPr>
      <w:r>
        <w:rPr/>
        <w:t>本期计提坏账准备金额</w:t>
      </w:r>
      <w:r>
        <w:rPr>
          <w:spacing w:val="-46"/>
        </w:rPr>
        <w:t> </w:t>
      </w:r>
      <w:r>
        <w:rPr>
          <w:rFonts w:ascii="Times New Roman" w:hAnsi="Times New Roman" w:cs="Times New Roman" w:eastAsia="Times New Roman" w:hint="default"/>
        </w:rPr>
        <w:t>7,586,657.16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pStyle w:val="BodyText"/>
        <w:spacing w:line="240" w:lineRule="auto" w:before="41"/>
        <w:ind w:right="1133"/>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right="113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9"/>
        <w:rPr>
          <w:rFonts w:ascii="宋体" w:hAnsi="宋体" w:cs="宋体" w:eastAsia="宋体" w:hint="default"/>
          <w:sz w:val="8"/>
          <w:szCs w:val="8"/>
        </w:rPr>
      </w:pPr>
    </w:p>
    <w:p>
      <w:pPr>
        <w:spacing w:line="3390" w:lineRule="exact"/>
        <w:ind w:left="153"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5874557" cy="2152650"/>
            <wp:effectExtent l="0" t="0" r="0" b="0"/>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31" cstate="print"/>
                    <a:stretch>
                      <a:fillRect/>
                    </a:stretch>
                  </pic:blipFill>
                  <pic:spPr>
                    <a:xfrm>
                      <a:off x="0" y="0"/>
                      <a:ext cx="5874557" cy="2152650"/>
                    </a:xfrm>
                    <a:prstGeom prst="rect">
                      <a:avLst/>
                    </a:prstGeom>
                  </pic:spPr>
                </pic:pic>
              </a:graphicData>
            </a:graphic>
          </wp:inline>
        </w:drawing>
      </w:r>
      <w:r>
        <w:rPr>
          <w:rFonts w:ascii="宋体" w:hAnsi="宋体" w:cs="宋体" w:eastAsia="宋体" w:hint="default"/>
          <w:position w:val="-67"/>
          <w:sz w:val="20"/>
          <w:szCs w:val="20"/>
        </w:rPr>
      </w:r>
    </w:p>
    <w:p>
      <w:pPr>
        <w:pStyle w:val="BodyText"/>
        <w:spacing w:line="240" w:lineRule="auto" w:before="73"/>
        <w:ind w:right="1133"/>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1"/>
        <w:ind w:right="1133"/>
        <w:jc w:val="left"/>
      </w:pPr>
      <w:r>
        <w:rPr>
          <w:rFonts w:ascii="Times New Roman" w:hAnsi="Times New Roman" w:cs="Times New Roman" w:eastAsia="Times New Roman" w:hint="default"/>
        </w:rPr>
        <w:t>6)</w:t>
      </w:r>
      <w:r>
        <w:rPr/>
        <w:t>转移应收账款且继续涉入形成的资产、负债金额</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8,347,789.54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6,663,567.66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8,347,789.54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6,663,567.66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1)</w:t>
      </w:r>
      <w:r>
        <w:rPr/>
        <w:t>应收利息分类</w:t>
      </w:r>
    </w:p>
    <w:p>
      <w:pPr>
        <w:pStyle w:val="BodyText"/>
        <w:spacing w:line="240" w:lineRule="auto" w:before="102"/>
        <w:ind w:right="1133"/>
        <w:jc w:val="left"/>
      </w:pPr>
      <w:r>
        <w:rPr>
          <w:rFonts w:ascii="Times New Roman" w:hAnsi="Times New Roman" w:cs="Times New Roman" w:eastAsia="Times New Roman" w:hint="default"/>
        </w:rPr>
        <w:t>2)</w:t>
      </w:r>
      <w:r>
        <w:rPr/>
        <w:t>重要逾期利息</w:t>
      </w:r>
    </w:p>
    <w:p>
      <w:pPr>
        <w:spacing w:line="240" w:lineRule="auto" w:before="4"/>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1)</w:t>
      </w:r>
      <w:r>
        <w:rPr/>
        <w:t>应收股利</w:t>
      </w:r>
    </w:p>
    <w:p>
      <w:pPr>
        <w:pStyle w:val="BodyText"/>
        <w:spacing w:line="240" w:lineRule="auto" w:before="103"/>
        <w:ind w:right="1133"/>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9,178,72</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7.62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830,938.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9.05%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8,347,789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7,254,8</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94.17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591,326.5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6,663,567.6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9,178,72</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7.62</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830,938.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8,347,789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7,254,8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94.17</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6,663,567.6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4"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7,698,393.62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384,919.68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627,684.00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62,768.40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9,178,727.62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830,938.08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49"/>
        <w:ind w:right="1645"/>
        <w:jc w:val="left"/>
      </w:pPr>
      <w:r>
        <w:rPr/>
        <w:t>确定该组合依据的说明： 组合中，采用余额百分比法计提坏账准备的其他应收款：</w:t>
      </w:r>
    </w:p>
    <w:p>
      <w:pPr>
        <w:pStyle w:val="BodyText"/>
        <w:spacing w:line="338" w:lineRule="auto" w:before="29"/>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6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645"/>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10"/>
        <w:jc w:val="left"/>
      </w:pPr>
      <w:r>
        <w:rPr/>
        <w:t>本期计提坏账准备金额</w:t>
      </w:r>
      <w:r>
        <w:rPr>
          <w:spacing w:val="-48"/>
        </w:rPr>
        <w:t> </w:t>
      </w:r>
      <w:r>
        <w:rPr>
          <w:rFonts w:ascii="Times New Roman" w:hAnsi="Times New Roman" w:cs="Times New Roman" w:eastAsia="Times New Roman" w:hint="default"/>
        </w:rPr>
        <w:t>239,611.57</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645"/>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right="1645"/>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18" w:space="2511"/>
            <w:col w:w="210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7,086,033.16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5,650,557.15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1,354,513.20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807,020.40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188,616.00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社保个人承担部分</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662,981.26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608,700.62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9,178,727.62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7,254,894.17</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1,835,082.00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91,754.10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977,464.00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48,873.20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407,753.00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20,387.65</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303,434.56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15,171.73</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3,822,733.56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191,136.68</w:t>
            </w: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right="1133"/>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其他说明：无</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237,538,264.06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237,538,264.06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63,818,349.80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63,818,349.80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237,538,264.06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237,538,264.06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63,818,349.80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63,818,349.80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984"/>
        <w:gridCol w:w="1277"/>
        <w:gridCol w:w="1561"/>
        <w:gridCol w:w="1627"/>
      </w:tblGrid>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武汉新晨信息产 业公司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5,012,073.75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10,008,358.75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15,020,432.50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广州新晨信息系 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2,024,147.50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16,717.50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2,040,865.00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984"/>
        <w:gridCol w:w="1277"/>
        <w:gridCol w:w="1561"/>
        <w:gridCol w:w="1627"/>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江苏新晨信息科 技发展有限公司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6,643,115.25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158,816.25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6,801,931.50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上海新晨信息系 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19,556,040.09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179,713.13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19,735,753.22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上海点逸网络科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8,744,537.62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8,744,537.62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北京新晨科技发 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21,838,435.59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156,308.63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21,994,744.22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北京瑞得音信息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163,200,000.00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163,200,000.00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63,818,349.80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173,719,914.26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237,538,264.06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630,731,716.24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527,799,581.83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491,289,259.92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382,584,258.87</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17,328,482.40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2,139,152.53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944,194.66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182,464.22</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648,060,198.64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529,938,734.36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492,233,454.58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382,766,723.09</w:t>
            </w:r>
          </w:p>
        </w:tc>
      </w:tr>
    </w:tbl>
    <w:p>
      <w:pPr>
        <w:pStyle w:val="BodyText"/>
        <w:spacing w:line="240" w:lineRule="auto" w:before="49"/>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60"/>
        <w:gridCol w:w="3185"/>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1,097,228.77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1,097,228.77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113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0"/>
        <w:gridCol w:w="1844"/>
        <w:gridCol w:w="5175"/>
      </w:tblGrid>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10,236,004.20</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非流动资产处置损益为固定资产处置损益。</w:t>
            </w:r>
          </w:p>
        </w:tc>
      </w:tr>
      <w:tr>
        <w:trPr>
          <w:trHeight w:val="473" w:hRule="exact"/>
        </w:trPr>
        <w:tc>
          <w:tcPr>
            <w:tcW w:w="2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1,668,104.34</w:t>
            </w:r>
          </w:p>
        </w:tc>
        <w:tc>
          <w:tcPr>
            <w:tcW w:w="517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国家高技术研究发展计划（面向灾备资源共享的容灾云关键技术 与系统）基金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988,104.34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元，中关村科技园区海淀园区管理委员</w:t>
            </w:r>
          </w:p>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会产规处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年重点培育企业专项资金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300,000.00 </w:t>
            </w:r>
            <w:r>
              <w:rPr>
                <w:rFonts w:ascii="宋体" w:hAnsi="宋体" w:cs="宋体" w:eastAsia="宋体" w:hint="default"/>
                <w:spacing w:val="-3"/>
                <w:sz w:val="18"/>
                <w:szCs w:val="18"/>
              </w:rPr>
              <w:t>元，上海市长</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宁区财政局财政扶持资金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元，中关村企业信用促进会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中介服务支持资金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元，武汉东湖新技术开发区管理委员</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会财政局服务业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小进规</w:t>
            </w:r>
            <w:r>
              <w:rPr>
                <w:rFonts w:ascii="Times New Roman" w:hAnsi="Times New Roman" w:cs="Times New Roman" w:eastAsia="Times New Roman" w:hint="default"/>
                <w:sz w:val="18"/>
                <w:szCs w:val="18"/>
              </w:rPr>
              <w:t>"</w:t>
            </w:r>
            <w:r>
              <w:rPr>
                <w:rFonts w:ascii="宋体" w:hAnsi="宋体" w:cs="宋体" w:eastAsia="宋体" w:hint="default"/>
                <w:sz w:val="18"/>
                <w:szCs w:val="18"/>
              </w:rPr>
              <w:t>政策款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元，武汉东湖新技术开</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发区管理委员会财政局高新企业认定补助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328" w:hRule="exact"/>
        </w:trPr>
        <w:tc>
          <w:tcPr>
            <w:tcW w:w="25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业业务密切相关，按照国家统一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标准定额或定量享受的政府补 助除外）</w:t>
            </w:r>
          </w:p>
        </w:tc>
        <w:tc>
          <w:tcPr>
            <w:tcW w:w="1844" w:type="dxa"/>
            <w:vMerge/>
            <w:tcBorders>
              <w:left w:val="single" w:sz="10" w:space="0" w:color="D2D2D2"/>
              <w:right w:val="single" w:sz="4" w:space="0" w:color="000000"/>
            </w:tcBorders>
          </w:tcPr>
          <w:p>
            <w:pPr/>
          </w:p>
        </w:tc>
        <w:tc>
          <w:tcPr>
            <w:tcW w:w="5175" w:type="dxa"/>
            <w:vMerge/>
            <w:tcBorders>
              <w:left w:val="single" w:sz="4" w:space="0" w:color="000000"/>
              <w:right w:val="single" w:sz="4" w:space="0" w:color="000000"/>
            </w:tcBorders>
          </w:tcPr>
          <w:p>
            <w:pPr/>
          </w:p>
        </w:tc>
      </w:tr>
      <w:tr>
        <w:trPr>
          <w:trHeight w:val="473" w:hRule="exact"/>
        </w:trPr>
        <w:tc>
          <w:tcPr>
            <w:tcW w:w="2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10" w:space="0" w:color="D2D2D2"/>
              <w:bottom w:val="single" w:sz="4" w:space="0" w:color="000000"/>
              <w:right w:val="single" w:sz="4" w:space="0" w:color="000000"/>
            </w:tcBorders>
          </w:tcPr>
          <w:p>
            <w:pPr/>
          </w:p>
        </w:tc>
        <w:tc>
          <w:tcPr>
            <w:tcW w:w="5175" w:type="dxa"/>
            <w:vMerge/>
            <w:tcBorders>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7"/>
              <w:jc w:val="left"/>
              <w:rPr>
                <w:rFonts w:ascii="宋体" w:hAnsi="宋体" w:cs="宋体" w:eastAsia="宋体" w:hint="default"/>
                <w:sz w:val="18"/>
                <w:szCs w:val="18"/>
              </w:rPr>
            </w:pPr>
            <w:r>
              <w:rPr>
                <w:rFonts w:ascii="宋体" w:hAnsi="宋体" w:cs="宋体" w:eastAsia="宋体" w:hint="default"/>
                <w:sz w:val="18"/>
                <w:szCs w:val="18"/>
              </w:rPr>
              <w:t>除上述各项之外的其他营业外 收入和支出</w:t>
            </w:r>
          </w:p>
        </w:tc>
        <w:tc>
          <w:tcPr>
            <w:tcW w:w="18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9,006.92</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其他营业外收入和支出主要为个税的手续费返还和滞纳金支出。</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1,791,471.13</w:t>
            </w:r>
          </w:p>
        </w:tc>
        <w:tc>
          <w:tcPr>
            <w:tcW w:w="51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18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7,038.44</w:t>
            </w:r>
          </w:p>
        </w:tc>
        <w:tc>
          <w:tcPr>
            <w:tcW w:w="51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10,114,605.89</w:t>
            </w:r>
          </w:p>
        </w:tc>
        <w:tc>
          <w:tcPr>
            <w:tcW w:w="5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1"/>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0.25</w:t>
            </w:r>
          </w:p>
        </w:tc>
      </w:tr>
      <w:tr>
        <w:trPr>
          <w:trHeight w:val="716"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0.18</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2402"/>
        <w:jc w:val="left"/>
      </w:pPr>
      <w:r>
        <w:rPr/>
        <w:t>一、</w:t>
      </w:r>
      <w:r>
        <w:rPr>
          <w:spacing w:val="-18"/>
        </w:rPr>
        <w:t> </w:t>
      </w:r>
      <w:r>
        <w:rPr/>
        <w:t>载有公司负责人、主管会计工作负责人、会计机构负责人（会计主管人员）签名并盖章的财务报表。</w:t>
      </w:r>
      <w:r>
        <w:rPr/>
        <w:t> 二、</w:t>
      </w:r>
      <w:r>
        <w:rPr>
          <w:spacing w:val="-18"/>
        </w:rPr>
        <w:t> </w:t>
      </w:r>
      <w:r>
        <w:rPr/>
        <w:t>载有会计师事务所盖章、注册会计师签名并盖章的审计报告原件。</w:t>
      </w:r>
    </w:p>
    <w:p>
      <w:pPr>
        <w:pStyle w:val="BodyText"/>
        <w:spacing w:line="316" w:lineRule="auto" w:before="19"/>
        <w:ind w:right="3662"/>
        <w:jc w:val="left"/>
      </w:pPr>
      <w:r>
        <w:rPr/>
        <w:t>三、</w:t>
      </w:r>
      <w:r>
        <w:rPr>
          <w:spacing w:val="-18"/>
        </w:rPr>
        <w:t> </w:t>
      </w:r>
      <w:r>
        <w:rPr/>
        <w:t>报告期内在中国证监会指定网站上公开披露过的所有公司文件的正本及公告的原稿。</w:t>
      </w:r>
      <w:r>
        <w:rPr/>
        <w:t> 四、</w:t>
      </w:r>
      <w:r>
        <w:rPr>
          <w:spacing w:val="-18"/>
        </w:rPr>
        <w:t> </w:t>
      </w:r>
      <w:r>
        <w:rPr/>
        <w:t>在其他证券市场公布的年度报告。</w:t>
      </w:r>
    </w:p>
    <w:p>
      <w:pPr>
        <w:pStyle w:val="BodyText"/>
        <w:spacing w:line="240" w:lineRule="auto" w:before="19"/>
        <w:ind w:right="1133"/>
        <w:jc w:val="left"/>
      </w:pPr>
      <w:r>
        <w:rPr/>
        <w:t>以上备查文件的备置地点：公司证券事务部。</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9336" type="#_x0000_t75" stroked="false">
          <v:imagedata r:id="rId1" o:title=""/>
        </v:shape>
      </w:pict>
    </w:r>
    <w:r>
      <w:rPr/>
      <w:pict>
        <v:shape style="position:absolute;margin-left:533.099976pt;margin-top:795.613892pt;width:6.5pt;height:11pt;mso-position-horizontal-relative:page;mso-position-vertical-relative:page;z-index:-889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9288" type="#_x0000_t75" stroked="false">
          <v:imagedata r:id="rId1" o:title=""/>
        </v:shape>
      </w:pict>
    </w:r>
    <w:r>
      <w:rPr/>
      <w:pict>
        <v:shape style="position:absolute;margin-left:527.659973pt;margin-top:781.933899pt;width:13.15pt;height:11pt;mso-position-horizontal-relative:page;mso-position-vertical-relative:page;z-index:-889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9240" type="#_x0000_t75" stroked="false">
          <v:imagedata r:id="rId1" o:title=""/>
        </v:shape>
      </w:pict>
    </w:r>
    <w:r>
      <w:rPr/>
      <w:pict>
        <v:shape style="position:absolute;margin-left:527.659973pt;margin-top:781.933899pt;width:13.15pt;height:11pt;mso-position-horizontal-relative:page;mso-position-vertical-relative:page;z-index:-889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9192" type="#_x0000_t75" stroked="false">
          <v:imagedata r:id="rId1" o:title=""/>
        </v:shape>
      </w:pict>
    </w:r>
    <w:r>
      <w:rPr/>
      <w:pict>
        <v:shape style="position:absolute;margin-left:524.099976pt;margin-top:781.933899pt;width:15.7pt;height:11pt;mso-position-horizontal-relative:page;mso-position-vertical-relative:page;z-index:-8891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9144" type="#_x0000_t75" stroked="false">
          <v:imagedata r:id="rId1" o:title=""/>
        </v:shape>
      </w:pict>
    </w:r>
    <w:r>
      <w:rPr/>
      <w:pict>
        <v:shape style="position:absolute;margin-left:523.099976pt;margin-top:781.933899pt;width:17.7pt;height:11pt;mso-position-horizontal-relative:page;mso-position-vertical-relative:page;z-index:-889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9096" type="#_x0000_t75" stroked="false">
          <v:imagedata r:id="rId1" o:title=""/>
        </v:shape>
      </w:pict>
    </w:r>
    <w:r>
      <w:rPr/>
      <w:pict>
        <v:shape style="position:absolute;margin-left:523.460022pt;margin-top:781.933899pt;width:17.3pt;height:11pt;mso-position-horizontal-relative:page;mso-position-vertical-relative:page;z-index:-889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9048" type="#_x0000_t75" stroked="false">
          <v:imagedata r:id="rId1" o:title=""/>
        </v:shape>
      </w:pict>
    </w:r>
    <w:r>
      <w:rPr/>
      <w:pict>
        <v:shape style="position:absolute;margin-left:523.099976pt;margin-top:781.933899pt;width:17.7pt;height:11pt;mso-position-horizontal-relative:page;mso-position-vertical-relative:page;z-index:-889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9000" type="#_x0000_t75" stroked="false">
          <v:imagedata r:id="rId1" o:title=""/>
        </v:shape>
      </w:pict>
    </w:r>
    <w:r>
      <w:rPr/>
      <w:pict>
        <v:shape style="position:absolute;margin-left:523.099976pt;margin-top:781.933899pt;width:17.7pt;height:11pt;mso-position-horizontal-relative:page;mso-position-vertical-relative:page;z-index:-888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139</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070007pt;margin-top:36.265610pt;width:177.6pt;height:11.5pt;mso-position-horizontal-relative:page;mso-position-vertical-relative:page;z-index:-889360" type="#_x0000_t202" filled="false" stroked="false">
          <v:textbox inset="0,0,0,0">
            <w:txbxContent>
              <w:p>
                <w:pPr>
                  <w:pStyle w:val="BodyText"/>
                  <w:spacing w:line="214" w:lineRule="exact"/>
                  <w:ind w:left="20" w:right="0"/>
                  <w:jc w:val="left"/>
                </w:pPr>
                <w:r>
                  <w:rPr/>
                  <w:t>新晨科技股份有限公司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63"/>
      <w:ind w:left="63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brilliance.com.cn/" TargetMode="External"/><Relationship Id="rId10" Type="http://schemas.openxmlformats.org/officeDocument/2006/relationships/hyperlink" Target="mailto:brilliance@brilliance.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7.png"/><Relationship Id="rId20" Type="http://schemas.openxmlformats.org/officeDocument/2006/relationships/footer" Target="footer6.xm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7.xml"/><Relationship Id="rId24" Type="http://schemas.openxmlformats.org/officeDocument/2006/relationships/image" Target="media/image10.png"/><Relationship Id="rId25" Type="http://schemas.openxmlformats.org/officeDocument/2006/relationships/footer" Target="footer8.xml"/><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新晨科技股份有限公司</dc:creator>
  <dc:title>新晨科技股份有限公司2018年年度报告全文</dc:title>
  <dcterms:created xsi:type="dcterms:W3CDTF">2020-05-04T21:21:51Z</dcterms:created>
  <dcterms:modified xsi:type="dcterms:W3CDTF">2020-05-04T21:21:51Z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Microsoft® Word 2010</vt:lpwstr>
  </property>
  <property fmtid="{D5CDD505-2E9C-101B-9397-08002B2CF9AE}" pid="4" name="LastSaved">
    <vt:filetime>2020-05-04T00:00:00Z</vt:filetime>
  </property>
</Properties>
</file>