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p>
      <w:pPr>
        <w:spacing w:line="1972" w:lineRule="exact"/>
        <w:ind w:left="357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1888582" cy="125272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888582" cy="1252727"/>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spacing w:line="460" w:lineRule="exact" w:before="0"/>
        <w:ind w:left="555" w:right="556" w:firstLine="0"/>
        <w:jc w:val="center"/>
        <w:rPr>
          <w:rFonts w:ascii="宋体" w:hAnsi="宋体" w:cs="宋体" w:eastAsia="宋体" w:hint="default"/>
          <w:sz w:val="36"/>
          <w:szCs w:val="36"/>
        </w:rPr>
      </w:pPr>
      <w:r>
        <w:rPr>
          <w:rFonts w:ascii="宋体" w:hAnsi="宋体" w:cs="宋体" w:eastAsia="宋体" w:hint="default"/>
          <w:b/>
          <w:bCs/>
          <w:sz w:val="36"/>
          <w:szCs w:val="36"/>
        </w:rPr>
        <w:t>浙江和仁科技股份有限公司</w:t>
      </w:r>
      <w:r>
        <w:rPr>
          <w:rFonts w:ascii="宋体" w:hAnsi="宋体" w:cs="宋体" w:eastAsia="宋体" w:hint="default"/>
          <w:sz w:val="36"/>
          <w:szCs w:val="36"/>
        </w:rPr>
      </w:r>
    </w:p>
    <w:p>
      <w:pPr>
        <w:spacing w:line="240" w:lineRule="auto" w:before="8"/>
        <w:rPr>
          <w:rFonts w:ascii="宋体" w:hAnsi="宋体" w:cs="宋体" w:eastAsia="宋体" w:hint="default"/>
          <w:b/>
          <w:bCs/>
          <w:sz w:val="44"/>
          <w:szCs w:val="44"/>
        </w:rPr>
      </w:pPr>
    </w:p>
    <w:p>
      <w:pPr>
        <w:spacing w:before="0"/>
        <w:ind w:left="555" w:right="55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50"/>
          <w:szCs w:val="50"/>
        </w:rPr>
      </w:pPr>
    </w:p>
    <w:p>
      <w:pPr>
        <w:spacing w:before="0"/>
        <w:ind w:left="555" w:right="555" w:firstLine="0"/>
        <w:jc w:val="center"/>
        <w:rPr>
          <w:rFonts w:ascii="Times New Roman" w:hAnsi="Times New Roman" w:cs="Times New Roman" w:eastAsia="Times New Roman" w:hint="default"/>
          <w:sz w:val="32"/>
          <w:szCs w:val="32"/>
        </w:rPr>
      </w:pPr>
      <w:r>
        <w:rPr>
          <w:rFonts w:ascii="Times New Roman"/>
          <w:b/>
          <w:sz w:val="32"/>
        </w:rPr>
        <w:t>2018-24</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2"/>
        <w:rPr>
          <w:rFonts w:ascii="Times New Roman" w:hAnsi="Times New Roman" w:cs="Times New Roman" w:eastAsia="Times New Roman" w:hint="default"/>
          <w:b/>
          <w:bCs/>
          <w:sz w:val="25"/>
          <w:szCs w:val="25"/>
        </w:rPr>
      </w:pPr>
    </w:p>
    <w:p>
      <w:pPr>
        <w:spacing w:before="0"/>
        <w:ind w:left="555" w:right="55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type w:val="continuous"/>
          <w:pgSz w:w="11910" w:h="16840"/>
          <w:pgMar w:header="877" w:top="1100" w:bottom="280" w:left="980" w:right="980"/>
        </w:sectPr>
      </w:pPr>
    </w:p>
    <w:p>
      <w:pPr>
        <w:pStyle w:val="Heading1"/>
        <w:spacing w:line="404" w:lineRule="exact"/>
        <w:ind w:left="2762" w:right="253"/>
        <w:jc w:val="left"/>
        <w:rPr>
          <w:b w:val="0"/>
          <w:bCs w:val="0"/>
        </w:rPr>
      </w:pP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7"/>
        <w:ind w:left="112" w:right="2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0"/>
        <w:ind w:left="112" w:right="2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公司负责人杨一兵、主管会计工作负责人张雪峰及会计机构负责人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刘双双声明：保证年度报告中财务报告的真实、准确、完整。</w:t>
      </w:r>
      <w:r>
        <w:rPr>
          <w:rFonts w:ascii="宋体" w:hAnsi="宋体" w:cs="宋体" w:eastAsia="宋体" w:hint="default"/>
          <w:sz w:val="28"/>
          <w:szCs w:val="28"/>
        </w:rPr>
      </w:r>
    </w:p>
    <w:p>
      <w:pPr>
        <w:spacing w:line="475" w:lineRule="auto" w:before="148"/>
        <w:ind w:left="674" w:right="2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年度报告中所涉及的未来经营计划和目标等前瞻性描述，并不代表公司的</w:t>
      </w:r>
      <w:r>
        <w:rPr>
          <w:rFonts w:ascii="宋体" w:hAnsi="宋体" w:cs="宋体" w:eastAsia="宋体" w:hint="default"/>
          <w:spacing w:val="2"/>
          <w:sz w:val="28"/>
          <w:szCs w:val="28"/>
        </w:rPr>
      </w:r>
    </w:p>
    <w:p>
      <w:pPr>
        <w:spacing w:line="350" w:lineRule="exact" w:before="0"/>
        <w:ind w:left="112" w:right="106" w:firstLine="0"/>
        <w:jc w:val="left"/>
        <w:rPr>
          <w:rFonts w:ascii="宋体" w:hAnsi="宋体" w:cs="宋体" w:eastAsia="宋体" w:hint="default"/>
          <w:sz w:val="28"/>
          <w:szCs w:val="28"/>
        </w:rPr>
      </w:pPr>
      <w:r>
        <w:rPr>
          <w:rFonts w:ascii="宋体" w:hAnsi="宋体" w:cs="宋体" w:eastAsia="宋体" w:hint="default"/>
          <w:b/>
          <w:bCs/>
          <w:spacing w:val="2"/>
          <w:sz w:val="28"/>
          <w:szCs w:val="28"/>
        </w:rPr>
        <w:t>盈利预测，也不构成公司对投资者的实质承诺，能否实现取决于市场变化等多</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408" w:lineRule="auto" w:before="0"/>
        <w:ind w:left="112" w:right="249" w:firstLine="0"/>
        <w:jc w:val="left"/>
        <w:rPr>
          <w:rFonts w:ascii="宋体" w:hAnsi="宋体" w:cs="宋体" w:eastAsia="宋体" w:hint="default"/>
          <w:sz w:val="28"/>
          <w:szCs w:val="28"/>
        </w:rPr>
      </w:pPr>
      <w:r>
        <w:rPr>
          <w:rFonts w:ascii="宋体" w:hAnsi="宋体" w:cs="宋体" w:eastAsia="宋体" w:hint="default"/>
          <w:b/>
          <w:bCs/>
          <w:spacing w:val="2"/>
          <w:sz w:val="28"/>
          <w:szCs w:val="28"/>
        </w:rPr>
        <w:t>种影响因素，公司在发展过程中面临着宏观经济周期波动的风险，医疗信息行</w:t>
      </w:r>
      <w:r>
        <w:rPr>
          <w:rFonts w:ascii="宋体" w:hAnsi="宋体" w:cs="宋体" w:eastAsia="宋体" w:hint="default"/>
          <w:b/>
          <w:bCs/>
          <w:w w:val="99"/>
          <w:sz w:val="28"/>
          <w:szCs w:val="28"/>
        </w:rPr>
        <w:t> </w:t>
      </w:r>
      <w:r>
        <w:rPr>
          <w:rFonts w:ascii="宋体" w:hAnsi="宋体" w:cs="宋体" w:eastAsia="宋体" w:hint="default"/>
          <w:b/>
          <w:bCs/>
          <w:sz w:val="28"/>
          <w:szCs w:val="28"/>
        </w:rPr>
        <w:t>业调控政策变化的风险，应收账款回收风险，请投资者注意投资风险。</w:t>
      </w:r>
      <w:r>
        <w:rPr>
          <w:rFonts w:ascii="宋体" w:hAnsi="宋体" w:cs="宋体" w:eastAsia="宋体" w:hint="default"/>
          <w:sz w:val="28"/>
          <w:szCs w:val="28"/>
        </w:rPr>
      </w:r>
    </w:p>
    <w:p>
      <w:pPr>
        <w:spacing w:line="448" w:lineRule="auto" w:before="160"/>
        <w:ind w:left="674" w:right="2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、大型系统解决方案实施风险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公司定位于基于核心软件系统的数字化医院解决方案提供商。随着公司业</w:t>
      </w:r>
      <w:r>
        <w:rPr>
          <w:rFonts w:ascii="宋体" w:hAnsi="宋体" w:cs="宋体" w:eastAsia="宋体" w:hint="default"/>
          <w:spacing w:val="2"/>
          <w:sz w:val="28"/>
          <w:szCs w:val="28"/>
        </w:rPr>
      </w:r>
    </w:p>
    <w:p>
      <w:pPr>
        <w:spacing w:line="408" w:lineRule="auto" w:before="14"/>
        <w:ind w:left="112" w:right="106" w:firstLine="0"/>
        <w:jc w:val="left"/>
        <w:rPr>
          <w:rFonts w:ascii="宋体" w:hAnsi="宋体" w:cs="宋体" w:eastAsia="宋体" w:hint="default"/>
          <w:sz w:val="28"/>
          <w:szCs w:val="28"/>
        </w:rPr>
      </w:pPr>
      <w:r>
        <w:rPr>
          <w:rFonts w:ascii="宋体" w:hAnsi="宋体" w:cs="宋体" w:eastAsia="宋体" w:hint="default"/>
          <w:b/>
          <w:bCs/>
          <w:spacing w:val="2"/>
          <w:sz w:val="28"/>
          <w:szCs w:val="28"/>
        </w:rPr>
        <w:t>务的不断发展，公司逐步形成了涵盖信息系统蓝图规划、基础信息设施建设、</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个性化软件开发、软硬件系统集成在内的较为完备的数字化医院整体解决方案。</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pacing w:val="2"/>
          <w:sz w:val="28"/>
          <w:szCs w:val="28"/>
        </w:rPr>
        <w:t>然而，完备的整体解决方案同时意味着更为复杂的系统架构、更多环节的流程</w:t>
      </w:r>
      <w:r>
        <w:rPr>
          <w:rFonts w:ascii="宋体" w:hAnsi="宋体" w:cs="宋体" w:eastAsia="宋体" w:hint="default"/>
          <w:b/>
          <w:bCs/>
          <w:w w:val="99"/>
          <w:sz w:val="28"/>
          <w:szCs w:val="28"/>
        </w:rPr>
        <w:t> </w:t>
      </w:r>
      <w:r>
        <w:rPr>
          <w:rFonts w:ascii="宋体" w:hAnsi="宋体" w:cs="宋体" w:eastAsia="宋体" w:hint="default"/>
          <w:b/>
          <w:bCs/>
          <w:spacing w:val="2"/>
          <w:sz w:val="28"/>
          <w:szCs w:val="28"/>
        </w:rPr>
        <w:t>优化、更大规模的信息交互、更长的实施周期以及更大的项目实施不确定性。</w:t>
      </w:r>
      <w:r>
        <w:rPr>
          <w:rFonts w:ascii="宋体" w:hAnsi="宋体" w:cs="宋体" w:eastAsia="宋体" w:hint="default"/>
          <w:b/>
          <w:bCs/>
          <w:w w:val="99"/>
          <w:sz w:val="28"/>
          <w:szCs w:val="28"/>
        </w:rPr>
        <w:t> </w:t>
      </w:r>
      <w:r>
        <w:rPr>
          <w:rFonts w:ascii="宋体" w:hAnsi="宋体" w:cs="宋体" w:eastAsia="宋体" w:hint="default"/>
          <w:b/>
          <w:bCs/>
          <w:spacing w:val="2"/>
          <w:sz w:val="28"/>
          <w:szCs w:val="28"/>
        </w:rPr>
        <w:t>在相对较长的实施周期中，公司始终面临重大项目因规划设计缺陷、关键技术</w:t>
      </w:r>
      <w:r>
        <w:rPr>
          <w:rFonts w:ascii="宋体" w:hAnsi="宋体" w:cs="宋体" w:eastAsia="宋体" w:hint="default"/>
          <w:b/>
          <w:bCs/>
          <w:w w:val="99"/>
          <w:sz w:val="28"/>
          <w:szCs w:val="28"/>
        </w:rPr>
        <w:t> </w:t>
      </w:r>
      <w:r>
        <w:rPr>
          <w:rFonts w:ascii="宋体" w:hAnsi="宋体" w:cs="宋体" w:eastAsia="宋体" w:hint="default"/>
          <w:b/>
          <w:bCs/>
          <w:spacing w:val="2"/>
          <w:sz w:val="28"/>
          <w:szCs w:val="28"/>
        </w:rPr>
        <w:t>开发失败、客户需求变更等原因而无法如期完成的风险。公司目前业务规模较</w:t>
      </w:r>
      <w:r>
        <w:rPr>
          <w:rFonts w:ascii="宋体" w:hAnsi="宋体" w:cs="宋体" w:eastAsia="宋体" w:hint="default"/>
          <w:b/>
          <w:bCs/>
          <w:w w:val="99"/>
          <w:sz w:val="28"/>
          <w:szCs w:val="28"/>
        </w:rPr>
        <w:t> </w:t>
      </w:r>
      <w:r>
        <w:rPr>
          <w:rFonts w:ascii="宋体" w:hAnsi="宋体" w:cs="宋体" w:eastAsia="宋体" w:hint="default"/>
          <w:b/>
          <w:bCs/>
          <w:spacing w:val="2"/>
          <w:sz w:val="28"/>
          <w:szCs w:val="28"/>
        </w:rPr>
        <w:t>小，如果某个或多个重大项目出现实施风险，将会对公司当期经营业绩产生重</w:t>
      </w:r>
      <w:r>
        <w:rPr>
          <w:rFonts w:ascii="宋体" w:hAnsi="宋体" w:cs="宋体" w:eastAsia="宋体" w:hint="default"/>
          <w:spacing w:val="2"/>
          <w:sz w:val="28"/>
          <w:szCs w:val="28"/>
        </w:rPr>
      </w:r>
    </w:p>
    <w:p>
      <w:pPr>
        <w:spacing w:before="61"/>
        <w:ind w:left="112" w:right="106" w:firstLine="0"/>
        <w:jc w:val="left"/>
        <w:rPr>
          <w:rFonts w:ascii="宋体" w:hAnsi="宋体" w:cs="宋体" w:eastAsia="宋体" w:hint="default"/>
          <w:sz w:val="28"/>
          <w:szCs w:val="28"/>
        </w:rPr>
      </w:pPr>
      <w:r>
        <w:rPr>
          <w:rFonts w:ascii="宋体" w:hAnsi="宋体" w:cs="宋体" w:eastAsia="宋体" w:hint="default"/>
          <w:b/>
          <w:bCs/>
          <w:spacing w:val="2"/>
          <w:sz w:val="28"/>
          <w:szCs w:val="28"/>
        </w:rPr>
        <w:t>大不利影响。公司将不断增强研发和技术优势，坚持以产品适应项目需求为导</w:t>
      </w:r>
      <w:r>
        <w:rPr>
          <w:rFonts w:ascii="宋体" w:hAnsi="宋体" w:cs="宋体" w:eastAsia="宋体" w:hint="default"/>
          <w:spacing w:val="2"/>
          <w:sz w:val="28"/>
          <w:szCs w:val="28"/>
        </w:rPr>
      </w:r>
    </w:p>
    <w:p>
      <w:pPr>
        <w:spacing w:after="0"/>
        <w:jc w:val="left"/>
        <w:rPr>
          <w:rFonts w:ascii="宋体" w:hAnsi="宋体" w:cs="宋体" w:eastAsia="宋体" w:hint="default"/>
          <w:sz w:val="28"/>
          <w:szCs w:val="28"/>
        </w:rPr>
        <w:sectPr>
          <w:headerReference w:type="default" r:id="rId7"/>
          <w:footerReference w:type="default" r:id="rId8"/>
          <w:pgSz w:w="11910" w:h="16840"/>
          <w:pgMar w:header="0" w:footer="1186" w:top="1560" w:bottom="1380" w:left="1020" w:right="880"/>
          <w:pgNumType w:start="1"/>
        </w:sectPr>
      </w:pPr>
    </w:p>
    <w:p>
      <w:pPr>
        <w:spacing w:line="240" w:lineRule="auto" w:before="0"/>
        <w:rPr>
          <w:rFonts w:ascii="宋体" w:hAnsi="宋体" w:cs="宋体" w:eastAsia="宋体" w:hint="default"/>
          <w:b/>
          <w:bCs/>
          <w:sz w:val="20"/>
          <w:szCs w:val="20"/>
        </w:rPr>
      </w:pPr>
    </w:p>
    <w:p>
      <w:pPr>
        <w:spacing w:before="146"/>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向的研究策略，提升应对项目实施风险的灵活度。</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46" w:lineRule="auto" w:before="0"/>
        <w:ind w:left="71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、主要客户流失风险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公司致力于围绕临床诊疗信息应用，构建基于医疗机构信息应用需求的数</w:t>
      </w:r>
      <w:r>
        <w:rPr>
          <w:rFonts w:ascii="宋体" w:hAnsi="宋体" w:cs="宋体" w:eastAsia="宋体" w:hint="default"/>
          <w:spacing w:val="2"/>
          <w:sz w:val="28"/>
          <w:szCs w:val="28"/>
        </w:rPr>
      </w:r>
    </w:p>
    <w:p>
      <w:pPr>
        <w:spacing w:line="408" w:lineRule="auto" w:before="16"/>
        <w:ind w:left="152" w:right="161" w:firstLine="0"/>
        <w:jc w:val="both"/>
        <w:rPr>
          <w:rFonts w:ascii="宋体" w:hAnsi="宋体" w:cs="宋体" w:eastAsia="宋体" w:hint="default"/>
          <w:sz w:val="28"/>
          <w:szCs w:val="28"/>
        </w:rPr>
      </w:pPr>
      <w:r>
        <w:rPr>
          <w:rFonts w:ascii="宋体" w:hAnsi="宋体" w:cs="宋体" w:eastAsia="宋体" w:hint="default"/>
          <w:b/>
          <w:bCs/>
          <w:spacing w:val="2"/>
          <w:sz w:val="28"/>
          <w:szCs w:val="28"/>
        </w:rPr>
        <w:t>字化医院整体解决方案，并不断满足医疗机构的信息应用需求。因此，公司最</w:t>
      </w:r>
      <w:r>
        <w:rPr>
          <w:rFonts w:ascii="宋体" w:hAnsi="宋体" w:cs="宋体" w:eastAsia="宋体" w:hint="default"/>
          <w:b/>
          <w:bCs/>
          <w:w w:val="99"/>
          <w:sz w:val="28"/>
          <w:szCs w:val="28"/>
        </w:rPr>
        <w:t> </w:t>
      </w:r>
      <w:r>
        <w:rPr>
          <w:rFonts w:ascii="宋体" w:hAnsi="宋体" w:cs="宋体" w:eastAsia="宋体" w:hint="default"/>
          <w:b/>
          <w:bCs/>
          <w:spacing w:val="2"/>
          <w:sz w:val="28"/>
          <w:szCs w:val="28"/>
        </w:rPr>
        <w:t>终客户以大中型医疗机构为主，集中度较高。公司的技术路线立足于大型医疗</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机构的临床医疗信息应用需求，作为公司最终客户的医疗机构如果决定终止与</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公司的合作关系不仅意味着公司失去了当前的业务机会，更会导致公司基于医</w:t>
      </w:r>
      <w:r>
        <w:rPr>
          <w:rFonts w:ascii="宋体" w:hAnsi="宋体" w:cs="宋体" w:eastAsia="宋体" w:hint="default"/>
          <w:b/>
          <w:bCs/>
          <w:w w:val="99"/>
          <w:sz w:val="28"/>
          <w:szCs w:val="28"/>
        </w:rPr>
        <w:t> </w:t>
      </w:r>
      <w:r>
        <w:rPr>
          <w:rFonts w:ascii="宋体" w:hAnsi="宋体" w:cs="宋体" w:eastAsia="宋体" w:hint="default"/>
          <w:b/>
          <w:bCs/>
          <w:spacing w:val="2"/>
          <w:sz w:val="28"/>
          <w:szCs w:val="28"/>
        </w:rPr>
        <w:t>疗信息平台实现业务延伸的经营策略失去基础，对公司的可持续发展产生重大</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不利影响。公司将提高服务意识和服务质量，坚持以市场为导向，以适应客户</w:t>
      </w:r>
      <w:r>
        <w:rPr>
          <w:rFonts w:ascii="宋体" w:hAnsi="宋体" w:cs="宋体" w:eastAsia="宋体" w:hint="default"/>
          <w:b/>
          <w:bCs/>
          <w:w w:val="99"/>
          <w:sz w:val="28"/>
          <w:szCs w:val="28"/>
        </w:rPr>
        <w:t> </w:t>
      </w:r>
      <w:r>
        <w:rPr>
          <w:rFonts w:ascii="宋体" w:hAnsi="宋体" w:cs="宋体" w:eastAsia="宋体" w:hint="default"/>
          <w:b/>
          <w:bCs/>
          <w:sz w:val="28"/>
          <w:szCs w:val="28"/>
        </w:rPr>
        <w:t>需求为目标，从维护现有客户和开拓新客户资源两个维度保证客户群体稳定。</w:t>
      </w:r>
      <w:r>
        <w:rPr>
          <w:rFonts w:ascii="宋体" w:hAnsi="宋体" w:cs="宋体" w:eastAsia="宋体" w:hint="default"/>
          <w:sz w:val="28"/>
          <w:szCs w:val="28"/>
        </w:rPr>
      </w:r>
    </w:p>
    <w:p>
      <w:pPr>
        <w:spacing w:line="448" w:lineRule="auto" w:before="162"/>
        <w:ind w:left="714" w:right="1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、业务内容不断丰富带来的管理控制与毛利率波动风险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随着公司技术水平的不断提高，数字化医院整体解决方案趋于完善，公司</w:t>
      </w:r>
      <w:r>
        <w:rPr>
          <w:rFonts w:ascii="宋体" w:hAnsi="宋体" w:cs="宋体" w:eastAsia="宋体" w:hint="default"/>
          <w:spacing w:val="2"/>
          <w:sz w:val="28"/>
          <w:szCs w:val="28"/>
        </w:rPr>
      </w:r>
    </w:p>
    <w:p>
      <w:pPr>
        <w:spacing w:line="408" w:lineRule="auto" w:before="14"/>
        <w:ind w:left="152" w:right="159" w:firstLine="0"/>
        <w:jc w:val="both"/>
        <w:rPr>
          <w:rFonts w:ascii="宋体" w:hAnsi="宋体" w:cs="宋体" w:eastAsia="宋体" w:hint="default"/>
          <w:sz w:val="28"/>
          <w:szCs w:val="28"/>
        </w:rPr>
      </w:pPr>
      <w:r>
        <w:rPr>
          <w:rFonts w:ascii="宋体" w:hAnsi="宋体" w:cs="宋体" w:eastAsia="宋体" w:hint="default"/>
          <w:b/>
          <w:bCs/>
          <w:spacing w:val="2"/>
          <w:sz w:val="28"/>
          <w:szCs w:val="28"/>
        </w:rPr>
        <w:t>业务结构逐步由以电子病历为代表的临床医疗信息管理系统发展到包括临床医</w:t>
      </w:r>
      <w:r>
        <w:rPr>
          <w:rFonts w:ascii="宋体" w:hAnsi="宋体" w:cs="宋体" w:eastAsia="宋体" w:hint="default"/>
          <w:b/>
          <w:bCs/>
          <w:w w:val="99"/>
          <w:sz w:val="28"/>
          <w:szCs w:val="28"/>
        </w:rPr>
        <w:t> </w:t>
      </w:r>
      <w:r>
        <w:rPr>
          <w:rFonts w:ascii="宋体" w:hAnsi="宋体" w:cs="宋体" w:eastAsia="宋体" w:hint="default"/>
          <w:b/>
          <w:bCs/>
          <w:spacing w:val="2"/>
          <w:sz w:val="28"/>
          <w:szCs w:val="28"/>
        </w:rPr>
        <w:t>疗管理信息系统和数字化场景应用方案的整体解决方案。业务的内涵和外延均</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有大幅提升。业务内容的不断丰富对公司管理控制提出了更高要求，特别是数</w:t>
      </w:r>
      <w:r>
        <w:rPr>
          <w:rFonts w:ascii="宋体" w:hAnsi="宋体" w:cs="宋体" w:eastAsia="宋体" w:hint="default"/>
          <w:b/>
          <w:bCs/>
          <w:w w:val="99"/>
          <w:sz w:val="28"/>
          <w:szCs w:val="28"/>
        </w:rPr>
        <w:t> </w:t>
      </w:r>
      <w:r>
        <w:rPr>
          <w:rFonts w:ascii="宋体" w:hAnsi="宋体" w:cs="宋体" w:eastAsia="宋体" w:hint="default"/>
          <w:b/>
          <w:bCs/>
          <w:spacing w:val="2"/>
          <w:sz w:val="28"/>
          <w:szCs w:val="28"/>
        </w:rPr>
        <w:t>字化医院整体解决方案业务需借助预算管理、成本管理、现场管理、进度管理</w:t>
      </w:r>
      <w:r>
        <w:rPr>
          <w:rFonts w:ascii="宋体" w:hAnsi="宋体" w:cs="宋体" w:eastAsia="宋体" w:hint="default"/>
          <w:b/>
          <w:bCs/>
          <w:w w:val="99"/>
          <w:sz w:val="28"/>
          <w:szCs w:val="28"/>
        </w:rPr>
        <w:t> </w:t>
      </w:r>
      <w:r>
        <w:rPr>
          <w:rFonts w:ascii="宋体" w:hAnsi="宋体" w:cs="宋体" w:eastAsia="宋体" w:hint="default"/>
          <w:b/>
          <w:bCs/>
          <w:spacing w:val="2"/>
          <w:sz w:val="28"/>
          <w:szCs w:val="28"/>
        </w:rPr>
        <w:t>等多种控制手段，管理控制难度较高。而公司成立时间较短，规模较小，成立</w:t>
      </w:r>
      <w:r>
        <w:rPr>
          <w:rFonts w:ascii="宋体" w:hAnsi="宋体" w:cs="宋体" w:eastAsia="宋体" w:hint="default"/>
          <w:b/>
          <w:bCs/>
          <w:w w:val="99"/>
          <w:sz w:val="28"/>
          <w:szCs w:val="28"/>
        </w:rPr>
        <w:t> </w:t>
      </w:r>
      <w:r>
        <w:rPr>
          <w:rFonts w:ascii="宋体" w:hAnsi="宋体" w:cs="宋体" w:eastAsia="宋体" w:hint="default"/>
          <w:b/>
          <w:bCs/>
          <w:spacing w:val="2"/>
          <w:sz w:val="28"/>
          <w:szCs w:val="28"/>
        </w:rPr>
        <w:t>初期上述各项管理制度尚不完善，执行相对不足，临床医疗管理信息系统业务</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又相对依赖于项目现场实施团队的自我管理，公司适合大型项目的系统管理控</w:t>
      </w:r>
      <w:r>
        <w:rPr>
          <w:rFonts w:ascii="宋体" w:hAnsi="宋体" w:cs="宋体" w:eastAsia="宋体" w:hint="default"/>
          <w:b/>
          <w:bCs/>
          <w:w w:val="99"/>
          <w:sz w:val="28"/>
          <w:szCs w:val="28"/>
        </w:rPr>
        <w:t> </w:t>
      </w:r>
      <w:r>
        <w:rPr>
          <w:rFonts w:ascii="宋体" w:hAnsi="宋体" w:cs="宋体" w:eastAsia="宋体" w:hint="default"/>
          <w:b/>
          <w:bCs/>
          <w:spacing w:val="2"/>
          <w:sz w:val="28"/>
          <w:szCs w:val="28"/>
        </w:rPr>
        <w:t>制规范、预算及成本管理等仍在不断改进。如果无法在短期内建立起完善的项</w:t>
      </w:r>
      <w:r>
        <w:rPr>
          <w:rFonts w:ascii="宋体" w:hAnsi="宋体" w:cs="宋体" w:eastAsia="宋体" w:hint="default"/>
          <w:b/>
          <w:bCs/>
          <w:w w:val="99"/>
          <w:sz w:val="28"/>
          <w:szCs w:val="28"/>
        </w:rPr>
        <w:t> </w:t>
      </w:r>
      <w:r>
        <w:rPr>
          <w:rFonts w:ascii="宋体" w:hAnsi="宋体" w:cs="宋体" w:eastAsia="宋体" w:hint="default"/>
          <w:b/>
          <w:bCs/>
          <w:spacing w:val="2"/>
          <w:sz w:val="28"/>
          <w:szCs w:val="28"/>
        </w:rPr>
        <w:t>目管理控制制度，并有效执行，公司可能面临项目管理控制不力的风险，导致</w:t>
      </w:r>
      <w:r>
        <w:rPr>
          <w:rFonts w:ascii="宋体" w:hAnsi="宋体" w:cs="宋体" w:eastAsia="宋体" w:hint="default"/>
          <w:spacing w:val="2"/>
          <w:sz w:val="28"/>
          <w:szCs w:val="28"/>
        </w:rPr>
      </w:r>
    </w:p>
    <w:p>
      <w:pPr>
        <w:spacing w:after="0" w:line="408" w:lineRule="auto"/>
        <w:jc w:val="both"/>
        <w:rPr>
          <w:rFonts w:ascii="宋体" w:hAnsi="宋体" w:cs="宋体" w:eastAsia="宋体" w:hint="default"/>
          <w:sz w:val="28"/>
          <w:szCs w:val="28"/>
        </w:rPr>
        <w:sectPr>
          <w:headerReference w:type="default" r:id="rId9"/>
          <w:pgSz w:w="11910" w:h="16840"/>
          <w:pgMar w:header="877" w:footer="1186" w:top="1100" w:bottom="1380" w:left="980" w:right="980"/>
        </w:sectPr>
      </w:pPr>
    </w:p>
    <w:p>
      <w:pPr>
        <w:spacing w:line="240" w:lineRule="auto" w:before="0"/>
        <w:rPr>
          <w:rFonts w:ascii="宋体" w:hAnsi="宋体" w:cs="宋体" w:eastAsia="宋体" w:hint="default"/>
          <w:b/>
          <w:bCs/>
          <w:sz w:val="20"/>
          <w:szCs w:val="20"/>
        </w:rPr>
      </w:pPr>
    </w:p>
    <w:p>
      <w:pPr>
        <w:spacing w:line="408" w:lineRule="auto" w:before="146"/>
        <w:ind w:left="152" w:right="161" w:firstLine="0"/>
        <w:jc w:val="both"/>
        <w:rPr>
          <w:rFonts w:ascii="宋体" w:hAnsi="宋体" w:cs="宋体" w:eastAsia="宋体" w:hint="default"/>
          <w:sz w:val="28"/>
          <w:szCs w:val="28"/>
        </w:rPr>
      </w:pPr>
      <w:r>
        <w:rPr>
          <w:rFonts w:ascii="宋体" w:hAnsi="宋体" w:cs="宋体" w:eastAsia="宋体" w:hint="default"/>
          <w:b/>
          <w:bCs/>
          <w:spacing w:val="2"/>
          <w:sz w:val="28"/>
          <w:szCs w:val="28"/>
        </w:rPr>
        <w:t>项目执行出现困难，进而影响公司经营业绩。随着公司整体解决方案业务的不</w:t>
      </w:r>
      <w:r>
        <w:rPr>
          <w:rFonts w:ascii="宋体" w:hAnsi="宋体" w:cs="宋体" w:eastAsia="宋体" w:hint="default"/>
          <w:b/>
          <w:bCs/>
          <w:w w:val="99"/>
          <w:sz w:val="28"/>
          <w:szCs w:val="28"/>
        </w:rPr>
        <w:t> </w:t>
      </w:r>
      <w:r>
        <w:rPr>
          <w:rFonts w:ascii="宋体" w:hAnsi="宋体" w:cs="宋体" w:eastAsia="宋体" w:hint="default"/>
          <w:b/>
          <w:bCs/>
          <w:spacing w:val="2"/>
          <w:sz w:val="28"/>
          <w:szCs w:val="28"/>
        </w:rPr>
        <w:t>断增加，公司综合毛利率可能出现下降，从而影响公司的盈利能力。公司将建</w:t>
      </w:r>
      <w:r>
        <w:rPr>
          <w:rFonts w:ascii="宋体" w:hAnsi="宋体" w:cs="宋体" w:eastAsia="宋体" w:hint="default"/>
          <w:b/>
          <w:bCs/>
          <w:w w:val="99"/>
          <w:sz w:val="28"/>
          <w:szCs w:val="28"/>
        </w:rPr>
        <w:t> </w:t>
      </w:r>
      <w:r>
        <w:rPr>
          <w:rFonts w:ascii="宋体" w:hAnsi="宋体" w:cs="宋体" w:eastAsia="宋体" w:hint="default"/>
          <w:b/>
          <w:bCs/>
          <w:spacing w:val="2"/>
          <w:sz w:val="28"/>
          <w:szCs w:val="28"/>
        </w:rPr>
        <w:t>立健全内部控制和运营体系，积极探寻适合公司发展模式的治理结构，采取更</w:t>
      </w:r>
      <w:r>
        <w:rPr>
          <w:rFonts w:ascii="宋体" w:hAnsi="宋体" w:cs="宋体" w:eastAsia="宋体" w:hint="default"/>
          <w:b/>
          <w:bCs/>
          <w:w w:val="99"/>
          <w:sz w:val="28"/>
          <w:szCs w:val="28"/>
        </w:rPr>
        <w:t> </w:t>
      </w:r>
      <w:r>
        <w:rPr>
          <w:rFonts w:ascii="宋体" w:hAnsi="宋体" w:cs="宋体" w:eastAsia="宋体" w:hint="default"/>
          <w:b/>
          <w:bCs/>
          <w:sz w:val="28"/>
          <w:szCs w:val="28"/>
        </w:rPr>
        <w:t>加灵活地市场竞争策略，提高市场竞争力。</w:t>
      </w:r>
      <w:r>
        <w:rPr>
          <w:rFonts w:ascii="宋体" w:hAnsi="宋体" w:cs="宋体" w:eastAsia="宋体" w:hint="default"/>
          <w:sz w:val="28"/>
          <w:szCs w:val="28"/>
        </w:rPr>
      </w:r>
    </w:p>
    <w:p>
      <w:pPr>
        <w:spacing w:line="448" w:lineRule="auto" w:before="162"/>
        <w:ind w:left="71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、技术与人才流失风险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软件行业为技术密集型产业，技术领先为核心竞争力之一，稳定、高素质</w:t>
      </w:r>
      <w:r>
        <w:rPr>
          <w:rFonts w:ascii="宋体" w:hAnsi="宋体" w:cs="宋体" w:eastAsia="宋体" w:hint="default"/>
          <w:spacing w:val="2"/>
          <w:sz w:val="28"/>
          <w:szCs w:val="28"/>
        </w:rPr>
      </w:r>
    </w:p>
    <w:p>
      <w:pPr>
        <w:spacing w:line="408" w:lineRule="auto" w:before="14"/>
        <w:ind w:left="152" w:right="156" w:firstLine="0"/>
        <w:jc w:val="both"/>
        <w:rPr>
          <w:rFonts w:ascii="宋体" w:hAnsi="宋体" w:cs="宋体" w:eastAsia="宋体" w:hint="default"/>
          <w:sz w:val="28"/>
          <w:szCs w:val="28"/>
        </w:rPr>
      </w:pPr>
      <w:r>
        <w:rPr>
          <w:rFonts w:ascii="宋体" w:hAnsi="宋体" w:cs="宋体" w:eastAsia="宋体" w:hint="default"/>
          <w:b/>
          <w:bCs/>
          <w:spacing w:val="2"/>
          <w:sz w:val="28"/>
          <w:szCs w:val="28"/>
        </w:rPr>
        <w:t>的人才团队对公司的发展壮大至关重要。然而，相对于有形的硬件，软件技术</w:t>
      </w:r>
      <w:r>
        <w:rPr>
          <w:rFonts w:ascii="宋体" w:hAnsi="宋体" w:cs="宋体" w:eastAsia="宋体" w:hint="default"/>
          <w:b/>
          <w:bCs/>
          <w:w w:val="99"/>
          <w:sz w:val="28"/>
          <w:szCs w:val="28"/>
        </w:rPr>
        <w:t> </w:t>
      </w:r>
      <w:r>
        <w:rPr>
          <w:rFonts w:ascii="宋体" w:hAnsi="宋体" w:cs="宋体" w:eastAsia="宋体" w:hint="default"/>
          <w:b/>
          <w:bCs/>
          <w:spacing w:val="2"/>
          <w:sz w:val="28"/>
          <w:szCs w:val="28"/>
        </w:rPr>
        <w:t>保密难度较大，同时，由于我国知识产权保护体系尚不完善，使得软件行业技</w:t>
      </w:r>
      <w:r>
        <w:rPr>
          <w:rFonts w:ascii="宋体" w:hAnsi="宋体" w:cs="宋体" w:eastAsia="宋体" w:hint="default"/>
          <w:b/>
          <w:bCs/>
          <w:w w:val="99"/>
          <w:sz w:val="28"/>
          <w:szCs w:val="28"/>
        </w:rPr>
        <w:t> </w:t>
      </w:r>
      <w:r>
        <w:rPr>
          <w:rFonts w:ascii="宋体" w:hAnsi="宋体" w:cs="宋体" w:eastAsia="宋体" w:hint="default"/>
          <w:b/>
          <w:bCs/>
          <w:spacing w:val="-6"/>
          <w:sz w:val="28"/>
          <w:szCs w:val="28"/>
        </w:rPr>
        <w:t>术流失风险较大。当前，软件行业因技术团队离职而造成的技术流失情况较多。</w:t>
      </w:r>
      <w:r>
        <w:rPr>
          <w:rFonts w:ascii="宋体" w:hAnsi="宋体" w:cs="宋体" w:eastAsia="宋体" w:hint="default"/>
          <w:b/>
          <w:bCs/>
          <w:spacing w:val="-136"/>
          <w:sz w:val="28"/>
          <w:szCs w:val="28"/>
        </w:rPr>
        <w:t> </w:t>
      </w:r>
      <w:r>
        <w:rPr>
          <w:rFonts w:ascii="宋体" w:hAnsi="宋体" w:cs="宋体" w:eastAsia="宋体" w:hint="default"/>
          <w:b/>
          <w:bCs/>
          <w:spacing w:val="-136"/>
          <w:sz w:val="28"/>
          <w:szCs w:val="28"/>
        </w:rPr>
      </w:r>
      <w:r>
        <w:rPr>
          <w:rFonts w:ascii="宋体" w:hAnsi="宋体" w:cs="宋体" w:eastAsia="宋体" w:hint="default"/>
          <w:b/>
          <w:bCs/>
          <w:spacing w:val="2"/>
          <w:sz w:val="28"/>
          <w:szCs w:val="28"/>
        </w:rPr>
        <w:t>如果公司未来不能在发展前景、薪酬、福利、工作环境等方面持续提供具有竞</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争力的待遇并建立良好的激励机制，可能会造成骨干技术团队流失，不仅影响</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公司的后续技术开发能力，也会造成公司核心技术泄露的风险，从而对公司的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持续发展造成负面影响。公司将通过对核心团队人员的持续培训来提升现有人</w:t>
      </w:r>
      <w:r>
        <w:rPr>
          <w:rFonts w:ascii="宋体" w:hAnsi="宋体" w:cs="宋体" w:eastAsia="宋体" w:hint="default"/>
          <w:b/>
          <w:bCs/>
          <w:w w:val="99"/>
          <w:sz w:val="28"/>
          <w:szCs w:val="28"/>
        </w:rPr>
        <w:t> </w:t>
      </w:r>
      <w:r>
        <w:rPr>
          <w:rFonts w:ascii="宋体" w:hAnsi="宋体" w:cs="宋体" w:eastAsia="宋体" w:hint="default"/>
          <w:b/>
          <w:bCs/>
          <w:spacing w:val="2"/>
          <w:sz w:val="28"/>
          <w:szCs w:val="28"/>
        </w:rPr>
        <w:t>员的管理水平，并且根据经营发展需要引进多方面人才。同时完善公司薪酬和</w:t>
      </w:r>
      <w:r>
        <w:rPr>
          <w:rFonts w:ascii="宋体" w:hAnsi="宋体" w:cs="宋体" w:eastAsia="宋体" w:hint="default"/>
          <w:b/>
          <w:bCs/>
          <w:w w:val="99"/>
          <w:sz w:val="28"/>
          <w:szCs w:val="28"/>
        </w:rPr>
        <w:t> </w:t>
      </w:r>
      <w:r>
        <w:rPr>
          <w:rFonts w:ascii="宋体" w:hAnsi="宋体" w:cs="宋体" w:eastAsia="宋体" w:hint="default"/>
          <w:b/>
          <w:bCs/>
          <w:sz w:val="28"/>
          <w:szCs w:val="28"/>
        </w:rPr>
        <w:t>考核激励体系，维持核心技术团队的稳定并提升公司对优秀人才的吸引力。</w:t>
      </w:r>
      <w:r>
        <w:rPr>
          <w:rFonts w:ascii="宋体" w:hAnsi="宋体" w:cs="宋体" w:eastAsia="宋体" w:hint="default"/>
          <w:sz w:val="28"/>
          <w:szCs w:val="28"/>
        </w:rPr>
      </w:r>
    </w:p>
    <w:p>
      <w:pPr>
        <w:spacing w:before="163"/>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7"/>
          <w:sz w:val="28"/>
          <w:szCs w:val="28"/>
        </w:rPr>
        <w:t> </w:t>
      </w:r>
      <w:r>
        <w:rPr>
          <w:rFonts w:ascii="Times New Roman" w:hAnsi="Times New Roman" w:cs="Times New Roman" w:eastAsia="Times New Roman" w:hint="default"/>
          <w:b/>
          <w:bCs/>
          <w:sz w:val="28"/>
          <w:szCs w:val="28"/>
        </w:rPr>
        <w:t>83220000</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5"/>
          <w:sz w:val="28"/>
          <w:szCs w:val="28"/>
        </w:rPr>
        <w:t>股为基数，向</w:t>
      </w:r>
      <w:r>
        <w:rPr>
          <w:rFonts w:ascii="宋体" w:hAnsi="宋体" w:cs="宋体" w:eastAsia="宋体" w:hint="default"/>
          <w:spacing w:val="-5"/>
          <w:sz w:val="28"/>
          <w:szCs w:val="28"/>
        </w:rPr>
      </w:r>
    </w:p>
    <w:p>
      <w:pPr>
        <w:spacing w:line="386" w:lineRule="auto" w:before="236"/>
        <w:ind w:left="152" w:right="152" w:firstLine="0"/>
        <w:jc w:val="both"/>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2"/>
          <w:w w:val="99"/>
          <w:sz w:val="28"/>
          <w:szCs w:val="28"/>
        </w:rPr>
        <w:t> </w:t>
      </w:r>
      <w:r>
        <w:rPr>
          <w:rFonts w:ascii="Times New Roman" w:hAnsi="Times New Roman" w:cs="Times New Roman" w:eastAsia="Times New Roman" w:hint="default"/>
          <w:b/>
          <w:bCs/>
          <w:spacing w:val="-1"/>
          <w:w w:val="100"/>
          <w:sz w:val="28"/>
          <w:szCs w:val="28"/>
        </w:rPr>
        <w:t>10</w:t>
      </w:r>
      <w:r>
        <w:rPr>
          <w:rFonts w:ascii="Times New Roman" w:hAnsi="Times New Roman" w:cs="Times New Roman" w:eastAsia="Times New Roman" w:hint="default"/>
          <w:b/>
          <w:bCs/>
          <w:spacing w:val="8"/>
          <w:w w:val="100"/>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1"/>
          <w:w w:val="99"/>
          <w:sz w:val="28"/>
          <w:szCs w:val="28"/>
        </w:rPr>
        <w:t> </w:t>
      </w:r>
      <w:r>
        <w:rPr>
          <w:rFonts w:ascii="Times New Roman" w:hAnsi="Times New Roman" w:cs="Times New Roman" w:eastAsia="Times New Roman" w:hint="default"/>
          <w:b/>
          <w:bCs/>
          <w:spacing w:val="-2"/>
          <w:w w:val="100"/>
          <w:sz w:val="28"/>
          <w:szCs w:val="28"/>
        </w:rPr>
        <w:t>0.60</w:t>
      </w:r>
      <w:r>
        <w:rPr>
          <w:rFonts w:ascii="Times New Roman" w:hAnsi="Times New Roman" w:cs="Times New Roman" w:eastAsia="Times New Roman" w:hint="default"/>
          <w:b/>
          <w:bCs/>
          <w:spacing w:val="8"/>
          <w:w w:val="100"/>
          <w:sz w:val="28"/>
          <w:szCs w:val="28"/>
        </w:rPr>
        <w:t> </w:t>
      </w:r>
      <w:r>
        <w:rPr>
          <w:rFonts w:ascii="宋体" w:hAnsi="宋体" w:cs="宋体" w:eastAsia="宋体" w:hint="default"/>
          <w:b/>
          <w:bCs/>
          <w:spacing w:val="-8"/>
          <w:w w:val="99"/>
          <w:sz w:val="28"/>
          <w:szCs w:val="28"/>
        </w:rPr>
        <w:t>元（含税），不送红股、不以资本公积转增</w:t>
      </w:r>
      <w:r>
        <w:rPr>
          <w:rFonts w:ascii="宋体" w:hAnsi="宋体" w:cs="宋体" w:eastAsia="宋体" w:hint="default"/>
          <w:b/>
          <w:bCs/>
          <w:w w:val="99"/>
          <w:sz w:val="28"/>
          <w:szCs w:val="28"/>
        </w:rPr>
        <w:t> </w:t>
      </w:r>
      <w:r>
        <w:rPr>
          <w:rFonts w:ascii="宋体" w:hAnsi="宋体" w:cs="宋体" w:eastAsia="宋体" w:hint="default"/>
          <w:b/>
          <w:bCs/>
          <w:sz w:val="28"/>
          <w:szCs w:val="28"/>
        </w:rPr>
        <w:t>股本。</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pgSz w:w="11910" w:h="16840"/>
          <w:pgMar w:header="877" w:footer="1186" w:top="1100" w:bottom="13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460" w:lineRule="exact" w:before="0"/>
        <w:ind w:left="555" w:right="55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8"/>
              </w:rPr>
              <w:t> </w:t>
            </w:r>
            <w:r>
              <w:rPr/>
              <w:t>董事、监事、高级管理人员和员工情况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8"/>
              </w:rPr>
              <w:t> </w:t>
            </w:r>
            <w:r>
              <w:rPr/>
              <w:t>公司治理</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8"/>
              </w:rPr>
              <w:t> </w:t>
            </w:r>
            <w:r>
              <w:rPr/>
              <w:t>公司债券相关情况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7"/>
              </w:rPr>
              <w:t> </w:t>
            </w:r>
            <w:r>
              <w:rPr/>
              <w:t>财务报告</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8"/>
              </w:rPr>
              <w:t> </w:t>
            </w:r>
            <w:r>
              <w:rPr/>
              <w:t>备查文件目录</w:t>
            </w:r>
            <w:r>
              <w:rPr>
                <w:rFonts w:ascii="Times New Roman" w:hAnsi="Times New Roman" w:cs="Times New Roman" w:eastAsia="Times New Roman" w:hint="default"/>
              </w:rPr>
              <w:tab/>
              <w:t>158</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877" w:footer="1186" w:top="1100" w:bottom="1380" w:left="980" w:right="980"/>
        </w:sectPr>
      </w:pPr>
    </w:p>
    <w:p>
      <w:pPr>
        <w:spacing w:before="894"/>
        <w:ind w:left="555" w:right="55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7"/>
          <w:szCs w:val="17"/>
        </w:rPr>
      </w:pPr>
    </w:p>
    <w:p>
      <w:pPr>
        <w:pStyle w:val="BodyText"/>
        <w:spacing w:line="240" w:lineRule="auto"/>
        <w:ind w:left="0" w:right="159"/>
        <w:jc w:val="right"/>
      </w:pPr>
      <w:r>
        <w:rPr/>
        <w:pict>
          <v:shape style="position:absolute;margin-left:56.400002pt;margin-top:-498.608276pt;width:479.3pt;height:596.9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和仁科技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浙江和仁科技股份有限公司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和仁湘雅</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湖南和仁湘雅数字医疗技术有限公司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和仁云慧</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江西和仁云慧信息服务有限公司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天津和仁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和仁（天津）科技有限公司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湖北和仁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和仁（湖北）科技有限公司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赣州和仁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赣州和仁信息服务有限公司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重庆和仁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重庆和仁同创科技有限公司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黑龙江和仁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黑龙江和仁科技有限公司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广西和仁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广西和仁医铭科技有限公司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江苏和仁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江苏和仁泰颐智能科技有限公司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西安和仁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西安和仁汇达信息科技有限公司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和仁科技北京分公司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浙江和仁科技股份有限公司北京分公司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磐源投资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杭州磐源投资有限公司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磐鸿投资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杭州磐鸿投资管理合伙企业（有限合伙）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复贞投资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杭州复贞投资管理有限公司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云骥投资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杭州云骥投资管理有限公司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和仁有限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浙江和仁科技有限公司</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医疗信息化</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49"/>
                          <w:ind w:left="28" w:right="20"/>
                          <w:jc w:val="both"/>
                          <w:rPr>
                            <w:rFonts w:ascii="宋体" w:hAnsi="宋体" w:cs="宋体" w:eastAsia="宋体" w:hint="default"/>
                            <w:sz w:val="18"/>
                            <w:szCs w:val="18"/>
                          </w:rPr>
                        </w:pPr>
                        <w:r>
                          <w:rPr>
                            <w:rFonts w:ascii="宋体" w:hAnsi="宋体" w:cs="宋体" w:eastAsia="宋体" w:hint="default"/>
                            <w:spacing w:val="-2"/>
                            <w:sz w:val="18"/>
                            <w:szCs w:val="18"/>
                          </w:rPr>
                          <w:t>通过计算机技术、网络通信技术及数据库技术，为医疗机构提供诊疗</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信息和管理信息的收集、存储、处理、提取和数据交换，并满足授权</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用户的功能需求。</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医院管理信息系统（</w:t>
                        </w:r>
                        <w:r>
                          <w:rPr>
                            <w:rFonts w:ascii="Times New Roman" w:hAnsi="Times New Roman" w:cs="Times New Roman" w:eastAsia="Times New Roman" w:hint="default"/>
                            <w:sz w:val="18"/>
                            <w:szCs w:val="18"/>
                          </w:rPr>
                          <w:t>HIS</w:t>
                        </w:r>
                        <w:r>
                          <w:rPr>
                            <w:rFonts w:ascii="宋体" w:hAnsi="宋体" w:cs="宋体" w:eastAsia="宋体" w:hint="default"/>
                            <w:sz w:val="18"/>
                            <w:szCs w:val="18"/>
                          </w:rPr>
                          <w:t>）</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49"/>
                          <w:ind w:left="28" w:right="20"/>
                          <w:jc w:val="both"/>
                          <w:rPr>
                            <w:rFonts w:ascii="宋体" w:hAnsi="宋体" w:cs="宋体" w:eastAsia="宋体" w:hint="default"/>
                            <w:sz w:val="18"/>
                            <w:szCs w:val="18"/>
                          </w:rPr>
                        </w:pPr>
                        <w:r>
                          <w:rPr>
                            <w:rFonts w:ascii="宋体" w:hAnsi="宋体" w:cs="宋体" w:eastAsia="宋体" w:hint="default"/>
                            <w:spacing w:val="-3"/>
                            <w:sz w:val="18"/>
                            <w:szCs w:val="18"/>
                          </w:rPr>
                          <w:t>以收费为中心，将门诊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急诊挂号、核价、收费、配药和住院登记、收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费，以及医疗机构人、财、物等资源调配信息，借助信息网络技术进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行管理，并采集整合各节点信息，供相关人员查询、分析和决策。</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629"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临床医疗管理信息系统（</w:t>
                        </w:r>
                        <w:r>
                          <w:rPr>
                            <w:rFonts w:ascii="Times New Roman" w:hAnsi="Times New Roman" w:cs="Times New Roman" w:eastAsia="Times New Roman" w:hint="default"/>
                            <w:sz w:val="18"/>
                            <w:szCs w:val="18"/>
                          </w:rPr>
                          <w:t>CIS</w:t>
                        </w:r>
                        <w:r>
                          <w:rPr>
                            <w:rFonts w:ascii="宋体" w:hAnsi="宋体" w:cs="宋体" w:eastAsia="宋体" w:hint="default"/>
                            <w:sz w:val="18"/>
                            <w:szCs w:val="18"/>
                          </w:rPr>
                          <w:t>）</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以患者为中心，以医生临床诊疗行为为导向，借助多种软件应用系统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整合患者临床诊疗数据，完成电子化汇总、集成、共享，医务人员通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过信息终端浏览辅助诊疗路径、发送医嘱、接受诊疗结果、完成分析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实现全院级别的诊疗信息与管理信息集成，并在此基础上，不断延伸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出各类信息应用系统。</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629"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298"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区域公共医疗管理信息系统（</w:t>
                        </w:r>
                        <w:r>
                          <w:rPr>
                            <w:rFonts w:ascii="Times New Roman" w:hAnsi="Times New Roman" w:cs="Times New Roman" w:eastAsia="Times New Roman" w:hint="default"/>
                            <w:sz w:val="18"/>
                            <w:szCs w:val="18"/>
                          </w:rPr>
                          <w:t>GMIS</w:t>
                        </w:r>
                        <w:r>
                          <w:rPr>
                            <w:rFonts w:ascii="宋体" w:hAnsi="宋体" w:cs="宋体" w:eastAsia="宋体" w:hint="default"/>
                            <w:sz w:val="18"/>
                            <w:szCs w:val="18"/>
                          </w:rPr>
                          <w:t>）</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49"/>
                          <w:ind w:left="28" w:right="20"/>
                          <w:jc w:val="both"/>
                          <w:rPr>
                            <w:rFonts w:ascii="宋体" w:hAnsi="宋体" w:cs="宋体" w:eastAsia="宋体" w:hint="default"/>
                            <w:sz w:val="18"/>
                            <w:szCs w:val="18"/>
                          </w:rPr>
                        </w:pPr>
                        <w:r>
                          <w:rPr>
                            <w:rFonts w:ascii="宋体" w:hAnsi="宋体" w:cs="宋体" w:eastAsia="宋体" w:hint="default"/>
                            <w:spacing w:val="-2"/>
                            <w:sz w:val="18"/>
                            <w:szCs w:val="18"/>
                          </w:rPr>
                          <w:t>将一定区域内的所有医疗机构诊疗业务和管理信息集成整合，将医疗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保险、社区医疗、远程医疗、卫生管理机构、药品及医疗器械供应商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等相关主体连接为一个用于汇总处理卫生行业数据的信息平台，从而</w:t>
                        </w:r>
                      </w:p>
                    </w:tc>
                  </w:tr>
                  <w:tr>
                    <w:trPr>
                      <w:trHeight w:val="392"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298"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675"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2"/>
              <w:jc w:val="left"/>
              <w:rPr>
                <w:rFonts w:ascii="宋体" w:hAnsi="宋体" w:cs="宋体" w:eastAsia="宋体" w:hint="default"/>
                <w:sz w:val="18"/>
                <w:szCs w:val="18"/>
              </w:rPr>
            </w:pPr>
            <w:r>
              <w:rPr>
                <w:rFonts w:ascii="宋体" w:hAnsi="宋体" w:cs="宋体" w:eastAsia="宋体" w:hint="default"/>
                <w:spacing w:val="-2"/>
                <w:sz w:val="18"/>
                <w:szCs w:val="18"/>
              </w:rPr>
              <w:t>实现区域医疗资源智能管理和信息共享，提高区域医疗服务水平、医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疗卫生体系运转效率以及卫生行政管理科学性。</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医疗管理应用系统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both"/>
              <w:rPr>
                <w:rFonts w:ascii="宋体" w:hAnsi="宋体" w:cs="宋体" w:eastAsia="宋体" w:hint="default"/>
                <w:sz w:val="18"/>
                <w:szCs w:val="18"/>
              </w:rPr>
            </w:pPr>
            <w:r>
              <w:rPr>
                <w:rFonts w:ascii="宋体" w:hAnsi="宋体" w:cs="宋体" w:eastAsia="宋体" w:hint="default"/>
                <w:spacing w:val="-6"/>
                <w:sz w:val="18"/>
                <w:szCs w:val="18"/>
              </w:rPr>
              <w:t>以企业管理的视角，将商业分析（</w:t>
            </w:r>
            <w:r>
              <w:rPr>
                <w:rFonts w:ascii="Times New Roman" w:hAnsi="Times New Roman" w:cs="Times New Roman" w:eastAsia="Times New Roman" w:hint="default"/>
                <w:spacing w:val="-6"/>
                <w:sz w:val="18"/>
                <w:szCs w:val="18"/>
              </w:rPr>
              <w:t>BI</w:t>
            </w:r>
            <w:r>
              <w:rPr>
                <w:rFonts w:ascii="宋体" w:hAnsi="宋体" w:cs="宋体" w:eastAsia="宋体" w:hint="default"/>
                <w:spacing w:val="-6"/>
                <w:sz w:val="18"/>
                <w:szCs w:val="18"/>
              </w:rPr>
              <w:t>）、企业资源计划（</w:t>
            </w:r>
            <w:r>
              <w:rPr>
                <w:rFonts w:ascii="Times New Roman" w:hAnsi="Times New Roman" w:cs="Times New Roman" w:eastAsia="Times New Roman" w:hint="default"/>
                <w:spacing w:val="-6"/>
                <w:sz w:val="18"/>
                <w:szCs w:val="18"/>
              </w:rPr>
              <w:t>ERP</w:t>
            </w:r>
            <w:r>
              <w:rPr>
                <w:rFonts w:ascii="宋体" w:hAnsi="宋体" w:cs="宋体" w:eastAsia="宋体" w:hint="default"/>
                <w:spacing w:val="-6"/>
                <w:sz w:val="18"/>
                <w:szCs w:val="18"/>
              </w:rPr>
              <w:t>）、客户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关系管理（</w:t>
            </w:r>
            <w:r>
              <w:rPr>
                <w:rFonts w:ascii="Times New Roman" w:hAnsi="Times New Roman" w:cs="Times New Roman" w:eastAsia="Times New Roman" w:hint="default"/>
                <w:spacing w:val="-3"/>
                <w:sz w:val="18"/>
                <w:szCs w:val="18"/>
              </w:rPr>
              <w:t>CRM</w:t>
            </w:r>
            <w:r>
              <w:rPr>
                <w:rFonts w:ascii="宋体" w:hAnsi="宋体" w:cs="宋体" w:eastAsia="宋体" w:hint="default"/>
                <w:spacing w:val="-3"/>
                <w:sz w:val="18"/>
                <w:szCs w:val="18"/>
              </w:rPr>
              <w:t>）等企业经营管理理念运用于医疗机构日常运营，其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最终实现需以医疗机构临床业务信息为基础，因此，将其归为临床医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疗管理信息系统的分支之一。</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数字化场景应用方案</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both"/>
              <w:rPr>
                <w:rFonts w:ascii="宋体" w:hAnsi="宋体" w:cs="宋体" w:eastAsia="宋体" w:hint="default"/>
                <w:sz w:val="18"/>
                <w:szCs w:val="18"/>
              </w:rPr>
            </w:pPr>
            <w:r>
              <w:rPr>
                <w:rFonts w:ascii="宋体" w:hAnsi="宋体" w:cs="宋体" w:eastAsia="宋体" w:hint="default"/>
                <w:spacing w:val="-2"/>
                <w:sz w:val="18"/>
                <w:szCs w:val="18"/>
              </w:rPr>
              <w:t>以信息设备为基础，借助信息技术、网络技术、数据库技术、流媒体</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技术，通过系统集成实现医疗机构具体运营场景的信息化管理，包括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一体化手术室系统、远程协同医疗系统、医疗机构运营控制系统、病</w:t>
            </w:r>
            <w:r>
              <w:rPr>
                <w:rFonts w:ascii="宋体" w:hAnsi="宋体" w:cs="宋体" w:eastAsia="宋体" w:hint="default"/>
                <w:sz w:val="18"/>
                <w:szCs w:val="18"/>
              </w:rPr>
              <w:t> 房管理系统、环境监测系统、安防监控系统等。</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数字化医院整体解决方案</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
              <w:jc w:val="both"/>
              <w:rPr>
                <w:rFonts w:ascii="宋体" w:hAnsi="宋体" w:cs="宋体" w:eastAsia="宋体" w:hint="default"/>
                <w:sz w:val="18"/>
                <w:szCs w:val="18"/>
              </w:rPr>
            </w:pPr>
            <w:r>
              <w:rPr>
                <w:rFonts w:ascii="宋体" w:hAnsi="宋体" w:cs="宋体" w:eastAsia="宋体" w:hint="default"/>
                <w:spacing w:val="-5"/>
                <w:w w:val="99"/>
                <w:sz w:val="18"/>
                <w:szCs w:val="18"/>
              </w:rPr>
              <w:t>以数字化场景应用方案、管理信息系统（</w:t>
            </w:r>
            <w:r>
              <w:rPr>
                <w:rFonts w:ascii="Times New Roman" w:hAnsi="Times New Roman" w:cs="Times New Roman" w:eastAsia="Times New Roman" w:hint="default"/>
                <w:spacing w:val="-5"/>
                <w:w w:val="99"/>
                <w:sz w:val="18"/>
                <w:szCs w:val="18"/>
              </w:rPr>
              <w:t>HIS</w:t>
            </w:r>
            <w:r>
              <w:rPr>
                <w:rFonts w:ascii="宋体" w:hAnsi="宋体" w:cs="宋体" w:eastAsia="宋体" w:hint="default"/>
                <w:spacing w:val="-5"/>
                <w:w w:val="99"/>
                <w:sz w:val="18"/>
                <w:szCs w:val="18"/>
              </w:rPr>
              <w:t>）、临床医疗管理信息系</w:t>
            </w:r>
            <w:r>
              <w:rPr>
                <w:rFonts w:ascii="宋体" w:hAnsi="宋体" w:cs="宋体" w:eastAsia="宋体" w:hint="default"/>
                <w:spacing w:val="-73"/>
                <w:w w:val="99"/>
                <w:sz w:val="18"/>
                <w:szCs w:val="18"/>
              </w:rPr>
              <w:t> </w:t>
            </w:r>
            <w:r>
              <w:rPr>
                <w:rFonts w:ascii="宋体" w:hAnsi="宋体" w:cs="宋体" w:eastAsia="宋体" w:hint="default"/>
                <w:spacing w:val="-73"/>
                <w:w w:val="99"/>
                <w:sz w:val="18"/>
                <w:szCs w:val="18"/>
              </w:rPr>
            </w:r>
            <w:r>
              <w:rPr>
                <w:rFonts w:ascii="宋体" w:hAnsi="宋体" w:cs="宋体" w:eastAsia="宋体" w:hint="default"/>
                <w:sz w:val="18"/>
                <w:szCs w:val="18"/>
              </w:rPr>
              <w:t>统（</w:t>
            </w:r>
            <w:r>
              <w:rPr>
                <w:rFonts w:ascii="Times New Roman" w:hAnsi="Times New Roman" w:cs="Times New Roman" w:eastAsia="Times New Roman" w:hint="default"/>
                <w:sz w:val="18"/>
                <w:szCs w:val="18"/>
              </w:rPr>
              <w:t>CIS</w:t>
            </w:r>
            <w:r>
              <w:rPr>
                <w:rFonts w:ascii="宋体" w:hAnsi="宋体" w:cs="宋体" w:eastAsia="宋体" w:hint="default"/>
                <w:sz w:val="18"/>
                <w:szCs w:val="18"/>
              </w:rPr>
              <w:t>）为基础，包括医疗机构信息化蓝图规划、软硬件配置，实 </w:t>
            </w:r>
            <w:r>
              <w:rPr>
                <w:rFonts w:ascii="宋体" w:hAnsi="宋体" w:cs="宋体" w:eastAsia="宋体" w:hint="default"/>
                <w:spacing w:val="-2"/>
                <w:sz w:val="18"/>
                <w:szCs w:val="18"/>
              </w:rPr>
              <w:t>施定制开发、系统集成、流程优化、数据融合，上线调试、业务培训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等工作内容在内的全套医疗信息化业务，具有系统实施、整体交付、 一体化服务等特点。</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电子病历（</w:t>
            </w:r>
            <w:r>
              <w:rPr>
                <w:rFonts w:ascii="Times New Roman" w:hAnsi="Times New Roman" w:cs="Times New Roman" w:eastAsia="Times New Roman" w:hint="default"/>
                <w:sz w:val="18"/>
                <w:szCs w:val="18"/>
              </w:rPr>
              <w:t>EMR</w:t>
            </w:r>
            <w:r>
              <w:rPr>
                <w:rFonts w:ascii="宋体" w:hAnsi="宋体" w:cs="宋体" w:eastAsia="宋体"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
              <w:jc w:val="both"/>
              <w:rPr>
                <w:rFonts w:ascii="宋体" w:hAnsi="宋体" w:cs="宋体" w:eastAsia="宋体" w:hint="default"/>
                <w:sz w:val="18"/>
                <w:szCs w:val="18"/>
              </w:rPr>
            </w:pPr>
            <w:r>
              <w:rPr>
                <w:rFonts w:ascii="宋体" w:hAnsi="宋体" w:cs="宋体" w:eastAsia="宋体" w:hint="default"/>
                <w:sz w:val="18"/>
                <w:szCs w:val="18"/>
              </w:rPr>
              <w:t>医务人员在医疗活动过程中，通过医院信息系统生成的文字、符号、 </w:t>
            </w:r>
            <w:r>
              <w:rPr>
                <w:rFonts w:ascii="宋体" w:hAnsi="宋体" w:cs="宋体" w:eastAsia="宋体" w:hint="default"/>
                <w:spacing w:val="-2"/>
                <w:sz w:val="18"/>
                <w:szCs w:val="18"/>
              </w:rPr>
              <w:t>图表、图形、数据、影像等数字化信息，并能实现存储、管理、传输</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和重现的医疗记录。</w:t>
            </w:r>
          </w:p>
        </w:tc>
      </w:tr>
      <w:tr>
        <w:trPr>
          <w:trHeight w:val="227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电子病历系统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医疗机构内部支持电子病历信息的采集、存储和访问，并围绕提高医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疗质量、保障医疗安全、提高医疗效率而提供信息处理和智能化服务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功能的计算机信息系统，既包括应用于门（急）诊、病房的临床信息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系统，也包括医技科室的信息系统，其产出物为电子病历。电子病历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系统是一个动态的系统，它的数据和信息来源于多个临床部门，所以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电子病历系统需要与其他各种系统集成以获取信息；同时电子病历系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统也是临床路径管理和未来区域医疗信息管理的基础。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2642" w:right="0"/>
        <w:jc w:val="left"/>
        <w:rPr>
          <w:b w:val="0"/>
          <w:bCs w:val="0"/>
        </w:rPr>
      </w:pPr>
      <w:bookmarkStart w:name="_bookmark0" w:id="1"/>
      <w:bookmarkEnd w:id="1"/>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group style="position:absolute;margin-left:172.339996pt;margin-top:114.705597pt;width:361.55pt;height:19.7pt;mso-position-horizontal-relative:page;mso-position-vertical-relative:paragraph;z-index:-803296" coordorigin="3447,2294" coordsize="7231,394">
            <v:shape style="position:absolute;left:3447;top:2294;width:7231;height:394" coordorigin="3447,2294" coordsize="7231,394"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和仁科技</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300550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浙江和仁科技股份有限公司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和仁科技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Heren Health</w:t>
            </w:r>
            <w:r>
              <w:rPr>
                <w:rFonts w:ascii="Times New Roman"/>
                <w:spacing w:val="-6"/>
                <w:sz w:val="18"/>
              </w:rPr>
              <w:t> </w:t>
            </w:r>
            <w:r>
              <w:rPr>
                <w:rFonts w:ascii="Times New Roman"/>
                <w:sz w:val="18"/>
              </w:rPr>
              <w:t>Co.,Ltd.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Heren</w:t>
            </w:r>
            <w:r>
              <w:rPr>
                <w:rFonts w:ascii="Times New Roman"/>
                <w:spacing w:val="-6"/>
                <w:sz w:val="18"/>
              </w:rPr>
              <w:t> </w:t>
            </w:r>
            <w:r>
              <w:rPr>
                <w:rFonts w:ascii="Times New Roman"/>
                <w:sz w:val="18"/>
              </w:rPr>
              <w:t>Health</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杨一兵</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浙江省杭州市滨江区西兴街道新联路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625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310051</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浙江省杭州市滨江区西兴街道新联路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625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310051</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www.herenit.com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contact@herenit.com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章逸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屈鑫</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浙江省杭州市滨江区西兴街道新联路</w:t>
            </w:r>
          </w:p>
          <w:p>
            <w:pPr>
              <w:pStyle w:val="TableParagraph"/>
              <w:spacing w:line="240" w:lineRule="auto" w:before="76"/>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625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浙江省杭州市滨江区西兴街道新联路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625 </w:t>
            </w:r>
            <w:r>
              <w:rPr>
                <w:rFonts w:ascii="宋体" w:hAnsi="宋体" w:cs="宋体" w:eastAsia="宋体" w:hint="default"/>
                <w:sz w:val="18"/>
                <w:szCs w:val="18"/>
              </w:rPr>
              <w:t>号</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0571-81397006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0571-81397006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0571-81397100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0571-81397100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contact@herenit.com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contact@herenit.com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浙江省杭州市滨江区西兴街道新联路 </w:t>
            </w:r>
            <w:r>
              <w:rPr>
                <w:rFonts w:ascii="Times New Roman" w:hAnsi="Times New Roman" w:cs="Times New Roman" w:eastAsia="Times New Roman" w:hint="default"/>
                <w:sz w:val="18"/>
                <w:szCs w:val="18"/>
              </w:rPr>
              <w:t>625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和仁科技董事会办公室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浙江省杭州市钱江路 </w:t>
            </w:r>
            <w:r>
              <w:rPr>
                <w:rFonts w:ascii="Times New Roman" w:hAnsi="Times New Roman" w:cs="Times New Roman" w:eastAsia="Times New Roman" w:hint="default"/>
                <w:sz w:val="18"/>
                <w:szCs w:val="18"/>
              </w:rPr>
              <w:t>1366  </w:t>
            </w:r>
            <w:r>
              <w:rPr>
                <w:rFonts w:ascii="宋体" w:hAnsi="宋体" w:cs="宋体" w:eastAsia="宋体" w:hint="default"/>
                <w:sz w:val="18"/>
                <w:szCs w:val="18"/>
              </w:rPr>
              <w:t>号华润大厦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程志刚、郑俭</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广东省深圳市福田区中心三</w:t>
            </w:r>
          </w:p>
          <w:p>
            <w:pPr>
              <w:pStyle w:val="TableParagraph"/>
              <w:spacing w:line="300" w:lineRule="auto" w:before="76"/>
              <w:ind w:left="23" w:right="12"/>
              <w:jc w:val="left"/>
              <w:rPr>
                <w:rFonts w:ascii="宋体" w:hAnsi="宋体" w:cs="宋体" w:eastAsia="宋体" w:hint="default"/>
                <w:sz w:val="18"/>
                <w:szCs w:val="18"/>
              </w:rPr>
            </w:pPr>
            <w:r>
              <w:rPr>
                <w:rFonts w:ascii="宋体" w:hAnsi="宋体" w:cs="宋体" w:eastAsia="宋体" w:hint="default"/>
                <w:sz w:val="18"/>
                <w:szCs w:val="18"/>
              </w:rPr>
              <w:t>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号卓越时代广场（二期） 北座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毛宗玄、王丹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276,257,927.40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235,640,231.16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225,125,764.60</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32,904,573.34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52,070,995.55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51,728,004.13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26,151,575.23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44,096,531.33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43,609,358.43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44,675,867.09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15,884,200.14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40,713,181.01</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0.86</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27.46%</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692,920,611.49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588,991,373.97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376,708,731.78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504,839,977.70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479,935,404.36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214,060,400.43</w:t>
            </w:r>
          </w:p>
        </w:tc>
      </w:tr>
    </w:tbl>
    <w:p>
      <w:pPr>
        <w:pStyle w:val="BodyText"/>
        <w:spacing w:line="314" w:lineRule="auto" w:before="49"/>
        <w:ind w:right="0"/>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6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0.3954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38,264,278.95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69,627,875.54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67,221,225.89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101,144,547.02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1,092,733.87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11,414,745.26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8,165,594.73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12,231,499.48</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554,769.11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10,248,574.99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7,086,670.58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8,261,560.55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-27,180,112.75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-2,980,854.34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-3,670,397.97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78,507,232.15</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-42,728.94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14,714.54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-2,206.70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136,305.22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4,507,211.48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8,148,476.92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8,444,286.30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3,945,477.07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390,663.25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701,340.84</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501,989.67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-231,473.33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-2,869.47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-2,054.44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1,069,916.20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1,069,247.08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1,160,361.23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355,571.97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9,263.61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-1,335.71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6,752,998.11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7,974,464.22</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8,118,645.70</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877" w:footer="1186"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556"/>
        <w:jc w:val="center"/>
        <w:rPr>
          <w:b w:val="0"/>
          <w:bCs w:val="0"/>
        </w:rPr>
      </w:pPr>
      <w:bookmarkStart w:name="_bookmark1" w:id="2"/>
      <w:bookmarkEnd w:id="2"/>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spacing w:line="240" w:lineRule="auto" w:before="11"/>
        <w:rPr>
          <w:rFonts w:ascii="宋体" w:hAnsi="宋体" w:cs="宋体" w:eastAsia="宋体" w:hint="default"/>
          <w:sz w:val="24"/>
          <w:szCs w:val="24"/>
        </w:rPr>
      </w:pPr>
    </w:p>
    <w:p>
      <w:pPr>
        <w:pStyle w:val="Heading7"/>
        <w:spacing w:line="240" w:lineRule="auto"/>
        <w:ind w:right="0"/>
        <w:jc w:val="left"/>
        <w:rPr>
          <w:b w:val="0"/>
          <w:bCs w:val="0"/>
        </w:rPr>
      </w:pPr>
      <w:r>
        <w:rPr/>
        <w:t>（一）公司主要业务</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9"/>
          <w:szCs w:val="19"/>
        </w:rPr>
      </w:pPr>
    </w:p>
    <w:p>
      <w:pPr>
        <w:pStyle w:val="BodyText"/>
        <w:spacing w:line="477" w:lineRule="auto"/>
        <w:ind w:right="150" w:firstLine="360"/>
        <w:jc w:val="both"/>
      </w:pPr>
      <w:r>
        <w:rPr>
          <w:spacing w:val="-2"/>
        </w:rPr>
        <w:t>公司是以医疗信息系统及数字化场景应用系统的研发销售、实施集成、服务支持为主营业务的总体解决方案服务商。从</w:t>
      </w:r>
      <w:r>
        <w:rPr/>
        <w:t> </w:t>
      </w:r>
      <w:r>
        <w:rPr>
          <w:spacing w:val="-2"/>
        </w:rPr>
        <w:t>流程、系统、数据的角度，公司为医疗机构与医疗卫生管理及协作机构的数据采集、融合、处理、存储、传输、共享和应用</w:t>
      </w:r>
      <w:r>
        <w:rPr>
          <w:spacing w:val="-68"/>
        </w:rPr>
        <w:t> </w:t>
      </w:r>
      <w:r>
        <w:rPr>
          <w:spacing w:val="-68"/>
        </w:rPr>
      </w:r>
      <w:r>
        <w:rPr/>
        <w:t>提出基于自有核心系统的整体解决方案。公司的主要业务可以分为医疗信息系统和数字化场景应用系统两大部分。</w:t>
      </w:r>
    </w:p>
    <w:p>
      <w:pPr>
        <w:spacing w:line="240" w:lineRule="auto" w:before="2"/>
        <w:rPr>
          <w:rFonts w:ascii="宋体" w:hAnsi="宋体" w:cs="宋体" w:eastAsia="宋体" w:hint="default"/>
          <w:sz w:val="24"/>
          <w:szCs w:val="24"/>
        </w:rPr>
      </w:pPr>
    </w:p>
    <w:p>
      <w:pPr>
        <w:pStyle w:val="Heading7"/>
        <w:spacing w:line="240" w:lineRule="auto"/>
        <w:ind w:right="0"/>
        <w:jc w:val="left"/>
        <w:rPr>
          <w:b w:val="0"/>
          <w:bCs w:val="0"/>
        </w:rPr>
      </w:pPr>
      <w:r>
        <w:rPr>
          <w:rFonts w:ascii="宋体" w:hAnsi="宋体" w:cs="宋体" w:eastAsia="宋体" w:hint="default"/>
        </w:rPr>
        <w:t>1</w:t>
      </w:r>
      <w:r>
        <w:rPr/>
        <w:t>、医疗信息系统</w:t>
      </w:r>
      <w:r>
        <w:rPr>
          <w:b w:val="0"/>
          <w:bCs w:val="0"/>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9"/>
          <w:szCs w:val="19"/>
        </w:rPr>
      </w:pPr>
    </w:p>
    <w:p>
      <w:pPr>
        <w:pStyle w:val="BodyText"/>
        <w:spacing w:line="477" w:lineRule="auto"/>
        <w:ind w:right="148" w:firstLine="360"/>
        <w:jc w:val="both"/>
      </w:pPr>
      <w:r>
        <w:rPr>
          <w:spacing w:val="-2"/>
        </w:rPr>
        <w:t>医疗信息系统业务是根据医疗机构和医疗卫生管理及协作机构的具体业务流程和数据管理应用需求，构建相应系统和底</w:t>
      </w:r>
      <w:r>
        <w:rPr/>
        <w:t> </w:t>
      </w:r>
      <w:r>
        <w:rPr>
          <w:spacing w:val="-2"/>
        </w:rPr>
        <w:t>层数据架构，最终实现医疗行为流程的系统管理、数据的互联互通、系统和数据的融合。医疗信息系统业务可以具体分为医</w:t>
      </w:r>
      <w:r>
        <w:rPr>
          <w:spacing w:val="-62"/>
        </w:rPr>
        <w:t> </w:t>
      </w:r>
      <w:r>
        <w:rPr>
          <w:spacing w:val="-62"/>
        </w:rPr>
      </w:r>
      <w:r>
        <w:rPr/>
        <w:t>院临床信息系统、城市级智慧医疗解决方案两个板块：</w:t>
      </w:r>
    </w:p>
    <w:p>
      <w:pPr>
        <w:pStyle w:val="BodyText"/>
        <w:spacing w:line="477" w:lineRule="auto" w:before="54"/>
        <w:ind w:right="151" w:firstLine="360"/>
        <w:jc w:val="both"/>
      </w:pPr>
      <w:r>
        <w:rPr>
          <w:spacing w:val="-2"/>
        </w:rPr>
        <w:t>医院临床信息系统以电子病历为核心实现临床医疗行为的完整纪录，医疗数据的不错、不漏和实时互联互通。该系统主</w:t>
      </w:r>
      <w:r>
        <w:rPr/>
        <w:t> </w:t>
      </w:r>
      <w:r>
        <w:rPr>
          <w:spacing w:val="-2"/>
        </w:rPr>
        <w:t>要包括高端结构化电子病历系统、一体化医护工作站、移动护理系统、医疗信息集成平台、临床数据中心、临床路径系统等</w:t>
      </w:r>
      <w:r>
        <w:rPr>
          <w:spacing w:val="-68"/>
        </w:rPr>
        <w:t> </w:t>
      </w:r>
      <w:r>
        <w:rPr>
          <w:spacing w:val="-68"/>
        </w:rPr>
      </w:r>
      <w:r>
        <w:rPr>
          <w:spacing w:val="-2"/>
        </w:rPr>
        <w:t>电子病历及应用延伸系统和将商业分析（</w:t>
      </w:r>
      <w:r>
        <w:rPr>
          <w:rFonts w:ascii="宋体" w:hAnsi="宋体" w:cs="宋体" w:eastAsia="宋体" w:hint="default"/>
          <w:spacing w:val="-2"/>
        </w:rPr>
        <w:t>BI</w:t>
      </w:r>
      <w:r>
        <w:rPr>
          <w:spacing w:val="-2"/>
        </w:rPr>
        <w:t>）、企业资源管理（</w:t>
      </w:r>
      <w:r>
        <w:rPr>
          <w:rFonts w:ascii="宋体" w:hAnsi="宋体" w:cs="宋体" w:eastAsia="宋体" w:hint="default"/>
          <w:spacing w:val="-2"/>
        </w:rPr>
        <w:t>HRP</w:t>
      </w:r>
      <w:r>
        <w:rPr>
          <w:spacing w:val="-2"/>
        </w:rPr>
        <w:t>）、客户关系管理（</w:t>
      </w:r>
      <w:r>
        <w:rPr>
          <w:rFonts w:ascii="宋体" w:hAnsi="宋体" w:cs="宋体" w:eastAsia="宋体" w:hint="default"/>
          <w:spacing w:val="-2"/>
        </w:rPr>
        <w:t>CRM</w:t>
      </w:r>
      <w:r>
        <w:rPr>
          <w:spacing w:val="-2"/>
        </w:rPr>
        <w:t>）等企业经营管理理念运用于医</w:t>
      </w:r>
      <w:r>
        <w:rPr>
          <w:spacing w:val="-69"/>
        </w:rPr>
        <w:t> </w:t>
      </w:r>
      <w:r>
        <w:rPr>
          <w:spacing w:val="-69"/>
        </w:rPr>
      </w:r>
      <w:r>
        <w:rPr/>
        <w:t>疗机构日常运营的管理应用系统。</w:t>
      </w:r>
    </w:p>
    <w:p>
      <w:pPr>
        <w:pStyle w:val="BodyText"/>
        <w:spacing w:line="477" w:lineRule="auto" w:before="54"/>
        <w:ind w:right="148" w:firstLine="360"/>
        <w:jc w:val="both"/>
      </w:pPr>
      <w:r>
        <w:rPr>
          <w:spacing w:val="-2"/>
        </w:rPr>
        <w:t>城市级智慧医疗解决方案是针对一个城市区域范围内实现医疗</w:t>
      </w:r>
      <w:r>
        <w:rPr>
          <w:rFonts w:ascii="宋体" w:hAnsi="宋体" w:cs="宋体" w:eastAsia="宋体" w:hint="default"/>
          <w:spacing w:val="-2"/>
        </w:rPr>
        <w:t>-</w:t>
      </w:r>
      <w:r>
        <w:rPr>
          <w:spacing w:val="-2"/>
        </w:rPr>
        <w:t>卫生</w:t>
      </w:r>
      <w:r>
        <w:rPr>
          <w:rFonts w:ascii="宋体" w:hAnsi="宋体" w:cs="宋体" w:eastAsia="宋体" w:hint="default"/>
          <w:spacing w:val="-2"/>
        </w:rPr>
        <w:t>-</w:t>
      </w:r>
      <w:r>
        <w:rPr>
          <w:spacing w:val="-2"/>
        </w:rPr>
        <w:t>健康数据的互联互通、支撑机构间业务流程协作的</w:t>
      </w:r>
      <w:r>
        <w:rPr/>
        <w:t> </w:t>
      </w:r>
      <w:r>
        <w:rPr>
          <w:spacing w:val="-2"/>
        </w:rPr>
        <w:t>整体解决方案，是院内业务流程协作与数据互联互通在区域范围应用的延伸和拓展。该方案立足于大卫生、大健康、大数据</w:t>
      </w:r>
      <w:r>
        <w:rPr>
          <w:spacing w:val="-64"/>
        </w:rPr>
        <w:t> </w:t>
      </w:r>
      <w:r>
        <w:rPr>
          <w:spacing w:val="-64"/>
        </w:rPr>
      </w:r>
      <w:r>
        <w:rPr>
          <w:spacing w:val="-5"/>
        </w:rPr>
        <w:t>和大服务的角度，实现跨机构的业务协同和数据共享，提供了网上分时段预约分诊、检查检验结果共享互认、综合在线支付、</w:t>
      </w:r>
      <w:r>
        <w:rPr>
          <w:spacing w:val="-73"/>
        </w:rPr>
        <w:t> </w:t>
      </w:r>
      <w:r>
        <w:rPr>
          <w:spacing w:val="-73"/>
        </w:rPr>
      </w:r>
      <w:r>
        <w:rPr>
          <w:spacing w:val="-2"/>
        </w:rPr>
        <w:t>区域集合版电子病历与健康档案融合并实时在线查询、信用就医体系等惠民便民的医疗健康服务；实现了集团化医院、医联</w:t>
      </w:r>
      <w:r>
        <w:rPr>
          <w:spacing w:val="-64"/>
        </w:rPr>
        <w:t> </w:t>
      </w:r>
      <w:r>
        <w:rPr>
          <w:spacing w:val="-64"/>
        </w:rPr>
      </w:r>
      <w:r>
        <w:rPr>
          <w:spacing w:val="-2"/>
        </w:rPr>
        <w:t>体、医共体等医疗健康服务机构的业务协作、远程医疗、分级诊疗、慢病和健康管理等业务的协作与管理平台；同时辅助政</w:t>
      </w:r>
      <w:r>
        <w:rPr>
          <w:spacing w:val="-67"/>
        </w:rPr>
        <w:t> </w:t>
      </w:r>
      <w:r>
        <w:rPr>
          <w:spacing w:val="-67"/>
        </w:rPr>
      </w:r>
      <w:r>
        <w:rPr>
          <w:spacing w:val="-2"/>
        </w:rPr>
        <w:t>府实现业务与数据的实时有效监管、质量控制、综合控费、辅助决策等管理需求；基于云架构的综合业务平台，可对接智慧</w:t>
      </w:r>
      <w:r>
        <w:rPr>
          <w:spacing w:val="-66"/>
        </w:rPr>
        <w:t> </w:t>
      </w:r>
      <w:r>
        <w:rPr>
          <w:spacing w:val="-66"/>
        </w:rPr>
      </w:r>
      <w:r>
        <w:rPr/>
        <w:t>城市平台，满足智慧城市总体建设中医疗健康的业务与数据的深度应用需求。</w:t>
      </w:r>
    </w:p>
    <w:p>
      <w:pPr>
        <w:spacing w:line="240" w:lineRule="auto" w:before="2"/>
        <w:rPr>
          <w:rFonts w:ascii="宋体" w:hAnsi="宋体" w:cs="宋体" w:eastAsia="宋体" w:hint="default"/>
          <w:sz w:val="24"/>
          <w:szCs w:val="24"/>
        </w:rPr>
      </w:pPr>
    </w:p>
    <w:p>
      <w:pPr>
        <w:pStyle w:val="Heading7"/>
        <w:spacing w:line="240" w:lineRule="auto"/>
        <w:ind w:right="0"/>
        <w:jc w:val="left"/>
        <w:rPr>
          <w:b w:val="0"/>
          <w:bCs w:val="0"/>
        </w:rPr>
      </w:pPr>
      <w:r>
        <w:rPr>
          <w:rFonts w:ascii="宋体" w:hAnsi="宋体" w:cs="宋体" w:eastAsia="宋体" w:hint="default"/>
        </w:rPr>
        <w:t>2</w:t>
      </w:r>
      <w:r>
        <w:rPr/>
        <w:t>、数字化场景应用系统</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9"/>
          <w:szCs w:val="19"/>
        </w:rPr>
      </w:pPr>
    </w:p>
    <w:p>
      <w:pPr>
        <w:pStyle w:val="BodyText"/>
        <w:spacing w:line="240" w:lineRule="auto"/>
        <w:ind w:left="513" w:right="0"/>
        <w:jc w:val="left"/>
      </w:pPr>
      <w:r>
        <w:rPr/>
        <w:t>数字化场景应用系统是公司临床信息系统在不同医疗服务场景下的延续应用。该系统以各场景内的业务需求为导向，借</w:t>
      </w:r>
    </w:p>
    <w:p>
      <w:pPr>
        <w:spacing w:after="0" w:line="240" w:lineRule="auto"/>
        <w:jc w:val="left"/>
        <w:sectPr>
          <w:pgSz w:w="11910" w:h="16840"/>
          <w:pgMar w:header="877" w:footer="1186" w:top="1100" w:bottom="1380" w:left="980" w:right="980"/>
        </w:sectPr>
      </w:pPr>
    </w:p>
    <w:p>
      <w:pPr>
        <w:spacing w:line="240" w:lineRule="auto" w:before="12"/>
        <w:rPr>
          <w:rFonts w:ascii="宋体" w:hAnsi="宋体" w:cs="宋体" w:eastAsia="宋体" w:hint="default"/>
          <w:sz w:val="27"/>
          <w:szCs w:val="27"/>
        </w:rPr>
      </w:pPr>
    </w:p>
    <w:p>
      <w:pPr>
        <w:pStyle w:val="BodyText"/>
        <w:spacing w:line="477" w:lineRule="auto" w:before="44"/>
        <w:ind w:right="188"/>
        <w:jc w:val="both"/>
      </w:pPr>
      <w:r>
        <w:rPr>
          <w:spacing w:val="-2"/>
        </w:rPr>
        <w:t>助无线网络、物联网等通讯技术整合临床医疗信息系统、运营管理信息系统及该场景内其他设备、仪器等的数据，进行该特</w:t>
      </w:r>
      <w:r>
        <w:rPr>
          <w:spacing w:val="-62"/>
        </w:rPr>
        <w:t> </w:t>
      </w:r>
      <w:r>
        <w:rPr>
          <w:spacing w:val="-62"/>
        </w:rPr>
      </w:r>
      <w:r>
        <w:rPr>
          <w:spacing w:val="-5"/>
        </w:rPr>
        <w:t>定应用场景下的业务支撑和医疗及管理数据分析、挖掘和应用。该系统主要包括智慧门诊、智慧住院、智慧医技、智慧手术、</w:t>
      </w:r>
      <w:r>
        <w:rPr>
          <w:spacing w:val="-80"/>
        </w:rPr>
        <w:t> </w:t>
      </w:r>
      <w:r>
        <w:rPr>
          <w:spacing w:val="-80"/>
        </w:rPr>
      </w:r>
      <w:r>
        <w:rPr/>
        <w:t>智慧重症监护、智慧后勤、智慧机房综合运维平台、综合运营指挥中心（</w:t>
      </w:r>
      <w:r>
        <w:rPr>
          <w:rFonts w:ascii="宋体" w:hAnsi="宋体" w:cs="宋体" w:eastAsia="宋体" w:hint="default"/>
        </w:rPr>
        <w:t>HCC</w:t>
      </w:r>
      <w:r>
        <w:rPr/>
        <w:t>）等。</w:t>
      </w:r>
    </w:p>
    <w:p>
      <w:pPr>
        <w:spacing w:line="240" w:lineRule="auto" w:before="2"/>
        <w:rPr>
          <w:rFonts w:ascii="宋体" w:hAnsi="宋体" w:cs="宋体" w:eastAsia="宋体" w:hint="default"/>
          <w:sz w:val="24"/>
          <w:szCs w:val="24"/>
        </w:rPr>
      </w:pPr>
    </w:p>
    <w:p>
      <w:pPr>
        <w:pStyle w:val="Heading7"/>
        <w:spacing w:line="240" w:lineRule="auto"/>
        <w:ind w:right="94"/>
        <w:jc w:val="left"/>
        <w:rPr>
          <w:b w:val="0"/>
          <w:bCs w:val="0"/>
        </w:rPr>
      </w:pPr>
      <w:r>
        <w:rPr/>
        <w:t>（二）、公司所在行业发展阶段、周期性特点</w:t>
      </w:r>
      <w:r>
        <w:rPr>
          <w:b w:val="0"/>
          <w:bCs w:val="0"/>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9"/>
          <w:szCs w:val="19"/>
        </w:rPr>
      </w:pPr>
    </w:p>
    <w:p>
      <w:pPr>
        <w:pStyle w:val="BodyText"/>
        <w:spacing w:line="477" w:lineRule="auto"/>
        <w:ind w:right="191" w:firstLine="360"/>
        <w:jc w:val="both"/>
      </w:pPr>
      <w:r>
        <w:rPr>
          <w:spacing w:val="-2"/>
        </w:rPr>
        <w:t>公司自成立至今一直耕耘于医疗健康服务业，为各级医疗卫生机构和卫生监管及协作机构提供信息技术服务，从而使其</w:t>
      </w:r>
      <w:r>
        <w:rPr/>
        <w:t> </w:t>
      </w:r>
      <w:r>
        <w:rPr>
          <w:spacing w:val="-2"/>
        </w:rPr>
        <w:t>业务服务能力更高效、患者就医更便捷、临床医疗更安全、政府管理更精细。各级医疗机构作为医疗服务的主体，是公司的</w:t>
      </w:r>
      <w:r>
        <w:rPr>
          <w:spacing w:val="-66"/>
        </w:rPr>
        <w:t> </w:t>
      </w:r>
      <w:r>
        <w:rPr>
          <w:spacing w:val="-66"/>
        </w:rPr>
      </w:r>
      <w:r>
        <w:rPr/>
        <w:t>主要目标市场。</w:t>
      </w:r>
    </w:p>
    <w:p>
      <w:pPr>
        <w:pStyle w:val="BodyText"/>
        <w:spacing w:line="477" w:lineRule="auto" w:before="54"/>
        <w:ind w:right="188" w:firstLine="360"/>
        <w:jc w:val="both"/>
      </w:pPr>
      <w:r>
        <w:rPr>
          <w:spacing w:val="-2"/>
        </w:rPr>
        <w:t>九十年代开始，随着信息技术的发展，医疗行业开始出现了信息化建设的需求。早期的医院信息化建设主要是医院信息</w:t>
      </w:r>
      <w:r>
        <w:rPr/>
        <w:t> </w:t>
      </w:r>
      <w:r>
        <w:rPr>
          <w:spacing w:val="-2"/>
        </w:rPr>
        <w:t>系统（</w:t>
      </w:r>
      <w:r>
        <w:rPr>
          <w:rFonts w:ascii="宋体" w:hAnsi="宋体" w:cs="宋体" w:eastAsia="宋体" w:hint="default"/>
          <w:spacing w:val="-2"/>
        </w:rPr>
        <w:t>HIS</w:t>
      </w:r>
      <w:r>
        <w:rPr>
          <w:spacing w:val="-2"/>
        </w:rPr>
        <w:t>），功能是财务记账和收费，其核心是财务信息。</w:t>
      </w:r>
      <w:r>
        <w:rPr>
          <w:rFonts w:ascii="宋体" w:hAnsi="宋体" w:cs="宋体" w:eastAsia="宋体" w:hint="default"/>
          <w:spacing w:val="-2"/>
        </w:rPr>
        <w:t>HIS</w:t>
      </w:r>
      <w:r>
        <w:rPr>
          <w:spacing w:val="-2"/>
        </w:rPr>
        <w:t>系统不断扩充了药品信息，建立了医生工作站，通过医嘱驱</w:t>
      </w:r>
      <w:r>
        <w:rPr>
          <w:spacing w:val="-64"/>
        </w:rPr>
        <w:t> </w:t>
      </w:r>
      <w:r>
        <w:rPr>
          <w:spacing w:val="-64"/>
        </w:rPr>
      </w:r>
      <w:r>
        <w:rPr/>
        <w:t>动收费业务和药品库存业务，成为了当时医院的主要信息系统。</w:t>
      </w:r>
    </w:p>
    <w:p>
      <w:pPr>
        <w:pStyle w:val="BodyText"/>
        <w:spacing w:line="477" w:lineRule="auto" w:before="54"/>
        <w:ind w:right="94" w:firstLine="360"/>
        <w:jc w:val="left"/>
      </w:pPr>
      <w:r>
        <w:rPr>
          <w:spacing w:val="-2"/>
        </w:rPr>
        <w:t>随着医技部门的发展和医技设备的普及，逐步发展了医技科室用的信息系统，如影像存档传输系统（</w:t>
      </w:r>
      <w:r>
        <w:rPr>
          <w:rFonts w:ascii="宋体" w:hAnsi="宋体" w:cs="宋体" w:eastAsia="宋体" w:hint="default"/>
          <w:spacing w:val="-2"/>
        </w:rPr>
        <w:t>PACS</w:t>
      </w:r>
      <w:r>
        <w:rPr>
          <w:spacing w:val="-2"/>
        </w:rPr>
        <w:t>）、放射信息</w:t>
      </w:r>
      <w:r>
        <w:rPr/>
        <w:t> 系统（</w:t>
      </w:r>
      <w:r>
        <w:rPr>
          <w:rFonts w:ascii="宋体" w:hAnsi="宋体" w:cs="宋体" w:eastAsia="宋体" w:hint="default"/>
        </w:rPr>
        <w:t>RIS</w:t>
      </w:r>
      <w:r>
        <w:rPr/>
        <w:t>）、检验信息系统（</w:t>
      </w:r>
      <w:r>
        <w:rPr>
          <w:rFonts w:ascii="宋体" w:hAnsi="宋体" w:cs="宋体" w:eastAsia="宋体" w:hint="default"/>
        </w:rPr>
        <w:t>LIS</w:t>
      </w:r>
      <w:r>
        <w:rPr/>
        <w:t>）、超声信息系统（</w:t>
      </w:r>
      <w:r>
        <w:rPr>
          <w:rFonts w:ascii="宋体" w:hAnsi="宋体" w:cs="宋体" w:eastAsia="宋体" w:hint="default"/>
        </w:rPr>
        <w:t>UIS</w:t>
      </w:r>
      <w:r>
        <w:rPr/>
        <w:t>）等。患者的数据分散在这些不同科室的系统内，检查检验结果</w:t>
      </w:r>
      <w:r>
        <w:rPr>
          <w:spacing w:val="-87"/>
        </w:rPr>
        <w:t> </w:t>
      </w:r>
      <w:r>
        <w:rPr>
          <w:spacing w:val="-87"/>
        </w:rPr>
      </w:r>
      <w:r>
        <w:rPr>
          <w:spacing w:val="-4"/>
        </w:rPr>
        <w:t>需要患者进行收集后提供给医生进行诊断。随着医院各类科室级系统和排队叫号、输液管理等医疗事务辅助系统的不断增加，</w:t>
      </w:r>
      <w:r>
        <w:rPr>
          <w:spacing w:val="-44"/>
        </w:rPr>
        <w:t> </w:t>
      </w:r>
      <w:r>
        <w:rPr>
          <w:spacing w:val="-44"/>
        </w:rPr>
      </w:r>
      <w:r>
        <w:rPr>
          <w:spacing w:val="-2"/>
        </w:rPr>
        <w:t>医院的信息孤岛越来越多。医院的信息化建设发展到这个阶段的现状是各类系统之间是割裂的，数据共享程度低，系统难以</w:t>
      </w:r>
      <w:r>
        <w:rPr>
          <w:spacing w:val="-65"/>
        </w:rPr>
        <w:t> </w:t>
      </w:r>
      <w:r>
        <w:rPr>
          <w:spacing w:val="-65"/>
        </w:rPr>
      </w:r>
      <w:r>
        <w:rPr>
          <w:spacing w:val="-2"/>
        </w:rPr>
        <w:t>有效地按业务流程进行协作，不能体现以患者为中心的“数据一元化”管理。另一方面，对医护人员的临床业务支撑能力不</w:t>
      </w:r>
      <w:r>
        <w:rPr>
          <w:spacing w:val="-65"/>
        </w:rPr>
        <w:t> </w:t>
      </w:r>
      <w:r>
        <w:rPr>
          <w:spacing w:val="-65"/>
        </w:rPr>
      </w:r>
      <w:r>
        <w:rPr/>
        <w:t>足，医患人员急需能够帮助他们提升临床服务水平、减少临床差错、提高工作效率的信息化工具。</w:t>
      </w:r>
    </w:p>
    <w:p>
      <w:pPr>
        <w:pStyle w:val="BodyText"/>
        <w:spacing w:line="477" w:lineRule="auto" w:before="54"/>
        <w:ind w:right="191" w:firstLine="360"/>
        <w:jc w:val="both"/>
      </w:pPr>
      <w:r>
        <w:rPr>
          <w:spacing w:val="-2"/>
        </w:rPr>
        <w:t>公司的产品和服务是帮助医院制定智慧医院顶层设计与规划，实现业务流程全院梳理与优化，通过临床业务系统完整纪</w:t>
      </w:r>
      <w:r>
        <w:rPr/>
        <w:t> </w:t>
      </w:r>
      <w:r>
        <w:rPr>
          <w:spacing w:val="-2"/>
        </w:rPr>
        <w:t>录医疗业务流程，将各系统的数据和流程与电子病历系统按照对应流程与数据逻辑进行集成融合，按照标准化、结构化、以</w:t>
      </w:r>
      <w:r>
        <w:rPr>
          <w:spacing w:val="-66"/>
        </w:rPr>
        <w:t> </w:t>
      </w:r>
      <w:r>
        <w:rPr>
          <w:spacing w:val="-66"/>
        </w:rPr>
      </w:r>
      <w:r>
        <w:rPr>
          <w:spacing w:val="-2"/>
        </w:rPr>
        <w:t>病人为中心一元化的原则实现各业务系统数据的实时互联互通，形成院级临床数据中心，建设信息共享服务平台支撑数据应</w:t>
      </w:r>
      <w:r>
        <w:rPr>
          <w:spacing w:val="-64"/>
        </w:rPr>
        <w:t> </w:t>
      </w:r>
      <w:r>
        <w:rPr>
          <w:spacing w:val="-64"/>
        </w:rPr>
      </w:r>
      <w:r>
        <w:rPr>
          <w:spacing w:val="-2"/>
        </w:rPr>
        <w:t>用。从支撑临床业务流程和数据采集、融合、应用的角度系统性的解决医院对流程管理、系统管理、数据管理的需求，更好</w:t>
      </w:r>
      <w:r>
        <w:rPr>
          <w:spacing w:val="-67"/>
        </w:rPr>
        <w:t> </w:t>
      </w:r>
      <w:r>
        <w:rPr>
          <w:spacing w:val="-67"/>
        </w:rPr>
      </w:r>
      <w:r>
        <w:rPr/>
        <w:t>的支撑医院临床业务的高效、准确开展。</w:t>
      </w:r>
    </w:p>
    <w:p>
      <w:pPr>
        <w:pStyle w:val="BodyText"/>
        <w:spacing w:line="477" w:lineRule="auto" w:before="54"/>
        <w:ind w:right="190" w:firstLine="360"/>
        <w:jc w:val="both"/>
      </w:pPr>
      <w:r>
        <w:rPr>
          <w:spacing w:val="-2"/>
        </w:rPr>
        <w:t>医疗服务行业属于典型的弱周期行业。作为服务于医疗机构的医疗信息化行业，其发展受国家医疗体制改革政策、医疗</w:t>
      </w:r>
      <w:r>
        <w:rPr/>
        <w:t> </w:t>
      </w:r>
      <w:r>
        <w:rPr>
          <w:spacing w:val="-2"/>
        </w:rPr>
        <w:t>卫生事业发展规划、医疗机构信息化支出水平的影响，整体呈弱周期性特征。近年来，随着新医改的推进，医疗信息化被前</w:t>
      </w:r>
      <w:r>
        <w:rPr>
          <w:spacing w:val="-67"/>
        </w:rPr>
        <w:t> </w:t>
      </w:r>
      <w:r>
        <w:rPr>
          <w:spacing w:val="-67"/>
        </w:rPr>
      </w:r>
      <w:r>
        <w:rPr/>
        <w:t>所未有的重视，国家和医院都较前些年加大了投入，逐步出现高速发展状态。</w:t>
      </w:r>
    </w:p>
    <w:p>
      <w:pPr>
        <w:pStyle w:val="BodyText"/>
        <w:spacing w:line="477" w:lineRule="auto" w:before="54"/>
        <w:ind w:right="94" w:firstLine="360"/>
        <w:jc w:val="left"/>
      </w:pPr>
      <w:r>
        <w:rPr>
          <w:spacing w:val="-2"/>
        </w:rPr>
        <w:t>医疗卫生领域内的采购工作大多执行预算管理制度，预算审批集中于当年上半年，采购招标则集中于年中完成，下半年</w:t>
      </w:r>
      <w:r>
        <w:rPr/>
        <w:t> 进入项目执行期。因此，上半年订单相对较少，当年新增项目实施在下半年相对集中，销售回款在年末或次年初较为集中，</w:t>
      </w:r>
      <w:r>
        <w:rPr>
          <w:spacing w:val="-83"/>
        </w:rPr>
        <w:t> </w:t>
      </w:r>
      <w:r>
        <w:rPr>
          <w:spacing w:val="-83"/>
        </w:rPr>
      </w:r>
      <w:r>
        <w:rPr>
          <w:spacing w:val="-2"/>
        </w:rPr>
        <w:t>使得本行业具有一定的季节性特征。公司的订单金额对相对于公司的年度收入规模来说金额较大，公司业务的季节性特征可</w:t>
      </w:r>
      <w:r>
        <w:rPr>
          <w:spacing w:val="-63"/>
        </w:rPr>
        <w:t> </w:t>
      </w:r>
      <w:r>
        <w:rPr>
          <w:spacing w:val="-63"/>
        </w:rPr>
      </w:r>
      <w:r>
        <w:rPr/>
        <w:t>能受大金额项目的签约、实施节奏影响。</w:t>
      </w:r>
    </w:p>
    <w:p>
      <w:pPr>
        <w:spacing w:after="0" w:line="477" w:lineRule="auto"/>
        <w:jc w:val="left"/>
        <w:sectPr>
          <w:pgSz w:w="11910" w:h="16840"/>
          <w:pgMar w:header="877" w:footer="1186" w:top="1100" w:bottom="1380" w:left="980" w:right="940"/>
        </w:sectPr>
      </w:pPr>
    </w:p>
    <w:p>
      <w:pPr>
        <w:spacing w:line="240" w:lineRule="auto" w:before="1"/>
        <w:rPr>
          <w:rFonts w:ascii="宋体" w:hAnsi="宋体" w:cs="宋体" w:eastAsia="宋体" w:hint="default"/>
          <w:sz w:val="28"/>
          <w:szCs w:val="28"/>
        </w:rPr>
      </w:pPr>
    </w:p>
    <w:p>
      <w:pPr>
        <w:pStyle w:val="Heading7"/>
        <w:spacing w:line="240" w:lineRule="auto" w:before="44"/>
        <w:ind w:right="0"/>
        <w:jc w:val="left"/>
        <w:rPr>
          <w:b w:val="0"/>
          <w:bCs w:val="0"/>
        </w:rPr>
      </w:pPr>
      <w:r>
        <w:rPr/>
        <w:t>（三）、公司行业地位</w:t>
      </w:r>
      <w:r>
        <w:rPr>
          <w:b w:val="0"/>
          <w:bCs w:val="0"/>
        </w:rPr>
      </w: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9"/>
          <w:szCs w:val="19"/>
        </w:rPr>
      </w:pPr>
    </w:p>
    <w:p>
      <w:pPr>
        <w:pStyle w:val="BodyText"/>
        <w:spacing w:line="477" w:lineRule="auto"/>
        <w:ind w:right="148" w:firstLine="360"/>
        <w:jc w:val="right"/>
      </w:pPr>
      <w:r>
        <w:rPr>
          <w:spacing w:val="-2"/>
        </w:rPr>
        <w:t>公司是国内较早进入临床医疗信息化的产品服务商之一，成立至今一直专注于医疗卫生信息化领域</w:t>
      </w:r>
      <w:r>
        <w:rPr>
          <w:rFonts w:ascii="宋体" w:hAnsi="宋体" w:cs="宋体" w:eastAsia="宋体" w:hint="default"/>
          <w:spacing w:val="-2"/>
        </w:rPr>
        <w:t>,</w:t>
      </w:r>
      <w:r>
        <w:rPr>
          <w:rFonts w:ascii="宋体" w:hAnsi="宋体" w:cs="宋体" w:eastAsia="宋体" w:hint="default"/>
          <w:spacing w:val="7"/>
        </w:rPr>
        <w:t> </w:t>
      </w:r>
      <w:r>
        <w:rPr/>
        <w:t>目前拥有领先的技 </w:t>
      </w:r>
      <w:r>
        <w:rPr>
          <w:spacing w:val="-2"/>
        </w:rPr>
        <w:t>术体系、较强的自主研发能力、优势的产品服务，丰富的总体解决方案大型项目实施交付经验，能够满足大型医疗机构客户</w:t>
      </w:r>
      <w:r>
        <w:rPr>
          <w:spacing w:val="-76"/>
        </w:rPr>
        <w:t> </w:t>
      </w:r>
      <w:r>
        <w:rPr>
          <w:spacing w:val="-76"/>
        </w:rPr>
      </w:r>
      <w:r>
        <w:rPr/>
        <w:t>的定制化需求，在医疗卫生信息化行业跻身前列。根据</w:t>
      </w:r>
      <w:r>
        <w:rPr>
          <w:rFonts w:ascii="宋体" w:hAnsi="宋体" w:cs="宋体" w:eastAsia="宋体" w:hint="default"/>
        </w:rPr>
        <w:t>IDC</w:t>
      </w:r>
      <w:r>
        <w:rPr/>
        <w:t>数据，公司</w:t>
      </w:r>
      <w:r>
        <w:rPr>
          <w:rFonts w:ascii="宋体" w:hAnsi="宋体" w:cs="宋体" w:eastAsia="宋体" w:hint="default"/>
        </w:rPr>
        <w:t>2016</w:t>
      </w:r>
      <w:r>
        <w:rPr/>
        <w:t>年营业收入规模在医疗行业</w:t>
      </w:r>
      <w:r>
        <w:rPr>
          <w:rFonts w:ascii="宋体" w:hAnsi="宋体" w:cs="宋体" w:eastAsia="宋体" w:hint="default"/>
        </w:rPr>
        <w:t>2016</w:t>
      </w:r>
      <w:r>
        <w:rPr/>
        <w:t>年</w:t>
      </w:r>
      <w:r>
        <w:rPr>
          <w:rFonts w:ascii="宋体" w:hAnsi="宋体" w:cs="宋体" w:eastAsia="宋体" w:hint="default"/>
        </w:rPr>
        <w:t>IT</w:t>
      </w:r>
      <w:r>
        <w:rPr/>
        <w:t>解决方案市 </w:t>
      </w:r>
      <w:r>
        <w:rPr>
          <w:spacing w:val="-4"/>
        </w:rPr>
        <w:t>场中约占</w:t>
      </w:r>
      <w:r>
        <w:rPr>
          <w:rFonts w:ascii="宋体" w:hAnsi="宋体" w:cs="宋体" w:eastAsia="宋体" w:hint="default"/>
          <w:spacing w:val="-4"/>
        </w:rPr>
        <w:t>3%</w:t>
      </w:r>
      <w:r>
        <w:rPr>
          <w:spacing w:val="-4"/>
        </w:rPr>
        <w:t>的市场份额。自成立以来，公司凭借良好的行业口碑，发展了一批以</w:t>
      </w:r>
      <w:r>
        <w:rPr>
          <w:rFonts w:ascii="宋体" w:hAnsi="宋体" w:cs="宋体" w:eastAsia="宋体" w:hint="default"/>
          <w:spacing w:val="-4"/>
        </w:rPr>
        <w:t>301</w:t>
      </w:r>
      <w:r>
        <w:rPr>
          <w:spacing w:val="-4"/>
        </w:rPr>
        <w:t>医院、西京医院、同济医院、湘雅医院、</w:t>
      </w:r>
      <w:r>
        <w:rPr>
          <w:spacing w:val="-52"/>
        </w:rPr>
        <w:t> </w:t>
      </w:r>
      <w:r>
        <w:rPr>
          <w:spacing w:val="-52"/>
        </w:rPr>
      </w:r>
      <w:r>
        <w:rPr>
          <w:spacing w:val="-4"/>
        </w:rPr>
        <w:t>湘雅二院、浙医一院、浙医二院等国内</w:t>
      </w:r>
      <w:r>
        <w:rPr>
          <w:rFonts w:ascii="宋体" w:hAnsi="宋体" w:cs="宋体" w:eastAsia="宋体" w:hint="default"/>
          <w:spacing w:val="-4"/>
        </w:rPr>
        <w:t>TOP20</w:t>
      </w:r>
      <w:r>
        <w:rPr>
          <w:spacing w:val="-4"/>
        </w:rPr>
        <w:t>的一流知名医院为代表的标杆客户，体现了公司解决方案在行业内的领先优势。</w:t>
      </w:r>
      <w:r>
        <w:rPr>
          <w:spacing w:val="-50"/>
        </w:rPr>
        <w:t> </w:t>
      </w:r>
      <w:r>
        <w:rPr>
          <w:spacing w:val="-50"/>
        </w:rPr>
      </w:r>
      <w:r>
        <w:rPr>
          <w:spacing w:val="-2"/>
        </w:rPr>
        <w:t>公司拥有一支由博士领衔，由管理专家、信息技术专家、医疗业务专家等共同组成的精英团队。公司注重产学研合作和</w:t>
      </w:r>
      <w:r>
        <w:rPr/>
        <w:t> </w:t>
      </w:r>
      <w:r>
        <w:rPr>
          <w:spacing w:val="-2"/>
        </w:rPr>
        <w:t>国际技术交流，通过持续的开拓创新，技术理念和技术成果居于行业领先地位。公司是浙江省重点企业研究院、浙江省高新</w:t>
      </w:r>
      <w:r>
        <w:rPr>
          <w:spacing w:val="-78"/>
        </w:rPr>
        <w:t> </w:t>
      </w:r>
      <w:r>
        <w:rPr>
          <w:spacing w:val="-78"/>
        </w:rPr>
      </w:r>
      <w:r>
        <w:rPr>
          <w:spacing w:val="-2"/>
        </w:rPr>
        <w:t>技术企业研发中心、浙江省博士后科研工作站，产品技术高管傅烈勇先生凭借在“军队医院集团化与面向海岛部队区域医疗</w:t>
      </w:r>
      <w:r>
        <w:rPr>
          <w:spacing w:val="-70"/>
        </w:rPr>
        <w:t> </w:t>
      </w:r>
      <w:r>
        <w:rPr>
          <w:spacing w:val="-70"/>
        </w:rPr>
      </w:r>
      <w:r>
        <w:rPr>
          <w:spacing w:val="-2"/>
        </w:rPr>
        <w:t>信息服务平台的构建”项目中做出的突出贡献，获得中国人民解放军科学技术进步奖二等奖，充分展现了公司技术人员的高</w:t>
      </w:r>
      <w:r>
        <w:rPr>
          <w:spacing w:val="-72"/>
        </w:rPr>
        <w:t> </w:t>
      </w:r>
      <w:r>
        <w:rPr>
          <w:spacing w:val="-72"/>
        </w:rPr>
      </w:r>
      <w:r>
        <w:rPr>
          <w:spacing w:val="-2"/>
        </w:rPr>
        <w:t>水平技术能力。目前，公司的浙江富阳区智慧医疗区域云平台项目已上线运营第</w:t>
      </w:r>
      <w:r>
        <w:rPr>
          <w:rFonts w:ascii="宋体" w:hAnsi="宋体" w:cs="宋体" w:eastAsia="宋体" w:hint="default"/>
          <w:spacing w:val="-2"/>
        </w:rPr>
        <w:t>5</w:t>
      </w:r>
      <w:r>
        <w:rPr>
          <w:spacing w:val="-2"/>
        </w:rPr>
        <w:t>年，服务覆盖富阳全区</w:t>
      </w:r>
      <w:r>
        <w:rPr>
          <w:rFonts w:ascii="宋体" w:hAnsi="宋体" w:cs="宋体" w:eastAsia="宋体" w:hint="default"/>
          <w:spacing w:val="-2"/>
        </w:rPr>
        <w:t>99%</w:t>
      </w:r>
      <w:r>
        <w:rPr>
          <w:spacing w:val="-2"/>
        </w:rPr>
        <w:t>的人口。富阳成</w:t>
      </w:r>
      <w:r>
        <w:rPr>
          <w:spacing w:val="-76"/>
        </w:rPr>
        <w:t> </w:t>
      </w:r>
      <w:r>
        <w:rPr>
          <w:spacing w:val="-76"/>
        </w:rPr>
      </w:r>
      <w:r>
        <w:rPr>
          <w:spacing w:val="-2"/>
        </w:rPr>
        <w:t>为</w:t>
      </w:r>
      <w:r>
        <w:rPr>
          <w:rFonts w:ascii="宋体" w:hAnsi="宋体" w:cs="宋体" w:eastAsia="宋体" w:hint="default"/>
          <w:spacing w:val="-2"/>
        </w:rPr>
        <w:t>2015</w:t>
      </w:r>
      <w:r>
        <w:rPr>
          <w:spacing w:val="-2"/>
        </w:rPr>
        <w:t>年唯一一个以“智慧医疗”入围新华社“十二五民生改善优秀案例</w:t>
      </w:r>
      <w:r>
        <w:rPr>
          <w:rFonts w:ascii="宋体" w:hAnsi="宋体" w:cs="宋体" w:eastAsia="宋体" w:hint="default"/>
          <w:spacing w:val="-2"/>
        </w:rPr>
        <w:t>50</w:t>
      </w:r>
      <w:r>
        <w:rPr>
          <w:spacing w:val="-2"/>
        </w:rPr>
        <w:t>强”的城市，并荣膺“全国民生改善十佳典范城</w:t>
      </w:r>
      <w:r>
        <w:rPr>
          <w:spacing w:val="-82"/>
        </w:rPr>
        <w:t> </w:t>
      </w:r>
      <w:r>
        <w:rPr>
          <w:spacing w:val="-82"/>
        </w:rPr>
      </w:r>
      <w:r>
        <w:rPr/>
        <w:t>市”，富阳模式也得到了国家发改委、卫计委等领导的高度评价。公司为湘雅医院定制研发的</w:t>
      </w:r>
      <w:r>
        <w:rPr>
          <w:rFonts w:ascii="宋体" w:hAnsi="宋体" w:cs="宋体" w:eastAsia="宋体" w:hint="default"/>
        </w:rPr>
        <w:t>HRP</w:t>
      </w:r>
      <w:r>
        <w:rPr/>
        <w:t>系统作为国内少有的千万 </w:t>
      </w:r>
      <w:r>
        <w:rPr>
          <w:spacing w:val="-2"/>
        </w:rPr>
        <w:t>级别体量的</w:t>
      </w:r>
      <w:r>
        <w:rPr>
          <w:rFonts w:ascii="宋体" w:hAnsi="宋体" w:cs="宋体" w:eastAsia="宋体" w:hint="default"/>
          <w:spacing w:val="-2"/>
        </w:rPr>
        <w:t>HRP</w:t>
      </w:r>
      <w:r>
        <w:rPr>
          <w:spacing w:val="-2"/>
        </w:rPr>
        <w:t>项目成功通过业主验收，湘雅医院的“基于</w:t>
      </w:r>
      <w:r>
        <w:rPr>
          <w:rFonts w:ascii="宋体" w:hAnsi="宋体" w:cs="宋体" w:eastAsia="宋体" w:hint="default"/>
          <w:spacing w:val="-2"/>
        </w:rPr>
        <w:t>HRP</w:t>
      </w:r>
      <w:r>
        <w:rPr>
          <w:spacing w:val="-2"/>
        </w:rPr>
        <w:t>与互联网的医用耗材全流程闭环管理”案例被评为</w:t>
      </w:r>
      <w:r>
        <w:rPr>
          <w:rFonts w:ascii="宋体" w:hAnsi="宋体" w:cs="宋体" w:eastAsia="宋体" w:hint="default"/>
          <w:spacing w:val="-2"/>
        </w:rPr>
        <w:t>2018</w:t>
      </w:r>
      <w:r>
        <w:rPr>
          <w:spacing w:val="-2"/>
        </w:rPr>
        <w:t>年中国</w:t>
      </w:r>
      <w:r>
        <w:rPr>
          <w:spacing w:val="-70"/>
        </w:rPr>
        <w:t> </w:t>
      </w:r>
      <w:r>
        <w:rPr>
          <w:spacing w:val="-70"/>
        </w:rPr>
      </w:r>
      <w:r>
        <w:rPr>
          <w:spacing w:val="-1"/>
        </w:rPr>
        <w:t>医院管理奖“信息管理”</w:t>
      </w:r>
      <w:r>
        <w:rPr>
          <w:rFonts w:ascii="宋体" w:hAnsi="宋体" w:cs="宋体" w:eastAsia="宋体" w:hint="default"/>
          <w:spacing w:val="-1"/>
        </w:rPr>
        <w:t>TOP10</w:t>
      </w:r>
      <w:r>
        <w:rPr>
          <w:spacing w:val="-1"/>
        </w:rPr>
        <w:t>价值案例。该系统基于</w:t>
      </w:r>
      <w:r>
        <w:rPr>
          <w:rFonts w:ascii="宋体" w:hAnsi="宋体" w:cs="宋体" w:eastAsia="宋体" w:hint="default"/>
          <w:spacing w:val="-1"/>
        </w:rPr>
        <w:t>SAP</w:t>
      </w:r>
      <w:r>
        <w:rPr>
          <w:rFonts w:ascii="宋体" w:hAnsi="宋体" w:cs="宋体" w:eastAsia="宋体" w:hint="default"/>
          <w:spacing w:val="-30"/>
        </w:rPr>
        <w:t> </w:t>
      </w:r>
      <w:r>
        <w:rPr>
          <w:rFonts w:ascii="宋体" w:hAnsi="宋体" w:cs="宋体" w:eastAsia="宋体" w:hint="default"/>
          <w:spacing w:val="-1"/>
        </w:rPr>
        <w:t>ERP</w:t>
      </w:r>
      <w:r>
        <w:rPr>
          <w:spacing w:val="-1"/>
        </w:rPr>
        <w:t>先进的管理思想和技术，融合湘雅医院的管理理念、流程和信</w:t>
      </w:r>
      <w:r>
        <w:rPr/>
        <w:t> </w:t>
      </w:r>
      <w:r>
        <w:rPr>
          <w:spacing w:val="-2"/>
        </w:rPr>
        <w:t>息资源，能够实现数据互联互通不错不漏，实现医疗业务数据、运营管理数据、财务数据一体化管理，业务财务系统实时信</w:t>
      </w:r>
    </w:p>
    <w:p>
      <w:pPr>
        <w:pStyle w:val="BodyText"/>
        <w:spacing w:line="240" w:lineRule="auto" w:before="54"/>
        <w:ind w:right="0"/>
        <w:jc w:val="left"/>
      </w:pPr>
      <w:r>
        <w:rPr/>
        <w:t>息同步共享，代表国内医院精细化管理的新高度。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9"/>
        <w:gridCol w:w="6519"/>
      </w:tblGrid>
      <w:tr>
        <w:trPr>
          <w:trHeight w:val="186"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医疗信息化产品生产基地本报告期达到预定可使用状态，部分自用，部分出租。</w:t>
            </w: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医疗信息化产品生产基地本报告期达到预定可使用状态，部分自用，部分出租。</w:t>
            </w: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医疗信息化产品生产基地本报告期达到预定可使用状态，部分自用，部分出租。</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186" w:top="1100" w:bottom="1380" w:left="980" w:right="980"/>
        </w:sectPr>
      </w:pPr>
    </w:p>
    <w:p>
      <w:pPr>
        <w:spacing w:line="240" w:lineRule="auto" w:before="10"/>
        <w:rPr>
          <w:rFonts w:ascii="宋体" w:hAnsi="宋体" w:cs="宋体" w:eastAsia="宋体" w:hint="default"/>
          <w:sz w:val="19"/>
          <w:szCs w:val="19"/>
        </w:rPr>
      </w:pPr>
    </w:p>
    <w:p>
      <w:pPr>
        <w:pStyle w:val="Heading2"/>
        <w:spacing w:line="240" w:lineRule="auto" w:before="26"/>
        <w:ind w:right="94"/>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Heading7"/>
        <w:spacing w:line="240" w:lineRule="auto"/>
        <w:ind w:right="94"/>
        <w:jc w:val="left"/>
        <w:rPr>
          <w:b w:val="0"/>
          <w:bCs w:val="0"/>
        </w:rPr>
      </w:pPr>
      <w:r>
        <w:rPr>
          <w:rFonts w:ascii="宋体" w:hAnsi="宋体" w:cs="宋体" w:eastAsia="宋体" w:hint="default"/>
        </w:rPr>
        <w:t>1</w:t>
      </w:r>
      <w:r>
        <w:rPr/>
        <w:t>、基于临床核心产品的整体解决方案能力</w:t>
      </w:r>
      <w:r>
        <w:rPr>
          <w:b w:val="0"/>
          <w:bCs w:val="0"/>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9"/>
          <w:szCs w:val="19"/>
        </w:rPr>
      </w:pPr>
    </w:p>
    <w:p>
      <w:pPr>
        <w:pStyle w:val="BodyText"/>
        <w:spacing w:line="477" w:lineRule="auto"/>
        <w:ind w:right="193" w:firstLine="360"/>
        <w:jc w:val="both"/>
      </w:pPr>
      <w:r>
        <w:rPr>
          <w:spacing w:val="-2"/>
        </w:rPr>
        <w:t>公司基于对医疗机构的业务流程、组织编制、管理模式、技术环境和操作习惯等应用场景和业务的深刻理解，以临床数</w:t>
      </w:r>
      <w:r>
        <w:rPr/>
        <w:t> </w:t>
      </w:r>
      <w:r>
        <w:rPr>
          <w:spacing w:val="-5"/>
        </w:rPr>
        <w:t>据的互联互通为核心，根据数据采集、融合、应用的思路，为医疗机构提供具有顶层设计的全院级别智慧医院整体解决方案。</w:t>
      </w:r>
    </w:p>
    <w:p>
      <w:pPr>
        <w:pStyle w:val="BodyText"/>
        <w:spacing w:line="477" w:lineRule="auto" w:before="55"/>
        <w:ind w:right="94" w:firstLine="360"/>
        <w:jc w:val="left"/>
      </w:pPr>
      <w:r>
        <w:rPr>
          <w:spacing w:val="-4"/>
        </w:rPr>
        <w:t>首先，基于公司顾问式的咨询服务能力，整体解决方案的顶层设计思路使得公司与医院之间不仅是简单的产品销售关系，</w:t>
      </w:r>
      <w:r>
        <w:rPr/>
        <w:t> </w:t>
      </w:r>
      <w:r>
        <w:rPr>
          <w:spacing w:val="-2"/>
        </w:rPr>
        <w:t>而是包括需求分析、流程优化、方案设计、定制化开发、系统实施、总体运维等环节在内的全方位合作。公司整体解决方案</w:t>
      </w:r>
      <w:r>
        <w:rPr>
          <w:spacing w:val="-70"/>
        </w:rPr>
        <w:t> </w:t>
      </w:r>
      <w:r>
        <w:rPr>
          <w:spacing w:val="-70"/>
        </w:rPr>
      </w:r>
      <w:r>
        <w:rPr>
          <w:spacing w:val="-2"/>
        </w:rPr>
        <w:t>定位于大型医院全院级别信息应用的系统工程，充分考虑了大型医院全科室、大门诊量、应用软件繁杂等业务特征，以电子</w:t>
      </w:r>
      <w:r>
        <w:rPr>
          <w:spacing w:val="-64"/>
        </w:rPr>
        <w:t> </w:t>
      </w:r>
      <w:r>
        <w:rPr>
          <w:spacing w:val="-64"/>
        </w:rPr>
      </w:r>
      <w:r>
        <w:rPr/>
        <w:t>病历为核心，结合定制化需求开发，构建临床医疗管理信息平台。</w:t>
      </w:r>
    </w:p>
    <w:p>
      <w:pPr>
        <w:pStyle w:val="BodyText"/>
        <w:spacing w:line="477" w:lineRule="auto" w:before="54"/>
        <w:ind w:right="189" w:firstLine="451"/>
        <w:jc w:val="both"/>
      </w:pPr>
      <w:r>
        <w:rPr/>
        <w:t>其次，凭借以自有临床产品为核心的整体解决方案，公司占据了医疗信息化建设的核心位置。临床数据处理是医院信 </w:t>
      </w:r>
      <w:r>
        <w:rPr>
          <w:spacing w:val="-2"/>
        </w:rPr>
        <w:t>息系统的核心，公司的高端结构化电子病历系统是医院医护人员的临床业务操作系统，是医护一体化的业务管理平台，是完</w:t>
      </w:r>
      <w:r>
        <w:rPr>
          <w:spacing w:val="-62"/>
        </w:rPr>
        <w:t> </w:t>
      </w:r>
      <w:r>
        <w:rPr>
          <w:spacing w:val="-62"/>
        </w:rPr>
      </w:r>
      <w:r>
        <w:rPr/>
        <w:t>整纪录临床行为、完整采集并融合临床数据的医院核心业务系统。公司通过集成平台与</w:t>
      </w:r>
      <w:r>
        <w:rPr>
          <w:rFonts w:ascii="宋体" w:hAnsi="宋体" w:cs="宋体" w:eastAsia="宋体" w:hint="default"/>
        </w:rPr>
        <w:t>HIS</w:t>
      </w:r>
      <w:r>
        <w:rPr/>
        <w:t>（医院信息系统）、</w:t>
      </w:r>
      <w:r>
        <w:rPr>
          <w:rFonts w:ascii="宋体" w:hAnsi="宋体" w:cs="宋体" w:eastAsia="宋体" w:hint="default"/>
        </w:rPr>
        <w:t>PACS</w:t>
      </w:r>
      <w:r>
        <w:rPr/>
        <w:t>（影像</w:t>
      </w:r>
      <w:r>
        <w:rPr>
          <w:spacing w:val="-85"/>
        </w:rPr>
        <w:t> </w:t>
      </w:r>
      <w:r>
        <w:rPr>
          <w:spacing w:val="-85"/>
        </w:rPr>
      </w:r>
      <w:r>
        <w:rPr>
          <w:spacing w:val="-5"/>
        </w:rPr>
        <w:t>存档传输系统）、</w:t>
      </w:r>
      <w:r>
        <w:rPr>
          <w:rFonts w:ascii="宋体" w:hAnsi="宋体" w:cs="宋体" w:eastAsia="宋体" w:hint="default"/>
          <w:spacing w:val="-5"/>
        </w:rPr>
        <w:t>RIS</w:t>
      </w:r>
      <w:r>
        <w:rPr>
          <w:spacing w:val="-5"/>
        </w:rPr>
        <w:t>（放射信息系统）、</w:t>
      </w:r>
      <w:r>
        <w:rPr>
          <w:rFonts w:ascii="宋体" w:hAnsi="宋体" w:cs="宋体" w:eastAsia="宋体" w:hint="default"/>
          <w:spacing w:val="-5"/>
        </w:rPr>
        <w:t>LIS</w:t>
      </w:r>
      <w:r>
        <w:rPr>
          <w:spacing w:val="-5"/>
        </w:rPr>
        <w:t>（检验信息系统）等众多医院其他信息系统进行数据的实时、双向的互联互通；</w:t>
      </w:r>
      <w:r>
        <w:rPr>
          <w:spacing w:val="-65"/>
        </w:rPr>
        <w:t> </w:t>
      </w:r>
      <w:r>
        <w:rPr>
          <w:spacing w:val="-65"/>
        </w:rPr>
      </w:r>
      <w:r>
        <w:rPr>
          <w:spacing w:val="-2"/>
        </w:rPr>
        <w:t>将病人分散在各个系统中的数据按照一元化、标准化、结构化的原则进行数据的采集、融合，形成院级临床数据中心，并统</w:t>
      </w:r>
      <w:r>
        <w:rPr>
          <w:spacing w:val="-67"/>
        </w:rPr>
        <w:t> </w:t>
      </w:r>
      <w:r>
        <w:rPr>
          <w:spacing w:val="-67"/>
        </w:rPr>
      </w:r>
      <w:r>
        <w:rPr/>
        <w:t>一从数据中心支撑各项数据应用。</w:t>
      </w:r>
    </w:p>
    <w:p>
      <w:pPr>
        <w:pStyle w:val="BodyText"/>
        <w:spacing w:line="477" w:lineRule="auto" w:before="52"/>
        <w:ind w:right="189" w:firstLine="360"/>
        <w:jc w:val="both"/>
      </w:pPr>
      <w:r>
        <w:rPr>
          <w:spacing w:val="-2"/>
        </w:rPr>
        <w:t>公司紧跟互联网技术发展与应用，结合医疗机构的业务需求，将医院的院内诊疗服务延伸至线上和院外。公司的云医院</w:t>
      </w:r>
      <w:r>
        <w:rPr/>
        <w:t> </w:t>
      </w:r>
      <w:r>
        <w:rPr>
          <w:spacing w:val="-2"/>
        </w:rPr>
        <w:t>解决方案将通过互联网工具向患者提供分时段预约挂号、排队叫号、就诊导航、报告查询、历次电子病历查询、在线综合支</w:t>
      </w:r>
      <w:r>
        <w:rPr>
          <w:spacing w:val="-67"/>
        </w:rPr>
        <w:t> </w:t>
      </w:r>
      <w:r>
        <w:rPr>
          <w:spacing w:val="-67"/>
        </w:rPr>
      </w:r>
      <w:r>
        <w:rPr/>
        <w:t>付、随访及满意度点评、医患互动等各种惠民就医服务，帮助医院提高患者服务能力和服务水平。</w:t>
      </w:r>
    </w:p>
    <w:p>
      <w:pPr>
        <w:pStyle w:val="BodyText"/>
        <w:spacing w:line="477" w:lineRule="auto" w:before="54"/>
        <w:ind w:right="195" w:firstLine="360"/>
        <w:jc w:val="both"/>
      </w:pPr>
      <w:r>
        <w:rPr>
          <w:spacing w:val="-2"/>
        </w:rPr>
        <w:t>随着医疗机构的集团化发展的趋势与政府监管的新变化新要求，公司发展了集团化医院、医联体、医共体、城市级智慧</w:t>
      </w:r>
      <w:r>
        <w:rPr/>
        <w:t> 医疗等多种业务形态的解决方案，将公司在院内的流程、系统、数据的服务能力延伸至院间和区域。</w:t>
      </w:r>
    </w:p>
    <w:p>
      <w:pPr>
        <w:spacing w:line="240" w:lineRule="auto" w:before="2"/>
        <w:rPr>
          <w:rFonts w:ascii="宋体" w:hAnsi="宋体" w:cs="宋体" w:eastAsia="宋体" w:hint="default"/>
          <w:sz w:val="24"/>
          <w:szCs w:val="24"/>
        </w:rPr>
      </w:pPr>
    </w:p>
    <w:p>
      <w:pPr>
        <w:pStyle w:val="Heading7"/>
        <w:spacing w:line="240" w:lineRule="auto"/>
        <w:ind w:right="94"/>
        <w:jc w:val="left"/>
        <w:rPr>
          <w:b w:val="0"/>
          <w:bCs w:val="0"/>
        </w:rPr>
      </w:pPr>
      <w:r>
        <w:rPr>
          <w:rFonts w:ascii="宋体" w:hAnsi="宋体" w:cs="宋体" w:eastAsia="宋体" w:hint="default"/>
        </w:rPr>
        <w:t>2</w:t>
      </w:r>
      <w:r>
        <w:rPr/>
        <w:t>、先进的技术水平与持续的创新能力</w:t>
      </w:r>
      <w:r>
        <w:rPr>
          <w:b w:val="0"/>
          <w:bCs w:val="0"/>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9"/>
          <w:szCs w:val="19"/>
        </w:rPr>
      </w:pPr>
    </w:p>
    <w:p>
      <w:pPr>
        <w:pStyle w:val="BodyText"/>
        <w:spacing w:line="477" w:lineRule="auto"/>
        <w:ind w:right="191" w:firstLine="360"/>
        <w:jc w:val="both"/>
      </w:pPr>
      <w:r>
        <w:rPr>
          <w:spacing w:val="-2"/>
        </w:rPr>
        <w:t>不同于标准化产品起步的软件产品公司技术路线，公司产品在研发设计之初即以医院客户的临床需求为导向，以一流医</w:t>
      </w:r>
      <w:r>
        <w:rPr/>
        <w:t> </w:t>
      </w:r>
      <w:r>
        <w:rPr>
          <w:spacing w:val="-2"/>
        </w:rPr>
        <w:t>院客户为产品迭代成熟环境，以医护人员的实际业务操作效果为检验，公司的产品及方案的应用水平和适配性在行业中处于</w:t>
      </w:r>
      <w:r>
        <w:rPr>
          <w:spacing w:val="-63"/>
        </w:rPr>
        <w:t> </w:t>
      </w:r>
      <w:r>
        <w:rPr>
          <w:spacing w:val="-63"/>
        </w:rPr>
      </w:r>
      <w:r>
        <w:rPr>
          <w:spacing w:val="-2"/>
        </w:rPr>
        <w:t>前列。公司电子病历系统参照原卫生部电子病历评级规范的最高级要求进行设计、开发，拥有独立医疗数据中心和信息集成</w:t>
      </w:r>
      <w:r>
        <w:rPr>
          <w:spacing w:val="-65"/>
        </w:rPr>
        <w:t> </w:t>
      </w:r>
      <w:r>
        <w:rPr>
          <w:spacing w:val="-65"/>
        </w:rPr>
      </w:r>
      <w:r>
        <w:rPr>
          <w:spacing w:val="-2"/>
        </w:rPr>
        <w:t>平台，符合国际规范的统一数据标准，实现完全结构化的医疗文档管理系统，便于临床信息的浏览和处理，适应标准更新和</w:t>
      </w:r>
      <w:r>
        <w:rPr>
          <w:spacing w:val="-65"/>
        </w:rPr>
        <w:t> </w:t>
      </w:r>
      <w:r>
        <w:rPr>
          <w:spacing w:val="-65"/>
        </w:rPr>
      </w:r>
      <w:r>
        <w:rPr/>
        <w:t>流程变化的可扩展性，能够实现多种临床功能和医嘱闭环管理，支持区域医疗信息平台扩展。</w:t>
      </w:r>
    </w:p>
    <w:p>
      <w:pPr>
        <w:spacing w:after="0" w:line="477" w:lineRule="auto"/>
        <w:jc w:val="both"/>
        <w:sectPr>
          <w:footerReference w:type="default" r:id="rId13"/>
          <w:pgSz w:w="11910" w:h="16840"/>
          <w:pgMar w:footer="1186" w:header="877" w:top="1100" w:bottom="1380" w:left="980" w:right="940"/>
          <w:pgNumType w:start="14"/>
        </w:sectPr>
      </w:pPr>
    </w:p>
    <w:p>
      <w:pPr>
        <w:spacing w:line="240" w:lineRule="auto" w:before="12"/>
        <w:rPr>
          <w:rFonts w:ascii="宋体" w:hAnsi="宋体" w:cs="宋体" w:eastAsia="宋体" w:hint="default"/>
          <w:sz w:val="27"/>
          <w:szCs w:val="27"/>
        </w:rPr>
      </w:pPr>
    </w:p>
    <w:p>
      <w:pPr>
        <w:pStyle w:val="BodyText"/>
        <w:spacing w:line="477" w:lineRule="auto" w:before="44"/>
        <w:ind w:right="94" w:firstLine="360"/>
        <w:jc w:val="left"/>
      </w:pPr>
      <w:r>
        <w:rPr>
          <w:spacing w:val="-4"/>
        </w:rPr>
        <w:t>同时，公司在与国内顶尖大型三甲医院的合作过程中，加强了对医院的医疗信息化需求的把握和对临床业务流程的理解，</w:t>
      </w:r>
      <w:r>
        <w:rPr/>
        <w:t> 能够借助丰富的医疗专家资源与珍贵的临床试验机会有效降低公司的研发风险，大幅提高了公司的研发效率与产品适用性。</w:t>
      </w:r>
      <w:r>
        <w:rPr>
          <w:spacing w:val="-83"/>
        </w:rPr>
        <w:t> </w:t>
      </w:r>
      <w:r>
        <w:rPr>
          <w:spacing w:val="-83"/>
        </w:rPr>
      </w:r>
      <w:r>
        <w:rPr/>
        <w:t>公司基于原有电子病历系统开发的</w:t>
      </w:r>
      <w:r>
        <w:rPr>
          <w:rFonts w:ascii="宋体" w:hAnsi="宋体" w:cs="宋体" w:eastAsia="宋体" w:hint="default"/>
        </w:rPr>
        <w:t>HIS(</w:t>
      </w:r>
      <w:r>
        <w:rPr/>
        <w:t>医院信息系统</w:t>
      </w:r>
      <w:r>
        <w:rPr>
          <w:rFonts w:ascii="宋体" w:hAnsi="宋体" w:cs="宋体" w:eastAsia="宋体" w:hint="default"/>
        </w:rPr>
        <w:t>)</w:t>
      </w:r>
      <w:r>
        <w:rPr/>
        <w:t>和电子病历系统一体化的新一代医院信息系统，是国内目前规模最大</w:t>
      </w:r>
      <w:r>
        <w:rPr>
          <w:spacing w:val="-85"/>
        </w:rPr>
        <w:t> </w:t>
      </w:r>
      <w:r>
        <w:rPr>
          <w:spacing w:val="-85"/>
        </w:rPr>
      </w:r>
      <w:r>
        <w:rPr/>
        <w:t>的基于</w:t>
      </w:r>
      <w:r>
        <w:rPr>
          <w:rFonts w:ascii="宋体" w:hAnsi="宋体" w:cs="宋体" w:eastAsia="宋体" w:hint="default"/>
        </w:rPr>
        <w:t>HTML5</w:t>
      </w:r>
      <w:r>
        <w:rPr/>
        <w:t>和云计算技术的新一代医院核心业务系统，支持云部署、集团化医院和医联体的应用。同时，该系统将急诊系</w:t>
      </w:r>
      <w:r>
        <w:rPr>
          <w:spacing w:val="-85"/>
        </w:rPr>
        <w:t> </w:t>
      </w:r>
      <w:r>
        <w:rPr>
          <w:spacing w:val="-85"/>
        </w:rPr>
      </w:r>
      <w:r>
        <w:rPr/>
        <w:t>统、分诊、移动医疗、临床路径、</w:t>
      </w:r>
      <w:r>
        <w:rPr>
          <w:rFonts w:ascii="宋体" w:hAnsi="宋体" w:cs="宋体" w:eastAsia="宋体" w:hint="default"/>
        </w:rPr>
        <w:t>HRP</w:t>
      </w:r>
      <w:r>
        <w:rPr/>
        <w:t>（医院资源管理系统）、感染监控等业务系统整体纳入一体化系统的业务管理范围，</w:t>
      </w:r>
      <w:r>
        <w:rPr>
          <w:spacing w:val="-83"/>
        </w:rPr>
        <w:t> </w:t>
      </w:r>
      <w:r>
        <w:rPr>
          <w:spacing w:val="-83"/>
        </w:rPr>
      </w:r>
      <w:r>
        <w:rPr/>
        <w:t>形成了医院核心业务的一体化管理系统。</w:t>
      </w:r>
    </w:p>
    <w:p>
      <w:pPr>
        <w:spacing w:line="240" w:lineRule="auto" w:before="2"/>
        <w:rPr>
          <w:rFonts w:ascii="宋体" w:hAnsi="宋体" w:cs="宋体" w:eastAsia="宋体" w:hint="default"/>
          <w:sz w:val="24"/>
          <w:szCs w:val="24"/>
        </w:rPr>
      </w:pPr>
    </w:p>
    <w:p>
      <w:pPr>
        <w:pStyle w:val="Heading7"/>
        <w:spacing w:line="240" w:lineRule="auto"/>
        <w:ind w:right="94"/>
        <w:jc w:val="left"/>
        <w:rPr>
          <w:b w:val="0"/>
          <w:bCs w:val="0"/>
        </w:rPr>
      </w:pPr>
      <w:r>
        <w:rPr>
          <w:rFonts w:ascii="宋体" w:hAnsi="宋体" w:cs="宋体" w:eastAsia="宋体" w:hint="default"/>
        </w:rPr>
        <w:t>3</w:t>
      </w:r>
      <w:r>
        <w:rPr/>
        <w:t>、全生命周期的管家式服务水平</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9"/>
          <w:szCs w:val="19"/>
        </w:rPr>
      </w:pPr>
    </w:p>
    <w:p>
      <w:pPr>
        <w:pStyle w:val="BodyText"/>
        <w:spacing w:line="477" w:lineRule="auto"/>
        <w:ind w:right="94" w:firstLine="360"/>
        <w:jc w:val="left"/>
      </w:pPr>
      <w:r>
        <w:rPr/>
        <w:t>公司基于对客户需求的实时响应，为客户提供全生命周期的管家式服务，形成咨询、建设、优化、运维、升级的闭环。 </w:t>
      </w:r>
      <w:r>
        <w:rPr>
          <w:spacing w:val="-2"/>
        </w:rPr>
        <w:t>公司建立了成熟规范的市场化运作机制，在合作关系建立、客户需求调查、技术预研、项目实施、现场运维响应和技术服务</w:t>
      </w:r>
      <w:r>
        <w:rPr>
          <w:spacing w:val="-67"/>
        </w:rPr>
        <w:t> </w:t>
      </w:r>
      <w:r>
        <w:rPr>
          <w:spacing w:val="-67"/>
        </w:rPr>
      </w:r>
      <w:r>
        <w:rPr>
          <w:spacing w:val="-2"/>
        </w:rPr>
        <w:t>等环节均能较高效率的开展相关工作，满足了客户在服务效率等方面的要求。此外，公司依托项目开发和运维服务，全面及</w:t>
      </w:r>
      <w:r>
        <w:rPr>
          <w:spacing w:val="-64"/>
        </w:rPr>
        <w:t> </w:t>
      </w:r>
      <w:r>
        <w:rPr>
          <w:spacing w:val="-64"/>
        </w:rPr>
      </w:r>
      <w:r>
        <w:rPr>
          <w:spacing w:val="-2"/>
        </w:rPr>
        <w:t>时的收集了客户需求信息，通过深入分析有预见性地实施技术研发、针对性地开展技术攻关，提升了技术服务水平和客户满</w:t>
      </w:r>
      <w:r>
        <w:rPr>
          <w:spacing w:val="-63"/>
        </w:rPr>
        <w:t> </w:t>
      </w:r>
      <w:r>
        <w:rPr>
          <w:spacing w:val="-63"/>
        </w:rPr>
      </w:r>
      <w:r>
        <w:rPr/>
        <w:t>意度。公司的服务质量取得了多家客户的好评，具备较为明显的服务优势。</w:t>
      </w:r>
    </w:p>
    <w:p>
      <w:pPr>
        <w:spacing w:line="240" w:lineRule="auto" w:before="2"/>
        <w:rPr>
          <w:rFonts w:ascii="宋体" w:hAnsi="宋体" w:cs="宋体" w:eastAsia="宋体" w:hint="default"/>
          <w:sz w:val="24"/>
          <w:szCs w:val="24"/>
        </w:rPr>
      </w:pPr>
    </w:p>
    <w:p>
      <w:pPr>
        <w:pStyle w:val="Heading7"/>
        <w:spacing w:line="240" w:lineRule="auto"/>
        <w:ind w:right="94"/>
        <w:jc w:val="left"/>
        <w:rPr>
          <w:b w:val="0"/>
          <w:bCs w:val="0"/>
        </w:rPr>
      </w:pPr>
      <w:r>
        <w:rPr>
          <w:rFonts w:ascii="宋体" w:hAnsi="宋体" w:cs="宋体" w:eastAsia="宋体" w:hint="default"/>
        </w:rPr>
        <w:t>4</w:t>
      </w:r>
      <w:r>
        <w:rPr/>
        <w:t>、具有优质客户资源与良好品牌形象</w:t>
      </w:r>
      <w:r>
        <w:rPr>
          <w:b w:val="0"/>
          <w:bCs w:val="0"/>
        </w:rPr>
      </w: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9"/>
          <w:szCs w:val="19"/>
        </w:rPr>
      </w:pPr>
    </w:p>
    <w:p>
      <w:pPr>
        <w:pStyle w:val="BodyText"/>
        <w:spacing w:line="477" w:lineRule="auto"/>
        <w:ind w:right="94" w:firstLine="360"/>
        <w:jc w:val="left"/>
      </w:pPr>
      <w:r>
        <w:rPr>
          <w:spacing w:val="-2"/>
        </w:rPr>
        <w:t>经过多年的市场开拓和业务经营，公司已与军队系统医疗机构、浙江、湖南、天津、湖北、陕西、广西等地方的国内一</w:t>
      </w:r>
      <w:r>
        <w:rPr/>
        <w:t> </w:t>
      </w:r>
      <w:r>
        <w:rPr>
          <w:spacing w:val="-2"/>
        </w:rPr>
        <w:t>流大型医疗机构建立了长期广泛的业务合作关系。公司在临床信息化领域技术储备丰富，特别是在军队和地方大型医疗机构</w:t>
      </w:r>
      <w:r>
        <w:rPr>
          <w:spacing w:val="-64"/>
        </w:rPr>
        <w:t> </w:t>
      </w:r>
      <w:r>
        <w:rPr>
          <w:spacing w:val="-64"/>
        </w:rPr>
      </w:r>
      <w:r>
        <w:rPr>
          <w:spacing w:val="-2"/>
        </w:rPr>
        <w:t>中，公司已积累了较多的成功案例，积累了成熟的实施管理经验，树立了良好的品牌形象。公司通过对大型医疗机构的需求</w:t>
      </w:r>
      <w:r>
        <w:rPr>
          <w:spacing w:val="-65"/>
        </w:rPr>
        <w:t> </w:t>
      </w:r>
      <w:r>
        <w:rPr>
          <w:spacing w:val="-65"/>
        </w:rPr>
      </w:r>
      <w:r>
        <w:rPr/>
        <w:t>进行持续跟踪、针对性地实施产品开发、提供高质量的技术服务，与其保持了稳定的合作关系。通过长期稳定的合作关系，</w:t>
      </w:r>
      <w:r>
        <w:rPr>
          <w:spacing w:val="-83"/>
        </w:rPr>
        <w:t> </w:t>
      </w:r>
      <w:r>
        <w:rPr>
          <w:spacing w:val="-83"/>
        </w:rPr>
      </w:r>
      <w:r>
        <w:rPr>
          <w:spacing w:val="-2"/>
        </w:rPr>
        <w:t>公司也较早的深度挖掘了大型医疗机构的前沿需求，针对共性需求进行新产品新业务的研发，从而保障了公司业务的持续发</w:t>
      </w:r>
      <w:r>
        <w:rPr>
          <w:spacing w:val="-63"/>
        </w:rPr>
        <w:t> </w:t>
      </w:r>
      <w:r>
        <w:rPr>
          <w:spacing w:val="-63"/>
        </w:rPr>
      </w:r>
      <w:r>
        <w:rPr/>
        <w:t>展和持续领先性。</w:t>
      </w:r>
    </w:p>
    <w:p>
      <w:pPr>
        <w:spacing w:line="240" w:lineRule="auto" w:before="2"/>
        <w:rPr>
          <w:rFonts w:ascii="宋体" w:hAnsi="宋体" w:cs="宋体" w:eastAsia="宋体" w:hint="default"/>
          <w:sz w:val="24"/>
          <w:szCs w:val="24"/>
        </w:rPr>
      </w:pPr>
    </w:p>
    <w:p>
      <w:pPr>
        <w:pStyle w:val="Heading7"/>
        <w:spacing w:line="240" w:lineRule="auto"/>
        <w:ind w:right="94"/>
        <w:jc w:val="left"/>
        <w:rPr>
          <w:b w:val="0"/>
          <w:bCs w:val="0"/>
        </w:rPr>
      </w:pPr>
      <w:r>
        <w:rPr>
          <w:rFonts w:ascii="宋体" w:hAnsi="宋体" w:cs="宋体" w:eastAsia="宋体" w:hint="default"/>
        </w:rPr>
        <w:t>5</w:t>
      </w:r>
      <w:r>
        <w:rPr/>
        <w:t>、稳定的管理团队与高素质人才优势</w:t>
      </w:r>
      <w:r>
        <w:rPr>
          <w:b w:val="0"/>
          <w:bCs w:val="0"/>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9"/>
          <w:szCs w:val="19"/>
        </w:rPr>
      </w:pPr>
    </w:p>
    <w:p>
      <w:pPr>
        <w:pStyle w:val="BodyText"/>
        <w:spacing w:line="477" w:lineRule="auto"/>
        <w:ind w:right="94" w:firstLine="360"/>
        <w:jc w:val="left"/>
      </w:pPr>
      <w:r>
        <w:rPr>
          <w:spacing w:val="-2"/>
        </w:rPr>
        <w:t>公司管理团队有较高学历背景，行业经验丰富，团队稳定，战略规划清晰，规范意识较强。同时，医疗信息化业务需要</w:t>
      </w:r>
      <w:r>
        <w:rPr/>
        <w:t> 兼具信息技术和医疗业务的复合型人才，项目管理人员需具备丰富的大中型项目管理经验、较高的执行效率，能有效组织、</w:t>
      </w:r>
      <w:r>
        <w:rPr>
          <w:spacing w:val="-83"/>
        </w:rPr>
        <w:t> </w:t>
      </w:r>
      <w:r>
        <w:rPr>
          <w:spacing w:val="-83"/>
        </w:rPr>
      </w:r>
      <w:r>
        <w:rPr>
          <w:spacing w:val="-2"/>
        </w:rPr>
        <w:t>部署和开展项目工作；技术人员需要熟悉行业内的多种系统协议、标准和规范，熟练应用多种系统开发技术，对医疗机构的</w:t>
      </w:r>
      <w:r>
        <w:rPr>
          <w:spacing w:val="-64"/>
        </w:rPr>
        <w:t> </w:t>
      </w:r>
      <w:r>
        <w:rPr>
          <w:spacing w:val="-64"/>
        </w:rPr>
      </w:r>
      <w:r>
        <w:rPr>
          <w:spacing w:val="-2"/>
        </w:rPr>
        <w:t>信息化现状、业务流程、管理模式和使用习惯有清晰的了解；业务人员需要具备较强的沟通能力、文档交付能力和快速反应</w:t>
      </w:r>
      <w:r>
        <w:rPr>
          <w:spacing w:val="-64"/>
        </w:rPr>
        <w:t> </w:t>
      </w:r>
      <w:r>
        <w:rPr>
          <w:spacing w:val="-64"/>
        </w:rPr>
      </w:r>
      <w:r>
        <w:rPr>
          <w:spacing w:val="-2"/>
        </w:rPr>
        <w:t>能力，能够准确把握和深入挖掘客户信息化需求。公司经过多年的经验积累，现已构建了具有丰富项目实施经验和复合专业</w:t>
      </w:r>
      <w:r>
        <w:rPr>
          <w:spacing w:val="-62"/>
        </w:rPr>
        <w:t> </w:t>
      </w:r>
      <w:r>
        <w:rPr>
          <w:spacing w:val="-62"/>
        </w:rPr>
      </w:r>
      <w:r>
        <w:rPr/>
        <w:t>背景的产品研发团队、解决方案咨询团队和现场实施团队，保证了公司项目销售、实施和产品研发的高效。</w:t>
      </w:r>
    </w:p>
    <w:p>
      <w:pPr>
        <w:spacing w:after="0" w:line="477" w:lineRule="auto"/>
        <w:jc w:val="left"/>
        <w:sectPr>
          <w:pgSz w:w="11910" w:h="16840"/>
          <w:pgMar w:header="877" w:footer="1186" w:top="1100" w:bottom="13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557" w:right="0"/>
        <w:jc w:val="left"/>
        <w:rPr>
          <w:b w:val="0"/>
          <w:bCs w:val="0"/>
        </w:rPr>
      </w:pPr>
      <w:bookmarkStart w:name="_bookmark2" w:id="3"/>
      <w:bookmarkEnd w:id="3"/>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left="532" w:right="0"/>
        <w:jc w:val="left"/>
        <w:rPr>
          <w:b w:val="0"/>
          <w:bCs w:val="0"/>
        </w:rPr>
      </w:pP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32" w:right="542" w:firstLine="360"/>
        <w:jc w:val="both"/>
      </w:pPr>
      <w:r>
        <w:rPr>
          <w:rFonts w:ascii="宋体" w:hAnsi="宋体" w:cs="宋体" w:eastAsia="宋体" w:hint="default"/>
          <w:spacing w:val="-1"/>
        </w:rPr>
        <w:t>2017</w:t>
      </w:r>
      <w:r>
        <w:rPr>
          <w:spacing w:val="-1"/>
        </w:rPr>
        <w:t>年，公司管理层根据发展战略，结合当期市场形势，致力于产品研发和市场的拓展，在激烈的市场竞争环境下，报告期</w:t>
      </w:r>
      <w:r>
        <w:rPr/>
        <w:t> </w:t>
      </w:r>
      <w:r>
        <w:rPr>
          <w:spacing w:val="-1"/>
        </w:rPr>
        <w:t>内，公司实现营业收入</w:t>
      </w:r>
      <w:r>
        <w:rPr>
          <w:rFonts w:ascii="宋体" w:hAnsi="宋体" w:cs="宋体" w:eastAsia="宋体" w:hint="default"/>
          <w:spacing w:val="-1"/>
        </w:rPr>
        <w:t>27,625.79</w:t>
      </w:r>
      <w:r>
        <w:rPr>
          <w:spacing w:val="-1"/>
        </w:rPr>
        <w:t>万元，比上年同期增长</w:t>
      </w:r>
      <w:r>
        <w:rPr>
          <w:rFonts w:ascii="宋体" w:hAnsi="宋体" w:cs="宋体" w:eastAsia="宋体" w:hint="default"/>
          <w:spacing w:val="-1"/>
        </w:rPr>
        <w:t>17.24%</w:t>
      </w:r>
      <w:r>
        <w:rPr>
          <w:spacing w:val="-1"/>
        </w:rPr>
        <w:t>；实现营业利润</w:t>
      </w:r>
      <w:r>
        <w:rPr>
          <w:rFonts w:ascii="宋体" w:hAnsi="宋体" w:cs="宋体" w:eastAsia="宋体" w:hint="default"/>
          <w:spacing w:val="-1"/>
        </w:rPr>
        <w:t>3,744.39</w:t>
      </w:r>
      <w:r>
        <w:rPr>
          <w:spacing w:val="-1"/>
        </w:rPr>
        <w:t>万元，比上年同期减少</w:t>
      </w:r>
      <w:r>
        <w:rPr>
          <w:rFonts w:ascii="宋体" w:hAnsi="宋体" w:cs="宋体" w:eastAsia="宋体" w:hint="default"/>
          <w:spacing w:val="-1"/>
        </w:rPr>
        <w:t>8.73%</w:t>
      </w:r>
      <w:r>
        <w:rPr>
          <w:spacing w:val="-1"/>
        </w:rPr>
        <w:t>；实现归属</w:t>
      </w:r>
      <w:r>
        <w:rPr>
          <w:spacing w:val="-54"/>
        </w:rPr>
        <w:t> </w:t>
      </w:r>
      <w:r>
        <w:rPr>
          <w:spacing w:val="-54"/>
        </w:rPr>
      </w:r>
      <w:r>
        <w:rPr/>
        <w:t>于上市公司股东的净利润</w:t>
      </w:r>
      <w:r>
        <w:rPr>
          <w:rFonts w:ascii="宋体" w:hAnsi="宋体" w:cs="宋体" w:eastAsia="宋体" w:hint="default"/>
        </w:rPr>
        <w:t>3,290.46</w:t>
      </w:r>
      <w:r>
        <w:rPr/>
        <w:t>万元，比上年同期减少</w:t>
      </w:r>
      <w:r>
        <w:rPr>
          <w:rFonts w:ascii="宋体" w:hAnsi="宋体" w:cs="宋体" w:eastAsia="宋体" w:hint="default"/>
        </w:rPr>
        <w:t>36.81%</w:t>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日，公司资产总额为</w:t>
      </w:r>
      <w:r>
        <w:rPr>
          <w:rFonts w:ascii="宋体" w:hAnsi="宋体" w:cs="宋体" w:eastAsia="宋体" w:hint="default"/>
        </w:rPr>
        <w:t>69,292.06</w:t>
      </w:r>
      <w:r>
        <w:rPr/>
        <w:t>万元，同比</w:t>
      </w:r>
      <w:r>
        <w:rPr>
          <w:spacing w:val="-36"/>
        </w:rPr>
        <w:t> </w:t>
      </w:r>
      <w:r>
        <w:rPr>
          <w:spacing w:val="-36"/>
        </w:rPr>
      </w:r>
      <w:r>
        <w:rPr/>
        <w:t>增长</w:t>
      </w:r>
      <w:r>
        <w:rPr>
          <w:rFonts w:ascii="宋体" w:hAnsi="宋体" w:cs="宋体" w:eastAsia="宋体" w:hint="default"/>
        </w:rPr>
        <w:t>17.65%</w:t>
      </w:r>
      <w:r>
        <w:rPr/>
        <w:t>。归属于上市公司股东的净资产</w:t>
      </w:r>
      <w:r>
        <w:rPr>
          <w:rFonts w:ascii="宋体" w:hAnsi="宋体" w:cs="宋体" w:eastAsia="宋体" w:hint="default"/>
        </w:rPr>
        <w:t>50,484.00</w:t>
      </w:r>
      <w:r>
        <w:rPr/>
        <w:t>万元</w:t>
      </w:r>
      <w:r>
        <w:rPr>
          <w:rFonts w:ascii="宋体" w:hAnsi="宋体" w:cs="宋体" w:eastAsia="宋体" w:hint="default"/>
        </w:rPr>
        <w:t>,</w:t>
      </w:r>
      <w:r>
        <w:rPr/>
        <w:t>同比增长</w:t>
      </w:r>
      <w:r>
        <w:rPr>
          <w:rFonts w:ascii="宋体" w:hAnsi="宋体" w:cs="宋体" w:eastAsia="宋体" w:hint="default"/>
        </w:rPr>
        <w:t>5.19%</w:t>
      </w:r>
      <w:r>
        <w:rPr/>
        <w:t>。</w:t>
      </w:r>
    </w:p>
    <w:p>
      <w:pPr>
        <w:pStyle w:val="BodyText"/>
        <w:spacing w:line="240" w:lineRule="auto" w:before="54"/>
        <w:ind w:left="893" w:right="0"/>
        <w:jc w:val="left"/>
      </w:pPr>
      <w:r>
        <w:rPr/>
        <w:t>报告期内公司总体经营情况如下：</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7"/>
        <w:spacing w:line="240" w:lineRule="auto"/>
        <w:ind w:left="893" w:right="0"/>
        <w:jc w:val="left"/>
        <w:rPr>
          <w:b w:val="0"/>
          <w:bCs w:val="0"/>
        </w:rPr>
      </w:pPr>
      <w:r>
        <w:rPr>
          <w:rFonts w:ascii="宋体" w:hAnsi="宋体" w:cs="宋体" w:eastAsia="宋体" w:hint="default"/>
        </w:rPr>
        <w:t>1</w:t>
      </w:r>
      <w:r>
        <w:rPr/>
        <w:t>、</w:t>
      </w:r>
      <w:r>
        <w:rPr>
          <w:spacing w:val="-5"/>
        </w:rPr>
        <w:t> </w:t>
      </w:r>
      <w:r>
        <w:rPr/>
        <w:t>新产品开发与技术升级有序进行</w:t>
      </w:r>
      <w:r>
        <w:rPr>
          <w:b w:val="0"/>
          <w:bCs w:val="0"/>
        </w:rPr>
      </w: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9"/>
          <w:szCs w:val="19"/>
        </w:rPr>
      </w:pPr>
    </w:p>
    <w:p>
      <w:pPr>
        <w:pStyle w:val="BodyText"/>
        <w:spacing w:line="477" w:lineRule="auto"/>
        <w:ind w:left="532" w:right="543" w:firstLine="360"/>
        <w:jc w:val="both"/>
      </w:pPr>
      <w:r>
        <w:rPr>
          <w:spacing w:val="-1"/>
        </w:rPr>
        <w:t>报告期内，公司不断完善电子病历系统功能模块及应用延伸开发，提高以电子病历为核心的临床医疗信息系统的综合应用能</w:t>
      </w:r>
      <w:r>
        <w:rPr/>
        <w:t> </w:t>
      </w:r>
      <w:r>
        <w:rPr>
          <w:spacing w:val="-1"/>
        </w:rPr>
        <w:t>力；针对专科医院、县级医院进行有针对性的产品开发，通过专科电子病历、区域电子病历的开发，丰富公司产品结构，提高客</w:t>
      </w:r>
      <w:r>
        <w:rPr>
          <w:spacing w:val="-51"/>
        </w:rPr>
        <w:t> </w:t>
      </w:r>
      <w:r>
        <w:rPr>
          <w:spacing w:val="-51"/>
        </w:rPr>
      </w:r>
      <w:r>
        <w:rPr/>
        <w:t>户覆盖能力。</w:t>
      </w:r>
    </w:p>
    <w:p>
      <w:pPr>
        <w:pStyle w:val="BodyText"/>
        <w:spacing w:line="477" w:lineRule="auto" w:before="54"/>
        <w:ind w:left="532" w:right="541" w:firstLine="360"/>
        <w:jc w:val="both"/>
      </w:pPr>
      <w:r>
        <w:rPr>
          <w:rFonts w:ascii="宋体" w:hAnsi="宋体" w:cs="宋体" w:eastAsia="宋体" w:hint="default"/>
          <w:spacing w:val="-1"/>
        </w:rPr>
        <w:t>2017</w:t>
      </w:r>
      <w:r>
        <w:rPr>
          <w:spacing w:val="-1"/>
        </w:rPr>
        <w:t>年公司研发的新一代医院信息系统进行了“种子”客户的试点应用，系统已经成功在该医院分院上线运行。新一代医院</w:t>
      </w:r>
      <w:r>
        <w:rPr/>
        <w:t> 管理信息系统采用了</w:t>
      </w:r>
      <w:r>
        <w:rPr>
          <w:rFonts w:ascii="宋体" w:hAnsi="宋体" w:cs="宋体" w:eastAsia="宋体" w:hint="default"/>
        </w:rPr>
        <w:t>B/S</w:t>
      </w:r>
      <w:r>
        <w:rPr/>
        <w:t>、云计算、</w:t>
      </w:r>
      <w:r>
        <w:rPr>
          <w:rFonts w:ascii="宋体" w:hAnsi="宋体" w:cs="宋体" w:eastAsia="宋体" w:hint="default"/>
        </w:rPr>
        <w:t>SOA</w:t>
      </w:r>
      <w:r>
        <w:rPr/>
        <w:t>、</w:t>
      </w:r>
      <w:r>
        <w:rPr>
          <w:rFonts w:ascii="宋体" w:hAnsi="宋体" w:cs="宋体" w:eastAsia="宋体" w:hint="default"/>
        </w:rPr>
        <w:t>REST</w:t>
      </w:r>
      <w:r>
        <w:rPr>
          <w:rFonts w:ascii="宋体" w:hAnsi="宋体" w:cs="宋体" w:eastAsia="宋体" w:hint="default"/>
          <w:spacing w:val="39"/>
        </w:rPr>
        <w:t> </w:t>
      </w:r>
      <w:r>
        <w:rPr>
          <w:rFonts w:ascii="宋体" w:hAnsi="宋体" w:cs="宋体" w:eastAsia="宋体" w:hint="default"/>
        </w:rPr>
        <w:t>API</w:t>
      </w:r>
      <w:r>
        <w:rPr/>
        <w:t>、</w:t>
      </w:r>
      <w:r>
        <w:rPr>
          <w:rFonts w:ascii="宋体" w:hAnsi="宋体" w:cs="宋体" w:eastAsia="宋体" w:hint="default"/>
        </w:rPr>
        <w:t>Html5</w:t>
      </w:r>
      <w:r>
        <w:rPr/>
        <w:t>等新技术，打破原有</w:t>
      </w:r>
      <w:r>
        <w:rPr>
          <w:rFonts w:ascii="宋体" w:hAnsi="宋体" w:cs="宋体" w:eastAsia="宋体" w:hint="default"/>
        </w:rPr>
        <w:t>HIS</w:t>
      </w:r>
      <w:r>
        <w:rPr/>
        <w:t>、</w:t>
      </w:r>
      <w:r>
        <w:rPr>
          <w:rFonts w:ascii="宋体" w:hAnsi="宋体" w:cs="宋体" w:eastAsia="宋体" w:hint="default"/>
        </w:rPr>
        <w:t>EMRS</w:t>
      </w:r>
      <w:r>
        <w:rPr/>
        <w:t>、</w:t>
      </w:r>
      <w:r>
        <w:rPr>
          <w:rFonts w:ascii="宋体" w:hAnsi="宋体" w:cs="宋体" w:eastAsia="宋体" w:hint="default"/>
        </w:rPr>
        <w:t>HRP</w:t>
      </w:r>
      <w:r>
        <w:rPr/>
        <w:t>系统条线，底层实现了一套核心</w:t>
      </w:r>
      <w:r>
        <w:rPr>
          <w:spacing w:val="-77"/>
        </w:rPr>
        <w:t> </w:t>
      </w:r>
      <w:r>
        <w:rPr>
          <w:spacing w:val="-77"/>
        </w:rPr>
      </w:r>
      <w:r>
        <w:rPr/>
        <w:t>业务逻辑的服务接口，为公司核心技术的持续领先奠定了坚实基础。</w:t>
      </w:r>
    </w:p>
    <w:p>
      <w:pPr>
        <w:pStyle w:val="BodyText"/>
        <w:spacing w:line="211" w:lineRule="exact"/>
        <w:ind w:left="893" w:right="0"/>
        <w:jc w:val="left"/>
      </w:pPr>
      <w:r>
        <w:rPr/>
        <w:t>报告期内公司新增的计算机软件著作权明细如下：</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663"/>
        <w:gridCol w:w="1831"/>
        <w:gridCol w:w="1484"/>
        <w:gridCol w:w="1755"/>
        <w:gridCol w:w="1644"/>
        <w:gridCol w:w="1150"/>
        <w:gridCol w:w="1030"/>
        <w:gridCol w:w="1354"/>
      </w:tblGrid>
      <w:tr>
        <w:trPr>
          <w:trHeight w:val="324"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软件名称</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著作权人</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登记日期</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首次发表日期</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7"/>
              <w:jc w:val="right"/>
              <w:rPr>
                <w:rFonts w:ascii="宋体" w:hAnsi="宋体" w:cs="宋体" w:eastAsia="宋体" w:hint="default"/>
                <w:sz w:val="18"/>
                <w:szCs w:val="18"/>
              </w:rPr>
            </w:pPr>
            <w:r>
              <w:rPr>
                <w:rFonts w:ascii="宋体" w:hAnsi="宋体" w:cs="宋体" w:eastAsia="宋体" w:hint="default"/>
                <w:sz w:val="18"/>
                <w:szCs w:val="18"/>
              </w:rPr>
              <w:t>取得方式</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他项权利</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登记号</w:t>
            </w:r>
          </w:p>
        </w:tc>
      </w:tr>
      <w:tr>
        <w:trPr>
          <w:trHeight w:val="634"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273"/>
              <w:jc w:val="left"/>
              <w:rPr>
                <w:rFonts w:ascii="宋体" w:hAnsi="宋体" w:cs="宋体" w:eastAsia="宋体" w:hint="default"/>
                <w:sz w:val="18"/>
                <w:szCs w:val="18"/>
              </w:rPr>
            </w:pPr>
            <w:r>
              <w:rPr>
                <w:rFonts w:ascii="宋体" w:hAnsi="宋体" w:cs="宋体" w:eastAsia="宋体" w:hint="default"/>
                <w:sz w:val="18"/>
                <w:szCs w:val="18"/>
              </w:rPr>
              <w:t>和仁移动医生站系 统软件</w:t>
            </w:r>
            <w:r>
              <w:rPr>
                <w:rFonts w:ascii="宋体" w:hAnsi="宋体" w:cs="宋体" w:eastAsia="宋体" w:hint="default"/>
                <w:spacing w:val="-45"/>
                <w:sz w:val="18"/>
                <w:szCs w:val="18"/>
              </w:rPr>
              <w:t> </w:t>
            </w:r>
            <w:r>
              <w:rPr>
                <w:rFonts w:ascii="宋体" w:hAnsi="宋体" w:cs="宋体" w:eastAsia="宋体" w:hint="default"/>
                <w:sz w:val="18"/>
                <w:szCs w:val="18"/>
              </w:rPr>
              <w:t>V2.0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浙江和仁科技股 份有限公司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2017SR215621</w:t>
            </w:r>
          </w:p>
        </w:tc>
      </w:tr>
      <w:tr>
        <w:trPr>
          <w:trHeight w:val="634"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273"/>
              <w:jc w:val="left"/>
              <w:rPr>
                <w:rFonts w:ascii="宋体" w:hAnsi="宋体" w:cs="宋体" w:eastAsia="宋体" w:hint="default"/>
                <w:sz w:val="18"/>
                <w:szCs w:val="18"/>
              </w:rPr>
            </w:pPr>
            <w:r>
              <w:rPr>
                <w:rFonts w:ascii="宋体" w:hAnsi="宋体" w:cs="宋体" w:eastAsia="宋体" w:hint="default"/>
                <w:sz w:val="18"/>
                <w:szCs w:val="18"/>
              </w:rPr>
              <w:t>和仁日间病房管理 系统软件</w:t>
            </w:r>
            <w:r>
              <w:rPr>
                <w:rFonts w:ascii="宋体" w:hAnsi="宋体" w:cs="宋体" w:eastAsia="宋体" w:hint="default"/>
                <w:spacing w:val="-45"/>
                <w:sz w:val="18"/>
                <w:szCs w:val="18"/>
              </w:rPr>
              <w:t> </w:t>
            </w:r>
            <w:r>
              <w:rPr>
                <w:rFonts w:ascii="宋体" w:hAnsi="宋体" w:cs="宋体" w:eastAsia="宋体" w:hint="default"/>
                <w:sz w:val="18"/>
                <w:szCs w:val="18"/>
              </w:rPr>
              <w:t>V2.0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浙江和仁科技股 份有限公司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2017SR215628</w:t>
            </w:r>
          </w:p>
        </w:tc>
      </w:tr>
      <w:tr>
        <w:trPr>
          <w:trHeight w:val="634"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273"/>
              <w:jc w:val="left"/>
              <w:rPr>
                <w:rFonts w:ascii="宋体" w:hAnsi="宋体" w:cs="宋体" w:eastAsia="宋体" w:hint="default"/>
                <w:sz w:val="18"/>
                <w:szCs w:val="18"/>
              </w:rPr>
            </w:pPr>
            <w:r>
              <w:rPr>
                <w:rFonts w:ascii="宋体" w:hAnsi="宋体" w:cs="宋体" w:eastAsia="宋体" w:hint="default"/>
                <w:sz w:val="18"/>
                <w:szCs w:val="18"/>
              </w:rPr>
              <w:t>和仁检查科室管理 系统软件</w:t>
            </w:r>
            <w:r>
              <w:rPr>
                <w:rFonts w:ascii="宋体" w:hAnsi="宋体" w:cs="宋体" w:eastAsia="宋体" w:hint="default"/>
                <w:spacing w:val="-45"/>
                <w:sz w:val="18"/>
                <w:szCs w:val="18"/>
              </w:rPr>
              <w:t> </w:t>
            </w:r>
            <w:r>
              <w:rPr>
                <w:rFonts w:ascii="宋体" w:hAnsi="宋体" w:cs="宋体" w:eastAsia="宋体" w:hint="default"/>
                <w:sz w:val="18"/>
                <w:szCs w:val="18"/>
              </w:rPr>
              <w:t>V2.0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浙江和仁科技股 份有限公司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2017SR215635</w:t>
            </w:r>
          </w:p>
        </w:tc>
      </w:tr>
      <w:tr>
        <w:trPr>
          <w:trHeight w:val="634"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273"/>
              <w:jc w:val="left"/>
              <w:rPr>
                <w:rFonts w:ascii="宋体" w:hAnsi="宋体" w:cs="宋体" w:eastAsia="宋体" w:hint="default"/>
                <w:sz w:val="18"/>
                <w:szCs w:val="18"/>
              </w:rPr>
            </w:pPr>
            <w:r>
              <w:rPr>
                <w:rFonts w:ascii="宋体" w:hAnsi="宋体" w:cs="宋体" w:eastAsia="宋体" w:hint="default"/>
                <w:sz w:val="18"/>
                <w:szCs w:val="18"/>
              </w:rPr>
              <w:t>和仁门诊治疗室系 统软件</w:t>
            </w:r>
            <w:r>
              <w:rPr>
                <w:rFonts w:ascii="宋体" w:hAnsi="宋体" w:cs="宋体" w:eastAsia="宋体" w:hint="default"/>
                <w:spacing w:val="-45"/>
                <w:sz w:val="18"/>
                <w:szCs w:val="18"/>
              </w:rPr>
              <w:t> </w:t>
            </w:r>
            <w:r>
              <w:rPr>
                <w:rFonts w:ascii="宋体" w:hAnsi="宋体" w:cs="宋体" w:eastAsia="宋体" w:hint="default"/>
                <w:sz w:val="18"/>
                <w:szCs w:val="18"/>
              </w:rPr>
              <w:t>V2.0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浙江和仁科技股 份有限公司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2017SR215641</w:t>
            </w:r>
          </w:p>
        </w:tc>
      </w:tr>
      <w:tr>
        <w:trPr>
          <w:trHeight w:val="634"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273"/>
              <w:jc w:val="left"/>
              <w:rPr>
                <w:rFonts w:ascii="宋体" w:hAnsi="宋体" w:cs="宋体" w:eastAsia="宋体" w:hint="default"/>
                <w:sz w:val="18"/>
                <w:szCs w:val="18"/>
              </w:rPr>
            </w:pPr>
            <w:r>
              <w:rPr>
                <w:rFonts w:ascii="宋体" w:hAnsi="宋体" w:cs="宋体" w:eastAsia="宋体" w:hint="default"/>
                <w:sz w:val="18"/>
                <w:szCs w:val="18"/>
              </w:rPr>
              <w:t>和仁医院信息系统 软件</w:t>
            </w:r>
            <w:r>
              <w:rPr>
                <w:rFonts w:ascii="宋体" w:hAnsi="宋体" w:cs="宋体" w:eastAsia="宋体" w:hint="default"/>
                <w:spacing w:val="-45"/>
                <w:sz w:val="18"/>
                <w:szCs w:val="18"/>
              </w:rPr>
              <w:t> </w:t>
            </w:r>
            <w:r>
              <w:rPr>
                <w:rFonts w:ascii="宋体" w:hAnsi="宋体" w:cs="宋体" w:eastAsia="宋体" w:hint="default"/>
                <w:sz w:val="18"/>
                <w:szCs w:val="18"/>
              </w:rPr>
              <w:t>V2.0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浙江和仁科技股 份有限公司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2017SR215748</w:t>
            </w:r>
          </w:p>
        </w:tc>
      </w:tr>
      <w:tr>
        <w:trPr>
          <w:trHeight w:val="636"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273"/>
              <w:jc w:val="left"/>
              <w:rPr>
                <w:rFonts w:ascii="宋体" w:hAnsi="宋体" w:cs="宋体" w:eastAsia="宋体" w:hint="default"/>
                <w:sz w:val="18"/>
                <w:szCs w:val="18"/>
              </w:rPr>
            </w:pPr>
            <w:r>
              <w:rPr>
                <w:rFonts w:ascii="宋体" w:hAnsi="宋体" w:cs="宋体" w:eastAsia="宋体" w:hint="default"/>
                <w:sz w:val="18"/>
                <w:szCs w:val="18"/>
              </w:rPr>
              <w:t>和仁体检管理系统 软件</w:t>
            </w:r>
            <w:r>
              <w:rPr>
                <w:rFonts w:ascii="宋体" w:hAnsi="宋体" w:cs="宋体" w:eastAsia="宋体" w:hint="default"/>
                <w:spacing w:val="-45"/>
                <w:sz w:val="18"/>
                <w:szCs w:val="18"/>
              </w:rPr>
              <w:t> </w:t>
            </w:r>
            <w:r>
              <w:rPr>
                <w:rFonts w:ascii="宋体" w:hAnsi="宋体" w:cs="宋体" w:eastAsia="宋体" w:hint="default"/>
                <w:sz w:val="18"/>
                <w:szCs w:val="18"/>
              </w:rPr>
              <w:t>V2.0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0"/>
              <w:jc w:val="left"/>
              <w:rPr>
                <w:rFonts w:ascii="宋体" w:hAnsi="宋体" w:cs="宋体" w:eastAsia="宋体" w:hint="default"/>
                <w:sz w:val="18"/>
                <w:szCs w:val="18"/>
              </w:rPr>
            </w:pPr>
            <w:r>
              <w:rPr>
                <w:rFonts w:ascii="宋体" w:hAnsi="宋体" w:cs="宋体" w:eastAsia="宋体" w:hint="default"/>
                <w:sz w:val="18"/>
                <w:szCs w:val="18"/>
              </w:rPr>
              <w:t>浙江和仁科技股 份有限公司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2017SR215754</w:t>
            </w:r>
          </w:p>
        </w:tc>
      </w:tr>
      <w:tr>
        <w:trPr>
          <w:trHeight w:val="634"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273"/>
              <w:jc w:val="left"/>
              <w:rPr>
                <w:rFonts w:ascii="宋体" w:hAnsi="宋体" w:cs="宋体" w:eastAsia="宋体" w:hint="default"/>
                <w:sz w:val="18"/>
                <w:szCs w:val="18"/>
              </w:rPr>
            </w:pPr>
            <w:r>
              <w:rPr>
                <w:rFonts w:ascii="宋体" w:hAnsi="宋体" w:cs="宋体" w:eastAsia="宋体" w:hint="default"/>
                <w:sz w:val="18"/>
                <w:szCs w:val="18"/>
              </w:rPr>
              <w:t>和仁血库管理系统 软件</w:t>
            </w:r>
            <w:r>
              <w:rPr>
                <w:rFonts w:ascii="宋体" w:hAnsi="宋体" w:cs="宋体" w:eastAsia="宋体" w:hint="default"/>
                <w:spacing w:val="-45"/>
                <w:sz w:val="18"/>
                <w:szCs w:val="18"/>
              </w:rPr>
              <w:t> </w:t>
            </w:r>
            <w:r>
              <w:rPr>
                <w:rFonts w:ascii="宋体" w:hAnsi="宋体" w:cs="宋体" w:eastAsia="宋体" w:hint="default"/>
                <w:sz w:val="18"/>
                <w:szCs w:val="18"/>
              </w:rPr>
              <w:t>V2.0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浙江和仁科技股 份有限公司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2017SR215757</w:t>
            </w:r>
          </w:p>
        </w:tc>
      </w:tr>
      <w:tr>
        <w:trPr>
          <w:trHeight w:val="634"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273"/>
              <w:jc w:val="left"/>
              <w:rPr>
                <w:rFonts w:ascii="宋体" w:hAnsi="宋体" w:cs="宋体" w:eastAsia="宋体" w:hint="default"/>
                <w:sz w:val="18"/>
                <w:szCs w:val="18"/>
              </w:rPr>
            </w:pPr>
            <w:r>
              <w:rPr>
                <w:rFonts w:ascii="宋体" w:hAnsi="宋体" w:cs="宋体" w:eastAsia="宋体" w:hint="default"/>
                <w:sz w:val="18"/>
                <w:szCs w:val="18"/>
              </w:rPr>
              <w:t>和仁临床路径管理 系统软件</w:t>
            </w:r>
            <w:r>
              <w:rPr>
                <w:rFonts w:ascii="宋体" w:hAnsi="宋体" w:cs="宋体" w:eastAsia="宋体" w:hint="default"/>
                <w:spacing w:val="-45"/>
                <w:sz w:val="18"/>
                <w:szCs w:val="18"/>
              </w:rPr>
              <w:t> </w:t>
            </w:r>
            <w:r>
              <w:rPr>
                <w:rFonts w:ascii="宋体" w:hAnsi="宋体" w:cs="宋体" w:eastAsia="宋体" w:hint="default"/>
                <w:sz w:val="18"/>
                <w:szCs w:val="18"/>
              </w:rPr>
              <w:t>V2.0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浙江和仁科技股 份有限公司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2017SR215763</w:t>
            </w:r>
          </w:p>
        </w:tc>
      </w:tr>
    </w:tbl>
    <w:p>
      <w:pPr>
        <w:spacing w:after="0" w:line="240" w:lineRule="auto"/>
        <w:jc w:val="center"/>
        <w:rPr>
          <w:rFonts w:ascii="宋体" w:hAnsi="宋体" w:cs="宋体" w:eastAsia="宋体" w:hint="default"/>
          <w:sz w:val="18"/>
          <w:szCs w:val="18"/>
        </w:rPr>
        <w:sectPr>
          <w:headerReference w:type="default" r:id="rId14"/>
          <w:footerReference w:type="default" r:id="rId15"/>
          <w:pgSz w:w="11910" w:h="16840"/>
          <w:pgMar w:header="877" w:footer="1186" w:top="1100" w:bottom="1380" w:left="600" w:right="160"/>
          <w:pgNumType w:start="16"/>
        </w:sectPr>
      </w:pPr>
    </w:p>
    <w:p>
      <w:pPr>
        <w:spacing w:line="240" w:lineRule="auto" w:before="8"/>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663"/>
        <w:gridCol w:w="1831"/>
        <w:gridCol w:w="1484"/>
        <w:gridCol w:w="1755"/>
        <w:gridCol w:w="1644"/>
        <w:gridCol w:w="1150"/>
        <w:gridCol w:w="1030"/>
        <w:gridCol w:w="1354"/>
      </w:tblGrid>
      <w:tr>
        <w:trPr>
          <w:trHeight w:val="634"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273"/>
              <w:jc w:val="left"/>
              <w:rPr>
                <w:rFonts w:ascii="宋体" w:hAnsi="宋体" w:cs="宋体" w:eastAsia="宋体" w:hint="default"/>
                <w:sz w:val="18"/>
                <w:szCs w:val="18"/>
              </w:rPr>
            </w:pPr>
            <w:r>
              <w:rPr>
                <w:rFonts w:ascii="宋体" w:hAnsi="宋体" w:cs="宋体" w:eastAsia="宋体" w:hint="default"/>
                <w:sz w:val="18"/>
                <w:szCs w:val="18"/>
              </w:rPr>
              <w:t>和仁移动护士站系 统软件</w:t>
            </w:r>
            <w:r>
              <w:rPr>
                <w:rFonts w:ascii="宋体" w:hAnsi="宋体" w:cs="宋体" w:eastAsia="宋体" w:hint="default"/>
                <w:spacing w:val="-45"/>
                <w:sz w:val="18"/>
                <w:szCs w:val="18"/>
              </w:rPr>
              <w:t> </w:t>
            </w:r>
            <w:r>
              <w:rPr>
                <w:rFonts w:ascii="宋体" w:hAnsi="宋体" w:cs="宋体" w:eastAsia="宋体" w:hint="default"/>
                <w:sz w:val="18"/>
                <w:szCs w:val="18"/>
              </w:rPr>
              <w:t>V2.0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浙江和仁科技股 份有限公司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15"/>
              <w:jc w:val="right"/>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27"/>
              <w:jc w:val="right"/>
              <w:rPr>
                <w:rFonts w:ascii="宋体" w:hAnsi="宋体" w:cs="宋体" w:eastAsia="宋体" w:hint="default"/>
                <w:sz w:val="18"/>
                <w:szCs w:val="18"/>
              </w:rPr>
            </w:pPr>
            <w:r>
              <w:rPr>
                <w:rFonts w:ascii="宋体"/>
                <w:spacing w:val="-1"/>
                <w:sz w:val="18"/>
              </w:rPr>
              <w:t>2017SR215775</w:t>
            </w:r>
          </w:p>
        </w:tc>
      </w:tr>
      <w:tr>
        <w:trPr>
          <w:trHeight w:val="634"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10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273"/>
              <w:jc w:val="left"/>
              <w:rPr>
                <w:rFonts w:ascii="宋体" w:hAnsi="宋体" w:cs="宋体" w:eastAsia="宋体" w:hint="default"/>
                <w:sz w:val="18"/>
                <w:szCs w:val="18"/>
              </w:rPr>
            </w:pPr>
            <w:r>
              <w:rPr>
                <w:rFonts w:ascii="宋体" w:hAnsi="宋体" w:cs="宋体" w:eastAsia="宋体" w:hint="default"/>
                <w:sz w:val="18"/>
                <w:szCs w:val="18"/>
              </w:rPr>
              <w:t>和仁医疗接口服务 软件</w:t>
            </w:r>
            <w:r>
              <w:rPr>
                <w:rFonts w:ascii="宋体" w:hAnsi="宋体" w:cs="宋体" w:eastAsia="宋体" w:hint="default"/>
                <w:spacing w:val="-45"/>
                <w:sz w:val="18"/>
                <w:szCs w:val="18"/>
              </w:rPr>
              <w:t> </w:t>
            </w:r>
            <w:r>
              <w:rPr>
                <w:rFonts w:ascii="宋体" w:hAnsi="宋体" w:cs="宋体" w:eastAsia="宋体" w:hint="default"/>
                <w:sz w:val="18"/>
                <w:szCs w:val="18"/>
              </w:rPr>
              <w:t>V2.0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浙江和仁科技股 份有限公司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15"/>
              <w:jc w:val="right"/>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7"/>
              <w:jc w:val="right"/>
              <w:rPr>
                <w:rFonts w:ascii="宋体" w:hAnsi="宋体" w:cs="宋体" w:eastAsia="宋体" w:hint="default"/>
                <w:sz w:val="18"/>
                <w:szCs w:val="18"/>
              </w:rPr>
            </w:pPr>
            <w:r>
              <w:rPr>
                <w:rFonts w:ascii="宋体"/>
                <w:spacing w:val="-1"/>
                <w:sz w:val="18"/>
              </w:rPr>
              <w:t>2017SR215819</w:t>
            </w:r>
          </w:p>
        </w:tc>
      </w:tr>
      <w:tr>
        <w:trPr>
          <w:trHeight w:val="634"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11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273"/>
              <w:jc w:val="left"/>
              <w:rPr>
                <w:rFonts w:ascii="宋体" w:hAnsi="宋体" w:cs="宋体" w:eastAsia="宋体" w:hint="default"/>
                <w:sz w:val="18"/>
                <w:szCs w:val="18"/>
              </w:rPr>
            </w:pPr>
            <w:r>
              <w:rPr>
                <w:rFonts w:ascii="宋体" w:hAnsi="宋体" w:cs="宋体" w:eastAsia="宋体" w:hint="default"/>
                <w:sz w:val="18"/>
                <w:szCs w:val="18"/>
              </w:rPr>
              <w:t>和仁智能分诊系统 软件</w:t>
            </w:r>
            <w:r>
              <w:rPr>
                <w:rFonts w:ascii="宋体" w:hAnsi="宋体" w:cs="宋体" w:eastAsia="宋体" w:hint="default"/>
                <w:spacing w:val="-45"/>
                <w:sz w:val="18"/>
                <w:szCs w:val="18"/>
              </w:rPr>
              <w:t> </w:t>
            </w:r>
            <w:r>
              <w:rPr>
                <w:rFonts w:ascii="宋体" w:hAnsi="宋体" w:cs="宋体" w:eastAsia="宋体" w:hint="default"/>
                <w:sz w:val="18"/>
                <w:szCs w:val="18"/>
              </w:rPr>
              <w:t>V2.0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浙江和仁科技股 份有限公司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15"/>
              <w:jc w:val="right"/>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7"/>
              <w:jc w:val="right"/>
              <w:rPr>
                <w:rFonts w:ascii="宋体" w:hAnsi="宋体" w:cs="宋体" w:eastAsia="宋体" w:hint="default"/>
                <w:sz w:val="18"/>
                <w:szCs w:val="18"/>
              </w:rPr>
            </w:pPr>
            <w:r>
              <w:rPr>
                <w:rFonts w:ascii="宋体"/>
                <w:spacing w:val="-1"/>
                <w:sz w:val="18"/>
              </w:rPr>
              <w:t>2017SR228375</w:t>
            </w:r>
          </w:p>
        </w:tc>
      </w:tr>
      <w:tr>
        <w:trPr>
          <w:trHeight w:val="636"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12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273"/>
              <w:jc w:val="left"/>
              <w:rPr>
                <w:rFonts w:ascii="宋体" w:hAnsi="宋体" w:cs="宋体" w:eastAsia="宋体" w:hint="default"/>
                <w:sz w:val="18"/>
                <w:szCs w:val="18"/>
              </w:rPr>
            </w:pPr>
            <w:r>
              <w:rPr>
                <w:rFonts w:ascii="宋体" w:hAnsi="宋体" w:cs="宋体" w:eastAsia="宋体" w:hint="default"/>
                <w:sz w:val="18"/>
                <w:szCs w:val="18"/>
              </w:rPr>
              <w:t>和仁急诊信息系统 软件</w:t>
            </w:r>
            <w:r>
              <w:rPr>
                <w:rFonts w:ascii="宋体" w:hAnsi="宋体" w:cs="宋体" w:eastAsia="宋体" w:hint="default"/>
                <w:spacing w:val="-45"/>
                <w:sz w:val="18"/>
                <w:szCs w:val="18"/>
              </w:rPr>
              <w:t> </w:t>
            </w:r>
            <w:r>
              <w:rPr>
                <w:rFonts w:ascii="宋体" w:hAnsi="宋体" w:cs="宋体" w:eastAsia="宋体" w:hint="default"/>
                <w:sz w:val="18"/>
                <w:szCs w:val="18"/>
              </w:rPr>
              <w:t>V2.0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0"/>
              <w:jc w:val="left"/>
              <w:rPr>
                <w:rFonts w:ascii="宋体" w:hAnsi="宋体" w:cs="宋体" w:eastAsia="宋体" w:hint="default"/>
                <w:sz w:val="18"/>
                <w:szCs w:val="18"/>
              </w:rPr>
            </w:pPr>
            <w:r>
              <w:rPr>
                <w:rFonts w:ascii="宋体" w:hAnsi="宋体" w:cs="宋体" w:eastAsia="宋体" w:hint="default"/>
                <w:sz w:val="18"/>
                <w:szCs w:val="18"/>
              </w:rPr>
              <w:t>浙江和仁科技股 份有限公司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15"/>
              <w:jc w:val="right"/>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7"/>
              <w:jc w:val="right"/>
              <w:rPr>
                <w:rFonts w:ascii="宋体" w:hAnsi="宋体" w:cs="宋体" w:eastAsia="宋体" w:hint="default"/>
                <w:sz w:val="18"/>
                <w:szCs w:val="18"/>
              </w:rPr>
            </w:pPr>
            <w:r>
              <w:rPr>
                <w:rFonts w:ascii="宋体"/>
                <w:spacing w:val="-1"/>
                <w:sz w:val="18"/>
              </w:rPr>
              <w:t>2017SR228024</w:t>
            </w:r>
          </w:p>
        </w:tc>
      </w:tr>
      <w:tr>
        <w:trPr>
          <w:trHeight w:val="634"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13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273"/>
              <w:jc w:val="left"/>
              <w:rPr>
                <w:rFonts w:ascii="宋体" w:hAnsi="宋体" w:cs="宋体" w:eastAsia="宋体" w:hint="default"/>
                <w:sz w:val="18"/>
                <w:szCs w:val="18"/>
              </w:rPr>
            </w:pPr>
            <w:r>
              <w:rPr>
                <w:rFonts w:ascii="宋体" w:hAnsi="宋体" w:cs="宋体" w:eastAsia="宋体" w:hint="default"/>
                <w:sz w:val="18"/>
                <w:szCs w:val="18"/>
              </w:rPr>
              <w:t>和仁检查预约中心 软件</w:t>
            </w:r>
            <w:r>
              <w:rPr>
                <w:rFonts w:ascii="宋体" w:hAnsi="宋体" w:cs="宋体" w:eastAsia="宋体" w:hint="default"/>
                <w:spacing w:val="-45"/>
                <w:sz w:val="18"/>
                <w:szCs w:val="18"/>
              </w:rPr>
              <w:t> </w:t>
            </w:r>
            <w:r>
              <w:rPr>
                <w:rFonts w:ascii="宋体" w:hAnsi="宋体" w:cs="宋体" w:eastAsia="宋体" w:hint="default"/>
                <w:sz w:val="18"/>
                <w:szCs w:val="18"/>
              </w:rPr>
              <w:t>V1.0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浙江和仁科技股 份有限公司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15"/>
              <w:jc w:val="right"/>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7"/>
              <w:jc w:val="right"/>
              <w:rPr>
                <w:rFonts w:ascii="宋体" w:hAnsi="宋体" w:cs="宋体" w:eastAsia="宋体" w:hint="default"/>
                <w:sz w:val="18"/>
                <w:szCs w:val="18"/>
              </w:rPr>
            </w:pPr>
            <w:r>
              <w:rPr>
                <w:rFonts w:ascii="宋体"/>
                <w:spacing w:val="-1"/>
                <w:sz w:val="18"/>
              </w:rPr>
              <w:t>2017SR233211</w:t>
            </w:r>
          </w:p>
        </w:tc>
      </w:tr>
      <w:tr>
        <w:trPr>
          <w:trHeight w:val="634"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14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273"/>
              <w:jc w:val="left"/>
              <w:rPr>
                <w:rFonts w:ascii="宋体" w:hAnsi="宋体" w:cs="宋体" w:eastAsia="宋体" w:hint="default"/>
                <w:sz w:val="18"/>
                <w:szCs w:val="18"/>
              </w:rPr>
            </w:pPr>
            <w:r>
              <w:rPr>
                <w:rFonts w:ascii="宋体" w:hAnsi="宋体" w:cs="宋体" w:eastAsia="宋体" w:hint="default"/>
                <w:sz w:val="18"/>
                <w:szCs w:val="18"/>
              </w:rPr>
              <w:t>和仁电子病历文书 系统软件</w:t>
            </w:r>
            <w:r>
              <w:rPr>
                <w:rFonts w:ascii="宋体" w:hAnsi="宋体" w:cs="宋体" w:eastAsia="宋体" w:hint="default"/>
                <w:spacing w:val="-45"/>
                <w:sz w:val="18"/>
                <w:szCs w:val="18"/>
              </w:rPr>
              <w:t> </w:t>
            </w:r>
            <w:r>
              <w:rPr>
                <w:rFonts w:ascii="宋体" w:hAnsi="宋体" w:cs="宋体" w:eastAsia="宋体" w:hint="default"/>
                <w:sz w:val="18"/>
                <w:szCs w:val="18"/>
              </w:rPr>
              <w:t>V1.0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浙江和仁科技股 份有限公司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15"/>
              <w:jc w:val="right"/>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27"/>
              <w:jc w:val="right"/>
              <w:rPr>
                <w:rFonts w:ascii="宋体" w:hAnsi="宋体" w:cs="宋体" w:eastAsia="宋体" w:hint="default"/>
                <w:sz w:val="18"/>
                <w:szCs w:val="18"/>
              </w:rPr>
            </w:pPr>
            <w:r>
              <w:rPr>
                <w:rFonts w:ascii="宋体"/>
                <w:spacing w:val="-1"/>
                <w:sz w:val="18"/>
              </w:rPr>
              <w:t>2017SR233205</w:t>
            </w:r>
          </w:p>
        </w:tc>
      </w:tr>
      <w:tr>
        <w:trPr>
          <w:trHeight w:val="634"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15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273"/>
              <w:jc w:val="left"/>
              <w:rPr>
                <w:rFonts w:ascii="宋体" w:hAnsi="宋体" w:cs="宋体" w:eastAsia="宋体" w:hint="default"/>
                <w:sz w:val="18"/>
                <w:szCs w:val="18"/>
              </w:rPr>
            </w:pPr>
            <w:r>
              <w:rPr>
                <w:rFonts w:ascii="宋体" w:hAnsi="宋体" w:cs="宋体" w:eastAsia="宋体" w:hint="default"/>
                <w:sz w:val="18"/>
                <w:szCs w:val="18"/>
              </w:rPr>
              <w:t>和仁手术室洁净度 管理软件</w:t>
            </w:r>
            <w:r>
              <w:rPr>
                <w:rFonts w:ascii="宋体" w:hAnsi="宋体" w:cs="宋体" w:eastAsia="宋体" w:hint="default"/>
                <w:spacing w:val="-45"/>
                <w:sz w:val="18"/>
                <w:szCs w:val="18"/>
              </w:rPr>
              <w:t> </w:t>
            </w:r>
            <w:r>
              <w:rPr>
                <w:rFonts w:ascii="宋体" w:hAnsi="宋体" w:cs="宋体" w:eastAsia="宋体" w:hint="default"/>
                <w:sz w:val="18"/>
                <w:szCs w:val="18"/>
              </w:rPr>
              <w:t>V1.0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浙江和仁科技股 份有限公司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15"/>
              <w:jc w:val="right"/>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7"/>
              <w:jc w:val="right"/>
              <w:rPr>
                <w:rFonts w:ascii="宋体" w:hAnsi="宋体" w:cs="宋体" w:eastAsia="宋体" w:hint="default"/>
                <w:sz w:val="18"/>
                <w:szCs w:val="18"/>
              </w:rPr>
            </w:pPr>
            <w:r>
              <w:rPr>
                <w:rFonts w:ascii="宋体"/>
                <w:spacing w:val="-1"/>
                <w:sz w:val="18"/>
              </w:rPr>
              <w:t>2017SR606333</w:t>
            </w:r>
          </w:p>
        </w:tc>
      </w:tr>
      <w:tr>
        <w:trPr>
          <w:trHeight w:val="634"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16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273"/>
              <w:jc w:val="left"/>
              <w:rPr>
                <w:rFonts w:ascii="宋体" w:hAnsi="宋体" w:cs="宋体" w:eastAsia="宋体" w:hint="default"/>
                <w:sz w:val="18"/>
                <w:szCs w:val="18"/>
              </w:rPr>
            </w:pPr>
            <w:r>
              <w:rPr>
                <w:rFonts w:ascii="宋体" w:hAnsi="宋体" w:cs="宋体" w:eastAsia="宋体" w:hint="default"/>
                <w:sz w:val="18"/>
                <w:szCs w:val="18"/>
              </w:rPr>
              <w:t>和仁病历检索系统 软件</w:t>
            </w:r>
            <w:r>
              <w:rPr>
                <w:rFonts w:ascii="宋体" w:hAnsi="宋体" w:cs="宋体" w:eastAsia="宋体" w:hint="default"/>
                <w:spacing w:val="-45"/>
                <w:sz w:val="18"/>
                <w:szCs w:val="18"/>
              </w:rPr>
              <w:t> </w:t>
            </w:r>
            <w:r>
              <w:rPr>
                <w:rFonts w:ascii="宋体" w:hAnsi="宋体" w:cs="宋体" w:eastAsia="宋体" w:hint="default"/>
                <w:sz w:val="18"/>
                <w:szCs w:val="18"/>
              </w:rPr>
              <w:t>V1.0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浙江和仁科技股 份有限公司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15"/>
              <w:jc w:val="right"/>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7"/>
              <w:jc w:val="right"/>
              <w:rPr>
                <w:rFonts w:ascii="宋体" w:hAnsi="宋体" w:cs="宋体" w:eastAsia="宋体" w:hint="default"/>
                <w:sz w:val="18"/>
                <w:szCs w:val="18"/>
              </w:rPr>
            </w:pPr>
            <w:r>
              <w:rPr>
                <w:rFonts w:ascii="宋体"/>
                <w:spacing w:val="-1"/>
                <w:sz w:val="18"/>
              </w:rPr>
              <w:t>2017SR672089</w:t>
            </w:r>
          </w:p>
        </w:tc>
      </w:tr>
    </w:tbl>
    <w:p>
      <w:pPr>
        <w:spacing w:line="240" w:lineRule="auto" w:before="3"/>
        <w:rPr>
          <w:rFonts w:ascii="宋体" w:hAnsi="宋体" w:cs="宋体" w:eastAsia="宋体" w:hint="default"/>
          <w:sz w:val="17"/>
          <w:szCs w:val="17"/>
        </w:rPr>
      </w:pPr>
    </w:p>
    <w:p>
      <w:pPr>
        <w:pStyle w:val="Heading7"/>
        <w:spacing w:line="240" w:lineRule="auto" w:before="44"/>
        <w:ind w:left="893" w:right="0"/>
        <w:jc w:val="left"/>
        <w:rPr>
          <w:b w:val="0"/>
          <w:bCs w:val="0"/>
        </w:rPr>
      </w:pPr>
      <w:r>
        <w:rPr>
          <w:rFonts w:ascii="宋体" w:hAnsi="宋体" w:cs="宋体" w:eastAsia="宋体" w:hint="default"/>
        </w:rPr>
        <w:t>2</w:t>
      </w:r>
      <w:r>
        <w:rPr/>
        <w:t>、</w:t>
      </w:r>
      <w:r>
        <w:rPr>
          <w:spacing w:val="-6"/>
        </w:rPr>
        <w:t> </w:t>
      </w:r>
      <w:r>
        <w:rPr/>
        <w:t>立足医疗信息化行业，提高市场占有率，开拓区域市场</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3"/>
          <w:szCs w:val="13"/>
        </w:rPr>
      </w:pPr>
    </w:p>
    <w:p>
      <w:pPr>
        <w:pStyle w:val="BodyText"/>
        <w:spacing w:line="477" w:lineRule="auto"/>
        <w:ind w:left="532" w:right="544" w:firstLine="360"/>
        <w:jc w:val="both"/>
      </w:pPr>
      <w:r>
        <w:rPr>
          <w:spacing w:val="-1"/>
        </w:rPr>
        <w:t>报告期内，公司在巩固军队医疗机构市场优势的同时，地方医疗机构市场占有率持续上升；在销售网络建设方面，公司利用</w:t>
      </w:r>
      <w:r>
        <w:rPr/>
        <w:t> </w:t>
      </w:r>
      <w:r>
        <w:rPr>
          <w:spacing w:val="-1"/>
        </w:rPr>
        <w:t>在全国各地成立的</w:t>
      </w:r>
      <w:r>
        <w:rPr>
          <w:rFonts w:ascii="宋体" w:hAnsi="宋体" w:cs="宋体" w:eastAsia="宋体" w:hint="default"/>
          <w:spacing w:val="-1"/>
        </w:rPr>
        <w:t>11</w:t>
      </w:r>
      <w:r>
        <w:rPr>
          <w:spacing w:val="-1"/>
        </w:rPr>
        <w:t>家分子公司整合各方资源，在全国市场形成了初步的营销网络布局；公司继续保持在三甲级医院高端市场的</w:t>
      </w:r>
      <w:r>
        <w:rPr>
          <w:spacing w:val="-50"/>
        </w:rPr>
        <w:t> </w:t>
      </w:r>
      <w:r>
        <w:rPr>
          <w:spacing w:val="-50"/>
        </w:rPr>
      </w:r>
      <w:r>
        <w:rPr/>
        <w:t>传统优势；同时发挥智慧医院总体解决方案的业务优势，以“交钥匙”工程的服务形式进一步开拓了新建医院市场。</w:t>
      </w:r>
    </w:p>
    <w:p>
      <w:pPr>
        <w:pStyle w:val="BodyText"/>
        <w:spacing w:line="240" w:lineRule="auto" w:before="54"/>
        <w:ind w:left="893" w:right="0"/>
        <w:jc w:val="left"/>
      </w:pPr>
      <w:r>
        <w:rPr>
          <w:rFonts w:ascii="宋体" w:hAnsi="宋体" w:cs="宋体" w:eastAsia="宋体" w:hint="default"/>
        </w:rPr>
        <w:t>2017</w:t>
      </w:r>
      <w:r>
        <w:rPr/>
        <w:t>年新增合同按客户类型分布如下：</w:t>
      </w:r>
    </w:p>
    <w:p>
      <w:pPr>
        <w:spacing w:line="240" w:lineRule="auto" w:before="1"/>
        <w:rPr>
          <w:rFonts w:ascii="宋体" w:hAnsi="宋体" w:cs="宋体" w:eastAsia="宋体" w:hint="default"/>
          <w:sz w:val="11"/>
          <w:szCs w:val="11"/>
        </w:rPr>
      </w:pPr>
    </w:p>
    <w:tbl>
      <w:tblPr>
        <w:tblW w:w="0" w:type="auto"/>
        <w:jc w:val="left"/>
        <w:tblInd w:w="1570" w:type="dxa"/>
        <w:tblLayout w:type="fixed"/>
        <w:tblCellMar>
          <w:top w:w="0" w:type="dxa"/>
          <w:left w:w="0" w:type="dxa"/>
          <w:bottom w:w="0" w:type="dxa"/>
          <w:right w:w="0" w:type="dxa"/>
        </w:tblCellMar>
        <w:tblLook w:val="01E0"/>
      </w:tblPr>
      <w:tblGrid>
        <w:gridCol w:w="2816"/>
        <w:gridCol w:w="2710"/>
        <w:gridCol w:w="2458"/>
      </w:tblGrid>
      <w:tr>
        <w:trPr>
          <w:trHeight w:val="499"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682"/>
              <w:jc w:val="right"/>
              <w:rPr>
                <w:rFonts w:ascii="宋体" w:hAnsi="宋体" w:cs="宋体" w:eastAsia="宋体" w:hint="default"/>
                <w:sz w:val="18"/>
                <w:szCs w:val="18"/>
              </w:rPr>
            </w:pPr>
            <w:r>
              <w:rPr>
                <w:rFonts w:ascii="宋体" w:hAnsi="宋体" w:cs="宋体" w:eastAsia="宋体" w:hint="default"/>
                <w:sz w:val="18"/>
                <w:szCs w:val="18"/>
              </w:rPr>
              <w:t>终端客户类型</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3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年新增合同额占比</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0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年新增合同额占比</w:t>
            </w:r>
          </w:p>
        </w:tc>
      </w:tr>
      <w:tr>
        <w:trPr>
          <w:trHeight w:val="497"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221" w:right="0"/>
              <w:jc w:val="left"/>
              <w:rPr>
                <w:rFonts w:ascii="宋体" w:hAnsi="宋体" w:cs="宋体" w:eastAsia="宋体" w:hint="default"/>
                <w:sz w:val="18"/>
                <w:szCs w:val="18"/>
              </w:rPr>
            </w:pPr>
            <w:r>
              <w:rPr>
                <w:rFonts w:ascii="宋体" w:hAnsi="宋体" w:cs="宋体" w:eastAsia="宋体" w:hint="default"/>
                <w:sz w:val="18"/>
                <w:szCs w:val="18"/>
              </w:rPr>
              <w:t>部队医院</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right"/>
              <w:rPr>
                <w:rFonts w:ascii="宋体" w:hAnsi="宋体" w:cs="宋体" w:eastAsia="宋体" w:hint="default"/>
                <w:sz w:val="18"/>
                <w:szCs w:val="18"/>
              </w:rPr>
            </w:pPr>
            <w:r>
              <w:rPr>
                <w:rFonts w:ascii="宋体"/>
                <w:spacing w:val="-1"/>
                <w:sz w:val="18"/>
              </w:rPr>
              <w:t>11.81%</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3.03%</w:t>
            </w:r>
          </w:p>
        </w:tc>
      </w:tr>
      <w:tr>
        <w:trPr>
          <w:trHeight w:val="499"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682"/>
              <w:jc w:val="right"/>
              <w:rPr>
                <w:rFonts w:ascii="宋体" w:hAnsi="宋体" w:cs="宋体" w:eastAsia="宋体" w:hint="default"/>
                <w:sz w:val="18"/>
                <w:szCs w:val="18"/>
              </w:rPr>
            </w:pPr>
            <w:r>
              <w:rPr>
                <w:rFonts w:ascii="宋体" w:hAnsi="宋体" w:cs="宋体" w:eastAsia="宋体" w:hint="default"/>
                <w:sz w:val="18"/>
                <w:szCs w:val="18"/>
              </w:rPr>
              <w:t>地方公立医院</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right"/>
              <w:rPr>
                <w:rFonts w:ascii="宋体" w:hAnsi="宋体" w:cs="宋体" w:eastAsia="宋体" w:hint="default"/>
                <w:sz w:val="18"/>
                <w:szCs w:val="18"/>
              </w:rPr>
            </w:pPr>
            <w:r>
              <w:rPr>
                <w:rFonts w:ascii="宋体"/>
                <w:spacing w:val="-1"/>
                <w:sz w:val="18"/>
              </w:rPr>
              <w:t>66.04%</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pacing w:val="-1"/>
                <w:sz w:val="18"/>
              </w:rPr>
              <w:t>63.67%</w:t>
            </w:r>
          </w:p>
        </w:tc>
      </w:tr>
      <w:tr>
        <w:trPr>
          <w:trHeight w:val="497"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91"/>
              <w:jc w:val="right"/>
              <w:rPr>
                <w:rFonts w:ascii="宋体" w:hAnsi="宋体" w:cs="宋体" w:eastAsia="宋体" w:hint="default"/>
                <w:sz w:val="18"/>
                <w:szCs w:val="18"/>
              </w:rPr>
            </w:pPr>
            <w:r>
              <w:rPr>
                <w:rFonts w:ascii="宋体" w:hAnsi="宋体" w:cs="宋体" w:eastAsia="宋体" w:hint="default"/>
                <w:sz w:val="18"/>
                <w:szCs w:val="18"/>
              </w:rPr>
              <w:t>城市级智慧医疗</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right"/>
              <w:rPr>
                <w:rFonts w:ascii="宋体" w:hAnsi="宋体" w:cs="宋体" w:eastAsia="宋体" w:hint="default"/>
                <w:sz w:val="18"/>
                <w:szCs w:val="18"/>
              </w:rPr>
            </w:pPr>
            <w:r>
              <w:rPr>
                <w:rFonts w:ascii="宋体"/>
                <w:spacing w:val="-1"/>
                <w:sz w:val="18"/>
              </w:rPr>
              <w:t>15.12%</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pacing w:val="-1"/>
                <w:sz w:val="18"/>
              </w:rPr>
              <w:t>33.17%</w:t>
            </w:r>
          </w:p>
        </w:tc>
      </w:tr>
      <w:tr>
        <w:trPr>
          <w:trHeight w:val="500"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57"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right"/>
              <w:rPr>
                <w:rFonts w:ascii="宋体" w:hAnsi="宋体" w:cs="宋体" w:eastAsia="宋体" w:hint="default"/>
                <w:sz w:val="18"/>
                <w:szCs w:val="18"/>
              </w:rPr>
            </w:pPr>
            <w:r>
              <w:rPr>
                <w:rFonts w:ascii="宋体"/>
                <w:sz w:val="18"/>
              </w:rPr>
              <w:t>7.02%</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0.14%</w:t>
            </w:r>
          </w:p>
        </w:tc>
      </w:tr>
    </w:tbl>
    <w:p>
      <w:pPr>
        <w:pStyle w:val="BodyText"/>
        <w:spacing w:line="477" w:lineRule="auto" w:before="87"/>
        <w:ind w:left="532" w:right="0" w:firstLine="360"/>
        <w:jc w:val="left"/>
      </w:pPr>
      <w:r>
        <w:rPr/>
        <w:t>同时，公司利用在全国各地成立的</w:t>
      </w:r>
      <w:r>
        <w:rPr>
          <w:rFonts w:ascii="宋体" w:hAnsi="宋体" w:cs="宋体" w:eastAsia="宋体" w:hint="default"/>
        </w:rPr>
        <w:t>11</w:t>
      </w:r>
      <w:r>
        <w:rPr/>
        <w:t>家分子公司整合各方资源，着力打造各区域的营销分中心，逐步向周边地区市场拓展， 初步形成了全国性的销售和服务体系，为公司全国性开拓业务奠定了较好基础。报告期内，公司在西北、华北等地区取得突破性 进展，这些地区内大部分城市的医疗信息化水平较沿海发达地区存在一定差距，具有大量潜在可挖掘需求。</w:t>
      </w:r>
    </w:p>
    <w:p>
      <w:pPr>
        <w:pStyle w:val="BodyText"/>
        <w:spacing w:line="240" w:lineRule="auto" w:before="54"/>
        <w:ind w:left="893" w:right="0"/>
        <w:jc w:val="left"/>
      </w:pPr>
      <w:r>
        <w:rPr>
          <w:rFonts w:ascii="宋体" w:hAnsi="宋体" w:cs="宋体" w:eastAsia="宋体" w:hint="default"/>
        </w:rPr>
        <w:t>2017</w:t>
      </w:r>
      <w:r>
        <w:rPr/>
        <w:t>年新增合同按区域分布如下：</w:t>
      </w:r>
    </w:p>
    <w:p>
      <w:pPr>
        <w:spacing w:line="240" w:lineRule="auto" w:before="1"/>
        <w:rPr>
          <w:rFonts w:ascii="宋体" w:hAnsi="宋体" w:cs="宋体" w:eastAsia="宋体" w:hint="default"/>
          <w:sz w:val="11"/>
          <w:szCs w:val="11"/>
        </w:rPr>
      </w:pPr>
    </w:p>
    <w:tbl>
      <w:tblPr>
        <w:tblW w:w="0" w:type="auto"/>
        <w:jc w:val="left"/>
        <w:tblInd w:w="1833" w:type="dxa"/>
        <w:tblLayout w:type="fixed"/>
        <w:tblCellMar>
          <w:top w:w="0" w:type="dxa"/>
          <w:left w:w="0" w:type="dxa"/>
          <w:bottom w:w="0" w:type="dxa"/>
          <w:right w:w="0" w:type="dxa"/>
        </w:tblCellMar>
        <w:tblLook w:val="01E0"/>
      </w:tblPr>
      <w:tblGrid>
        <w:gridCol w:w="2127"/>
        <w:gridCol w:w="2664"/>
        <w:gridCol w:w="2665"/>
      </w:tblGrid>
      <w:tr>
        <w:trPr>
          <w:trHeight w:val="49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59" w:right="0"/>
              <w:jc w:val="center"/>
              <w:rPr>
                <w:rFonts w:ascii="宋体" w:hAnsi="宋体" w:cs="宋体" w:eastAsia="宋体" w:hint="default"/>
                <w:sz w:val="18"/>
                <w:szCs w:val="18"/>
              </w:rPr>
            </w:pPr>
            <w:r>
              <w:rPr>
                <w:rFonts w:ascii="宋体" w:hAnsi="宋体" w:cs="宋体" w:eastAsia="宋体" w:hint="default"/>
                <w:sz w:val="18"/>
                <w:szCs w:val="18"/>
              </w:rPr>
              <w:t>区域</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6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年新增合同额占比</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61"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年新增合同额占比</w:t>
            </w:r>
          </w:p>
        </w:tc>
      </w:tr>
      <w:tr>
        <w:trPr>
          <w:trHeight w:val="499"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59" w:right="0"/>
              <w:jc w:val="center"/>
              <w:rPr>
                <w:rFonts w:ascii="宋体" w:hAnsi="宋体" w:cs="宋体" w:eastAsia="宋体" w:hint="default"/>
                <w:sz w:val="18"/>
                <w:szCs w:val="18"/>
              </w:rPr>
            </w:pPr>
            <w:r>
              <w:rPr>
                <w:rFonts w:ascii="宋体" w:hAnsi="宋体" w:cs="宋体" w:eastAsia="宋体" w:hint="default"/>
                <w:sz w:val="18"/>
                <w:szCs w:val="18"/>
              </w:rPr>
              <w:t>西北</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57" w:right="0"/>
              <w:jc w:val="center"/>
              <w:rPr>
                <w:rFonts w:ascii="宋体" w:hAnsi="宋体" w:cs="宋体" w:eastAsia="宋体" w:hint="default"/>
                <w:sz w:val="18"/>
                <w:szCs w:val="18"/>
              </w:rPr>
            </w:pPr>
            <w:r>
              <w:rPr>
                <w:rFonts w:ascii="宋体"/>
                <w:sz w:val="18"/>
              </w:rPr>
              <w:t>31.95%</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60" w:right="0"/>
              <w:jc w:val="center"/>
              <w:rPr>
                <w:rFonts w:ascii="宋体" w:hAnsi="宋体" w:cs="宋体" w:eastAsia="宋体" w:hint="default"/>
                <w:sz w:val="18"/>
                <w:szCs w:val="18"/>
              </w:rPr>
            </w:pPr>
            <w:r>
              <w:rPr>
                <w:rFonts w:ascii="宋体"/>
                <w:sz w:val="18"/>
              </w:rPr>
              <w:t>9.82%</w:t>
            </w:r>
          </w:p>
        </w:tc>
      </w:tr>
      <w:tr>
        <w:trPr>
          <w:trHeight w:val="49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57" w:right="0"/>
              <w:jc w:val="center"/>
              <w:rPr>
                <w:rFonts w:ascii="宋体" w:hAnsi="宋体" w:cs="宋体" w:eastAsia="宋体" w:hint="default"/>
                <w:sz w:val="18"/>
                <w:szCs w:val="18"/>
              </w:rPr>
            </w:pPr>
            <w:r>
              <w:rPr>
                <w:rFonts w:ascii="宋体" w:hAnsi="宋体" w:cs="宋体" w:eastAsia="宋体" w:hint="default"/>
                <w:sz w:val="18"/>
                <w:szCs w:val="18"/>
              </w:rPr>
              <w:t>华北、东北</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58" w:right="0"/>
              <w:jc w:val="center"/>
              <w:rPr>
                <w:rFonts w:ascii="宋体" w:hAnsi="宋体" w:cs="宋体" w:eastAsia="宋体" w:hint="default"/>
                <w:sz w:val="18"/>
                <w:szCs w:val="18"/>
              </w:rPr>
            </w:pPr>
            <w:r>
              <w:rPr>
                <w:rFonts w:ascii="宋体"/>
                <w:sz w:val="18"/>
              </w:rPr>
              <w:t>20.07%</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57" w:right="0"/>
              <w:jc w:val="center"/>
              <w:rPr>
                <w:rFonts w:ascii="宋体" w:hAnsi="宋体" w:cs="宋体" w:eastAsia="宋体" w:hint="default"/>
                <w:sz w:val="18"/>
                <w:szCs w:val="18"/>
              </w:rPr>
            </w:pPr>
            <w:r>
              <w:rPr>
                <w:rFonts w:ascii="宋体"/>
                <w:sz w:val="18"/>
              </w:rPr>
              <w:t>14.92%</w:t>
            </w:r>
          </w:p>
        </w:tc>
      </w:tr>
    </w:tbl>
    <w:p>
      <w:pPr>
        <w:spacing w:after="0" w:line="240" w:lineRule="auto"/>
        <w:jc w:val="center"/>
        <w:rPr>
          <w:rFonts w:ascii="宋体" w:hAnsi="宋体" w:cs="宋体" w:eastAsia="宋体" w:hint="default"/>
          <w:sz w:val="18"/>
          <w:szCs w:val="18"/>
        </w:rPr>
        <w:sectPr>
          <w:pgSz w:w="11910" w:h="16840"/>
          <w:pgMar w:header="877" w:footer="1186" w:top="1100" w:bottom="1380" w:left="600" w:right="160"/>
        </w:sectPr>
      </w:pPr>
    </w:p>
    <w:p>
      <w:pPr>
        <w:spacing w:line="240" w:lineRule="auto" w:before="8"/>
        <w:rPr>
          <w:rFonts w:ascii="宋体" w:hAnsi="宋体" w:cs="宋体" w:eastAsia="宋体" w:hint="default"/>
          <w:sz w:val="24"/>
          <w:szCs w:val="24"/>
        </w:rPr>
      </w:pPr>
    </w:p>
    <w:tbl>
      <w:tblPr>
        <w:tblW w:w="0" w:type="auto"/>
        <w:jc w:val="left"/>
        <w:tblInd w:w="1453" w:type="dxa"/>
        <w:tblLayout w:type="fixed"/>
        <w:tblCellMar>
          <w:top w:w="0" w:type="dxa"/>
          <w:left w:w="0" w:type="dxa"/>
          <w:bottom w:w="0" w:type="dxa"/>
          <w:right w:w="0" w:type="dxa"/>
        </w:tblCellMar>
        <w:tblLook w:val="01E0"/>
      </w:tblPr>
      <w:tblGrid>
        <w:gridCol w:w="2127"/>
        <w:gridCol w:w="2664"/>
        <w:gridCol w:w="2665"/>
      </w:tblGrid>
      <w:tr>
        <w:trPr>
          <w:trHeight w:val="49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57" w:right="0"/>
              <w:jc w:val="center"/>
              <w:rPr>
                <w:rFonts w:ascii="宋体" w:hAnsi="宋体" w:cs="宋体" w:eastAsia="宋体" w:hint="default"/>
                <w:sz w:val="18"/>
                <w:szCs w:val="18"/>
              </w:rPr>
            </w:pPr>
            <w:r>
              <w:rPr>
                <w:rFonts w:ascii="宋体" w:hAnsi="宋体" w:cs="宋体" w:eastAsia="宋体" w:hint="default"/>
                <w:sz w:val="18"/>
                <w:szCs w:val="18"/>
              </w:rPr>
              <w:t>华南、西南</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76"/>
              <w:jc w:val="right"/>
              <w:rPr>
                <w:rFonts w:ascii="宋体" w:hAnsi="宋体" w:cs="宋体" w:eastAsia="宋体" w:hint="default"/>
                <w:sz w:val="18"/>
                <w:szCs w:val="18"/>
              </w:rPr>
            </w:pPr>
            <w:r>
              <w:rPr>
                <w:rFonts w:ascii="宋体"/>
                <w:spacing w:val="-1"/>
                <w:sz w:val="18"/>
              </w:rPr>
              <w:t>19.95%</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75"/>
              <w:jc w:val="right"/>
              <w:rPr>
                <w:rFonts w:ascii="宋体" w:hAnsi="宋体" w:cs="宋体" w:eastAsia="宋体" w:hint="default"/>
                <w:sz w:val="18"/>
                <w:szCs w:val="18"/>
              </w:rPr>
            </w:pPr>
            <w:r>
              <w:rPr>
                <w:rFonts w:ascii="宋体"/>
                <w:sz w:val="18"/>
              </w:rPr>
              <w:t>35.24%</w:t>
            </w:r>
          </w:p>
        </w:tc>
      </w:tr>
      <w:tr>
        <w:trPr>
          <w:trHeight w:val="499"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59" w:right="0"/>
              <w:jc w:val="center"/>
              <w:rPr>
                <w:rFonts w:ascii="宋体" w:hAnsi="宋体" w:cs="宋体" w:eastAsia="宋体" w:hint="default"/>
                <w:sz w:val="18"/>
                <w:szCs w:val="18"/>
              </w:rPr>
            </w:pPr>
            <w:r>
              <w:rPr>
                <w:rFonts w:ascii="宋体" w:hAnsi="宋体" w:cs="宋体" w:eastAsia="宋体" w:hint="default"/>
                <w:sz w:val="18"/>
                <w:szCs w:val="18"/>
              </w:rPr>
              <w:t>华东</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876"/>
              <w:jc w:val="right"/>
              <w:rPr>
                <w:rFonts w:ascii="宋体" w:hAnsi="宋体" w:cs="宋体" w:eastAsia="宋体" w:hint="default"/>
                <w:sz w:val="18"/>
                <w:szCs w:val="18"/>
              </w:rPr>
            </w:pPr>
            <w:r>
              <w:rPr>
                <w:rFonts w:ascii="宋体"/>
                <w:spacing w:val="-1"/>
                <w:sz w:val="18"/>
              </w:rPr>
              <w:t>16.28%</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876"/>
              <w:jc w:val="right"/>
              <w:rPr>
                <w:rFonts w:ascii="宋体" w:hAnsi="宋体" w:cs="宋体" w:eastAsia="宋体" w:hint="default"/>
                <w:sz w:val="18"/>
                <w:szCs w:val="18"/>
              </w:rPr>
            </w:pPr>
            <w:r>
              <w:rPr>
                <w:rFonts w:ascii="宋体"/>
                <w:spacing w:val="-1"/>
                <w:sz w:val="18"/>
              </w:rPr>
              <w:t>31.02%</w:t>
            </w:r>
          </w:p>
        </w:tc>
      </w:tr>
      <w:tr>
        <w:trPr>
          <w:trHeight w:val="499"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59" w:right="0"/>
              <w:jc w:val="center"/>
              <w:rPr>
                <w:rFonts w:ascii="宋体" w:hAnsi="宋体" w:cs="宋体" w:eastAsia="宋体" w:hint="default"/>
                <w:sz w:val="18"/>
                <w:szCs w:val="18"/>
              </w:rPr>
            </w:pPr>
            <w:r>
              <w:rPr>
                <w:rFonts w:ascii="宋体" w:hAnsi="宋体" w:cs="宋体" w:eastAsia="宋体" w:hint="default"/>
                <w:sz w:val="18"/>
                <w:szCs w:val="18"/>
              </w:rPr>
              <w:t>华中</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76"/>
              <w:jc w:val="right"/>
              <w:rPr>
                <w:rFonts w:ascii="宋体" w:hAnsi="宋体" w:cs="宋体" w:eastAsia="宋体" w:hint="default"/>
                <w:sz w:val="18"/>
                <w:szCs w:val="18"/>
              </w:rPr>
            </w:pPr>
            <w:r>
              <w:rPr>
                <w:rFonts w:ascii="宋体"/>
                <w:spacing w:val="-1"/>
                <w:sz w:val="18"/>
              </w:rPr>
              <w:t>11.75%</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19"/>
              <w:jc w:val="right"/>
              <w:rPr>
                <w:rFonts w:ascii="宋体" w:hAnsi="宋体" w:cs="宋体" w:eastAsia="宋体" w:hint="default"/>
                <w:sz w:val="18"/>
                <w:szCs w:val="18"/>
              </w:rPr>
            </w:pPr>
            <w:r>
              <w:rPr>
                <w:rFonts w:ascii="宋体"/>
                <w:sz w:val="18"/>
              </w:rPr>
              <w:t>9.00%</w:t>
            </w:r>
          </w:p>
        </w:tc>
      </w:tr>
    </w:tbl>
    <w:p>
      <w:pPr>
        <w:pStyle w:val="BodyText"/>
        <w:spacing w:line="477" w:lineRule="auto" w:before="87"/>
        <w:ind w:left="513" w:right="134"/>
        <w:jc w:val="left"/>
      </w:pPr>
      <w:r>
        <w:rPr/>
        <w:t>备注：华南、西南</w:t>
      </w:r>
      <w:r>
        <w:rPr>
          <w:rFonts w:ascii="宋体" w:hAnsi="宋体" w:cs="宋体" w:eastAsia="宋体" w:hint="default"/>
        </w:rPr>
        <w:t>2017</w:t>
      </w:r>
      <w:r>
        <w:rPr/>
        <w:t>年新增合同额占比下降较大，主要由于</w:t>
      </w:r>
      <w:r>
        <w:rPr>
          <w:rFonts w:ascii="宋体" w:hAnsi="宋体" w:cs="宋体" w:eastAsia="宋体" w:hint="default"/>
        </w:rPr>
        <w:t>2016</w:t>
      </w:r>
      <w:r>
        <w:rPr/>
        <w:t>年受四川广元项目单一合同额较大的影响。 </w:t>
      </w:r>
      <w:r>
        <w:rPr>
          <w:spacing w:val="-1"/>
        </w:rPr>
        <w:t>公司基于对医院业务系统的详细了解，通过提供咨询规划、设计、建设、系统集成、数据整合应用、维保等全生命周期的一</w:t>
      </w:r>
    </w:p>
    <w:p>
      <w:pPr>
        <w:pStyle w:val="BodyText"/>
        <w:spacing w:line="477" w:lineRule="auto" w:before="54"/>
        <w:ind w:right="134"/>
        <w:jc w:val="left"/>
      </w:pPr>
      <w:r>
        <w:rPr>
          <w:spacing w:val="-1"/>
        </w:rPr>
        <w:t>体化管家式服务为三级医疗机构等高端客户提供具有顶层设计的全院级别整体解决方案。报告期内，公司巩固了在三级医院市场</w:t>
      </w:r>
      <w:r>
        <w:rPr>
          <w:spacing w:val="-50"/>
        </w:rPr>
        <w:t> </w:t>
      </w:r>
      <w:r>
        <w:rPr>
          <w:spacing w:val="-50"/>
        </w:rPr>
      </w:r>
      <w:r>
        <w:rPr/>
        <w:t>的传统优势，持续为高端客户提供高水平服务。</w:t>
      </w:r>
    </w:p>
    <w:p>
      <w:pPr>
        <w:pStyle w:val="BodyText"/>
        <w:spacing w:line="240" w:lineRule="auto" w:before="55"/>
        <w:ind w:left="513" w:right="134"/>
        <w:jc w:val="left"/>
      </w:pPr>
      <w:r>
        <w:rPr>
          <w:rFonts w:ascii="宋体" w:hAnsi="宋体" w:cs="宋体" w:eastAsia="宋体" w:hint="default"/>
        </w:rPr>
        <w:t>2017</w:t>
      </w:r>
      <w:r>
        <w:rPr/>
        <w:t>年新增合同医院等级分布如下：</w:t>
      </w:r>
    </w:p>
    <w:p>
      <w:pPr>
        <w:spacing w:line="240" w:lineRule="auto" w:before="1"/>
        <w:rPr>
          <w:rFonts w:ascii="宋体" w:hAnsi="宋体" w:cs="宋体" w:eastAsia="宋体" w:hint="default"/>
          <w:sz w:val="11"/>
          <w:szCs w:val="11"/>
        </w:rPr>
      </w:pPr>
    </w:p>
    <w:tbl>
      <w:tblPr>
        <w:tblW w:w="0" w:type="auto"/>
        <w:jc w:val="left"/>
        <w:tblInd w:w="1389" w:type="dxa"/>
        <w:tblLayout w:type="fixed"/>
        <w:tblCellMar>
          <w:top w:w="0" w:type="dxa"/>
          <w:left w:w="0" w:type="dxa"/>
          <w:bottom w:w="0" w:type="dxa"/>
          <w:right w:w="0" w:type="dxa"/>
        </w:tblCellMar>
        <w:tblLook w:val="01E0"/>
      </w:tblPr>
      <w:tblGrid>
        <w:gridCol w:w="2333"/>
        <w:gridCol w:w="2552"/>
        <w:gridCol w:w="2701"/>
      </w:tblGrid>
      <w:tr>
        <w:trPr>
          <w:trHeight w:val="497"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37"/>
              <w:jc w:val="right"/>
              <w:rPr>
                <w:rFonts w:ascii="宋体" w:hAnsi="宋体" w:cs="宋体" w:eastAsia="宋体" w:hint="default"/>
                <w:sz w:val="18"/>
                <w:szCs w:val="18"/>
              </w:rPr>
            </w:pPr>
            <w:r>
              <w:rPr>
                <w:rFonts w:ascii="宋体" w:hAnsi="宋体" w:cs="宋体" w:eastAsia="宋体" w:hint="default"/>
                <w:sz w:val="18"/>
                <w:szCs w:val="18"/>
              </w:rPr>
              <w:t>医院客户等级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6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年新增合同额占比</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64"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年新增合同额占比</w:t>
            </w:r>
          </w:p>
        </w:tc>
      </w:tr>
      <w:tr>
        <w:trPr>
          <w:trHeight w:val="499"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83" w:right="0"/>
              <w:jc w:val="left"/>
              <w:rPr>
                <w:rFonts w:ascii="宋体" w:hAnsi="宋体" w:cs="宋体" w:eastAsia="宋体" w:hint="default"/>
                <w:sz w:val="18"/>
                <w:szCs w:val="18"/>
              </w:rPr>
            </w:pPr>
            <w:r>
              <w:rPr>
                <w:rFonts w:ascii="宋体" w:hAnsi="宋体" w:cs="宋体" w:eastAsia="宋体" w:hint="default"/>
                <w:sz w:val="18"/>
                <w:szCs w:val="18"/>
              </w:rPr>
              <w:t>三级医院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65" w:right="0"/>
              <w:jc w:val="center"/>
              <w:rPr>
                <w:rFonts w:ascii="宋体" w:hAnsi="宋体" w:cs="宋体" w:eastAsia="宋体" w:hint="default"/>
                <w:sz w:val="18"/>
                <w:szCs w:val="18"/>
              </w:rPr>
            </w:pPr>
            <w:r>
              <w:rPr>
                <w:rFonts w:ascii="宋体"/>
                <w:sz w:val="18"/>
              </w:rPr>
              <w:t>58.44%</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60" w:right="0"/>
              <w:jc w:val="center"/>
              <w:rPr>
                <w:rFonts w:ascii="宋体" w:hAnsi="宋体" w:cs="宋体" w:eastAsia="宋体" w:hint="default"/>
                <w:sz w:val="18"/>
                <w:szCs w:val="18"/>
              </w:rPr>
            </w:pPr>
            <w:r>
              <w:rPr>
                <w:rFonts w:ascii="宋体"/>
                <w:sz w:val="18"/>
              </w:rPr>
              <w:t>52.07%</w:t>
            </w:r>
          </w:p>
        </w:tc>
      </w:tr>
      <w:tr>
        <w:trPr>
          <w:trHeight w:val="497"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37"/>
              <w:jc w:val="right"/>
              <w:rPr>
                <w:rFonts w:ascii="宋体" w:hAnsi="宋体" w:cs="宋体" w:eastAsia="宋体" w:hint="default"/>
                <w:sz w:val="18"/>
                <w:szCs w:val="18"/>
              </w:rPr>
            </w:pPr>
            <w:r>
              <w:rPr>
                <w:rFonts w:ascii="宋体" w:hAnsi="宋体" w:cs="宋体" w:eastAsia="宋体" w:hint="default"/>
                <w:sz w:val="18"/>
                <w:szCs w:val="18"/>
              </w:rPr>
              <w:t>三级以下医院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65" w:right="0"/>
              <w:jc w:val="center"/>
              <w:rPr>
                <w:rFonts w:ascii="宋体" w:hAnsi="宋体" w:cs="宋体" w:eastAsia="宋体" w:hint="default"/>
                <w:sz w:val="18"/>
                <w:szCs w:val="18"/>
              </w:rPr>
            </w:pPr>
            <w:r>
              <w:rPr>
                <w:rFonts w:ascii="宋体"/>
                <w:sz w:val="18"/>
              </w:rPr>
              <w:t>26.43%</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60" w:right="0"/>
              <w:jc w:val="center"/>
              <w:rPr>
                <w:rFonts w:ascii="宋体" w:hAnsi="宋体" w:cs="宋体" w:eastAsia="宋体" w:hint="default"/>
                <w:sz w:val="18"/>
                <w:szCs w:val="18"/>
              </w:rPr>
            </w:pPr>
            <w:r>
              <w:rPr>
                <w:rFonts w:ascii="宋体"/>
                <w:sz w:val="18"/>
              </w:rPr>
              <w:t>14.76%</w:t>
            </w:r>
          </w:p>
        </w:tc>
      </w:tr>
      <w:tr>
        <w:trPr>
          <w:trHeight w:val="499"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50"/>
              <w:jc w:val="right"/>
              <w:rPr>
                <w:rFonts w:ascii="宋体" w:hAnsi="宋体" w:cs="宋体" w:eastAsia="宋体" w:hint="default"/>
                <w:sz w:val="18"/>
                <w:szCs w:val="18"/>
              </w:rPr>
            </w:pPr>
            <w:r>
              <w:rPr>
                <w:rFonts w:ascii="宋体" w:hAnsi="宋体" w:cs="宋体" w:eastAsia="宋体" w:hint="default"/>
                <w:sz w:val="18"/>
                <w:szCs w:val="18"/>
              </w:rPr>
              <w:t>城市级智慧医疗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65" w:right="0"/>
              <w:jc w:val="center"/>
              <w:rPr>
                <w:rFonts w:ascii="宋体" w:hAnsi="宋体" w:cs="宋体" w:eastAsia="宋体" w:hint="default"/>
                <w:sz w:val="18"/>
                <w:szCs w:val="18"/>
              </w:rPr>
            </w:pPr>
            <w:r>
              <w:rPr>
                <w:rFonts w:ascii="宋体"/>
                <w:sz w:val="18"/>
              </w:rPr>
              <w:t>15.12%</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60" w:right="0"/>
              <w:jc w:val="center"/>
              <w:rPr>
                <w:rFonts w:ascii="宋体" w:hAnsi="宋体" w:cs="宋体" w:eastAsia="宋体" w:hint="default"/>
                <w:sz w:val="18"/>
                <w:szCs w:val="18"/>
              </w:rPr>
            </w:pPr>
            <w:r>
              <w:rPr>
                <w:rFonts w:ascii="宋体"/>
                <w:sz w:val="18"/>
              </w:rPr>
              <w:t>33.17%</w:t>
            </w:r>
          </w:p>
        </w:tc>
      </w:tr>
    </w:tbl>
    <w:p>
      <w:pPr>
        <w:pStyle w:val="BodyText"/>
        <w:spacing w:line="477" w:lineRule="auto" w:before="87"/>
        <w:ind w:left="513" w:right="134"/>
        <w:jc w:val="left"/>
      </w:pPr>
      <w:r>
        <w:rPr/>
        <w:t>备注： </w:t>
      </w:r>
      <w:r>
        <w:rPr>
          <w:rFonts w:ascii="宋体" w:hAnsi="宋体" w:cs="宋体" w:eastAsia="宋体" w:hint="default"/>
        </w:rPr>
        <w:t>2017</w:t>
      </w:r>
      <w:r>
        <w:rPr/>
        <w:t>年新增合同额区域占比下降，主要由于</w:t>
      </w:r>
      <w:r>
        <w:rPr>
          <w:rFonts w:ascii="宋体" w:hAnsi="宋体" w:cs="宋体" w:eastAsia="宋体" w:hint="default"/>
        </w:rPr>
        <w:t>2016</w:t>
      </w:r>
      <w:r>
        <w:rPr/>
        <w:t>年受四川广元项目单一合同额较大的影响。 </w:t>
      </w:r>
      <w:r>
        <w:rPr>
          <w:spacing w:val="-1"/>
        </w:rPr>
        <w:t>为了解决人们对美好生活追求的提高和医疗资源配比不足和分布不均衡间的矛盾，全国各地，尤其在中西部地区有一批新建</w:t>
      </w:r>
    </w:p>
    <w:p>
      <w:pPr>
        <w:pStyle w:val="BodyText"/>
        <w:spacing w:line="477" w:lineRule="auto" w:before="54"/>
        <w:ind w:right="136"/>
        <w:jc w:val="both"/>
      </w:pPr>
      <w:r>
        <w:rPr/>
        <w:t>医院陆续投入建设。区别于传统</w:t>
      </w:r>
      <w:r>
        <w:rPr>
          <w:rFonts w:ascii="宋体" w:hAnsi="宋体" w:cs="宋体" w:eastAsia="宋体" w:hint="default"/>
        </w:rPr>
        <w:t>HIT</w:t>
      </w:r>
      <w:r>
        <w:rPr/>
        <w:t>软件产品厂商，公司的智慧医院总体解决方案中不仅包含了医院信息化建设方案，还有基于</w:t>
      </w:r>
      <w:r>
        <w:rPr>
          <w:spacing w:val="-15"/>
        </w:rPr>
        <w:t> </w:t>
      </w:r>
      <w:r>
        <w:rPr>
          <w:spacing w:val="-15"/>
        </w:rPr>
      </w:r>
      <w:r>
        <w:rPr>
          <w:spacing w:val="-1"/>
        </w:rPr>
        <w:t>软硬件一体化的综合解决方案和技术服务能力的场景化应用系统解决方案，能够提供总体规划、总体建设、总体运维管理的交钥</w:t>
      </w:r>
      <w:r>
        <w:rPr>
          <w:spacing w:val="-48"/>
        </w:rPr>
        <w:t> </w:t>
      </w:r>
      <w:r>
        <w:rPr>
          <w:spacing w:val="-48"/>
        </w:rPr>
      </w:r>
      <w:r>
        <w:rPr>
          <w:spacing w:val="-1"/>
        </w:rPr>
        <w:t>匙工程服务，能够更好的满足新建医院的总体建设需求。公司凭借在众多国内一流医院建设应用的成功经验与优秀案例，获得了</w:t>
      </w:r>
      <w:r>
        <w:rPr>
          <w:spacing w:val="-49"/>
        </w:rPr>
        <w:t> </w:t>
      </w:r>
      <w:r>
        <w:rPr>
          <w:spacing w:val="-49"/>
        </w:rPr>
      </w:r>
      <w:r>
        <w:rPr/>
        <w:t>众多新建医院的认可。</w:t>
      </w:r>
    </w:p>
    <w:p>
      <w:pPr>
        <w:pStyle w:val="BodyText"/>
        <w:spacing w:line="477" w:lineRule="auto" w:before="54"/>
        <w:ind w:left="513" w:right="5693"/>
        <w:jc w:val="left"/>
      </w:pPr>
      <w:r>
        <w:rPr/>
        <w:pict>
          <v:shape style="position:absolute;margin-left:115.220001pt;margin-top:45.13168pt;width:386.4pt;height:50.3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51"/>
                    <w:gridCol w:w="2482"/>
                    <w:gridCol w:w="2480"/>
                  </w:tblGrid>
                  <w:tr>
                    <w:trPr>
                      <w:trHeight w:val="497"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64" w:right="0"/>
                          <w:jc w:val="center"/>
                          <w:rPr>
                            <w:rFonts w:ascii="宋体" w:hAnsi="宋体" w:cs="宋体" w:eastAsia="宋体" w:hint="default"/>
                            <w:sz w:val="18"/>
                            <w:szCs w:val="18"/>
                          </w:rPr>
                        </w:pPr>
                        <w:r>
                          <w:rPr>
                            <w:rFonts w:ascii="宋体" w:hAnsi="宋体" w:cs="宋体" w:eastAsia="宋体" w:hint="default"/>
                            <w:sz w:val="18"/>
                            <w:szCs w:val="18"/>
                          </w:rPr>
                          <w:t>项目类型</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1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年新增合同额占比</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1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年新增合同额占比</w:t>
                        </w:r>
                      </w:p>
                    </w:tc>
                  </w:tr>
                  <w:tr>
                    <w:trPr>
                      <w:trHeight w:val="499"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64" w:right="0"/>
                          <w:jc w:val="center"/>
                          <w:rPr>
                            <w:rFonts w:ascii="宋体" w:hAnsi="宋体" w:cs="宋体" w:eastAsia="宋体" w:hint="default"/>
                            <w:sz w:val="18"/>
                            <w:szCs w:val="18"/>
                          </w:rPr>
                        </w:pPr>
                        <w:r>
                          <w:rPr>
                            <w:rFonts w:ascii="宋体" w:hAnsi="宋体" w:cs="宋体" w:eastAsia="宋体" w:hint="default"/>
                            <w:sz w:val="18"/>
                            <w:szCs w:val="18"/>
                          </w:rPr>
                          <w:t>新建医院项目</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right"/>
                          <w:rPr>
                            <w:rFonts w:ascii="宋体" w:hAnsi="宋体" w:cs="宋体" w:eastAsia="宋体" w:hint="default"/>
                            <w:sz w:val="18"/>
                            <w:szCs w:val="18"/>
                          </w:rPr>
                        </w:pPr>
                        <w:r>
                          <w:rPr>
                            <w:rFonts w:ascii="宋体"/>
                            <w:spacing w:val="-1"/>
                            <w:sz w:val="18"/>
                          </w:rPr>
                          <w:t>40.24%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right"/>
                          <w:rPr>
                            <w:rFonts w:ascii="宋体" w:hAnsi="宋体" w:cs="宋体" w:eastAsia="宋体" w:hint="default"/>
                            <w:sz w:val="18"/>
                            <w:szCs w:val="18"/>
                          </w:rPr>
                        </w:pPr>
                        <w:r>
                          <w:rPr>
                            <w:rFonts w:ascii="宋体"/>
                            <w:spacing w:val="-1"/>
                            <w:sz w:val="18"/>
                          </w:rPr>
                          <w:t>35.16%</w:t>
                        </w:r>
                      </w:p>
                    </w:tc>
                  </w:tr>
                </w:tbl>
                <w:p>
                  <w:pPr/>
                </w:p>
              </w:txbxContent>
            </v:textbox>
            <w10:wrap type="none"/>
          </v:shape>
        </w:pict>
      </w:r>
      <w:r>
        <w:rPr/>
        <w:t>报告期内新建医院项目新签合同额占比进一步提升。 </w:t>
      </w:r>
      <w:r>
        <w:rPr>
          <w:rFonts w:ascii="宋体" w:hAnsi="宋体" w:cs="宋体" w:eastAsia="宋体" w:hint="default"/>
        </w:rPr>
        <w:t>2017</w:t>
      </w:r>
      <w:r>
        <w:rPr/>
        <w:t>年新建医院的新增合同额占比如下：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477" w:lineRule="auto" w:before="44"/>
        <w:ind w:right="141" w:firstLine="360"/>
        <w:jc w:val="both"/>
      </w:pPr>
      <w:r>
        <w:rPr/>
        <w:t>另外，公司以自身先进的解决方案为基点，通过建立与智慧城市总包商、集成商、银行等的合作关系，拓展了业务渠道</w:t>
      </w:r>
      <w:r>
        <w:rPr>
          <w:spacing w:val="63"/>
        </w:rPr>
        <w:t> </w:t>
      </w:r>
      <w:r>
        <w:rPr/>
        <w:t>。</w:t>
      </w:r>
      <w:r>
        <w:rPr/>
        <w:t> </w:t>
      </w:r>
      <w:r>
        <w:rPr>
          <w:spacing w:val="-1"/>
        </w:rPr>
        <w:t>在四川广元，公司与四川长虹开展合作，形成联合体作为系统性服务供应商为广元市建设了市县两级区域人口健康信息平台，包</w:t>
      </w:r>
      <w:r>
        <w:rPr>
          <w:spacing w:val="-49"/>
        </w:rPr>
        <w:t> </w:t>
      </w:r>
      <w:r>
        <w:rPr>
          <w:spacing w:val="-49"/>
        </w:rPr>
      </w:r>
      <w:r>
        <w:rPr>
          <w:spacing w:val="-1"/>
        </w:rPr>
        <w:t>括广元市人口信息、居民电子健康档案和电子病历三大数据库建设和居民健康卡的普及，为实现“首诊下沉、分级诊疗、双向转</w:t>
      </w:r>
      <w:r>
        <w:rPr>
          <w:spacing w:val="-49"/>
        </w:rPr>
        <w:t> </w:t>
      </w:r>
      <w:r>
        <w:rPr>
          <w:spacing w:val="-49"/>
        </w:rPr>
      </w:r>
      <w:r>
        <w:rPr>
          <w:spacing w:val="-1"/>
        </w:rPr>
        <w:t>诊”提供了业务支撑平台和技术服务保障。报告期内公司城市级智慧医疗业务版块还拓展了赤水市卫生和计划生育局、江阴农村</w:t>
      </w:r>
      <w:r>
        <w:rPr>
          <w:spacing w:val="-50"/>
        </w:rPr>
        <w:t> </w:t>
      </w:r>
      <w:r>
        <w:rPr>
          <w:spacing w:val="-50"/>
        </w:rPr>
      </w:r>
      <w:r>
        <w:rPr/>
        <w:t>商业银行、格尔木市卫生系统信息化项目等新客户，不仅在客户数量实现了突破，业务拓展渠道也实现了多样化。</w:t>
      </w:r>
    </w:p>
    <w:p>
      <w:pPr>
        <w:spacing w:line="240" w:lineRule="auto" w:before="2"/>
        <w:rPr>
          <w:rFonts w:ascii="宋体" w:hAnsi="宋体" w:cs="宋体" w:eastAsia="宋体" w:hint="default"/>
          <w:sz w:val="24"/>
          <w:szCs w:val="24"/>
        </w:rPr>
      </w:pPr>
    </w:p>
    <w:p>
      <w:pPr>
        <w:pStyle w:val="Heading7"/>
        <w:spacing w:line="240" w:lineRule="auto"/>
        <w:ind w:right="134"/>
        <w:jc w:val="left"/>
        <w:rPr>
          <w:b w:val="0"/>
          <w:bCs w:val="0"/>
        </w:rPr>
      </w:pPr>
      <w:r>
        <w:rPr>
          <w:rFonts w:ascii="宋体" w:hAnsi="宋体" w:cs="宋体" w:eastAsia="宋体" w:hint="default"/>
        </w:rPr>
        <w:t>3</w:t>
      </w:r>
      <w:r>
        <w:rPr/>
        <w:t>、积极创新商业模式</w:t>
      </w:r>
      <w:r>
        <w:rPr>
          <w:b w:val="0"/>
          <w:bCs w:val="0"/>
        </w:rPr>
      </w:r>
    </w:p>
    <w:p>
      <w:pPr>
        <w:spacing w:after="0" w:line="240" w:lineRule="auto"/>
        <w:jc w:val="left"/>
        <w:sectPr>
          <w:pgSz w:w="11910" w:h="16840"/>
          <w:pgMar w:header="877" w:footer="1186" w:top="1100" w:bottom="1380" w:left="980" w:right="560"/>
        </w:sectPr>
      </w:pPr>
    </w:p>
    <w:p>
      <w:pPr>
        <w:spacing w:line="240" w:lineRule="auto" w:before="12"/>
        <w:rPr>
          <w:rFonts w:ascii="宋体" w:hAnsi="宋体" w:cs="宋体" w:eastAsia="宋体" w:hint="default"/>
          <w:b/>
          <w:bCs/>
          <w:sz w:val="27"/>
          <w:szCs w:val="27"/>
        </w:rPr>
      </w:pPr>
    </w:p>
    <w:p>
      <w:pPr>
        <w:pStyle w:val="BodyText"/>
        <w:spacing w:line="477" w:lineRule="auto" w:before="44"/>
        <w:ind w:right="204" w:firstLine="360"/>
        <w:jc w:val="both"/>
      </w:pPr>
      <w:r>
        <w:rPr>
          <w:spacing w:val="-1"/>
        </w:rPr>
        <w:t>公司以全面的信息化手段做支撑，以流程化、高效化、专业化的团队为核心，为医疗机构提供各种技术与咨询服务。通过服</w:t>
      </w:r>
      <w:r>
        <w:rPr/>
        <w:t> 务进一步保持公司产品的稳定运行，逐渐实现公司盈利模式的多样化，在以往“产品＋方案</w:t>
      </w:r>
      <w:r>
        <w:rPr>
          <w:rFonts w:ascii="宋体" w:hAnsi="宋体" w:cs="宋体" w:eastAsia="宋体" w:hint="default"/>
        </w:rPr>
        <w:t>+</w:t>
      </w:r>
      <w:r>
        <w:rPr/>
        <w:t>项目”的商业模式的基础上逐步增</w:t>
      </w:r>
      <w:r>
        <w:rPr>
          <w:spacing w:val="-22"/>
        </w:rPr>
        <w:t> </w:t>
      </w:r>
      <w:r>
        <w:rPr>
          <w:spacing w:val="-22"/>
        </w:rPr>
      </w:r>
      <w:r>
        <w:rPr>
          <w:spacing w:val="-1"/>
        </w:rPr>
        <w:t>加“服务运营”的模式，从传统的信息系统供应商，探索了提供长期的、运营服务的，以数据应用为基础的信息化服务商、运营</w:t>
      </w:r>
      <w:r>
        <w:rPr>
          <w:spacing w:val="-55"/>
        </w:rPr>
        <w:t> </w:t>
      </w:r>
      <w:r>
        <w:rPr>
          <w:spacing w:val="-55"/>
        </w:rPr>
      </w:r>
      <w:r>
        <w:rPr>
          <w:spacing w:val="-1"/>
        </w:rPr>
        <w:t>商。在广元、金湖、富阳等城市级智慧医疗项目中，和第三方支付、商业保险等发展了基于智慧医疗云平台的跨机构的综合支付</w:t>
      </w:r>
      <w:r>
        <w:rPr>
          <w:spacing w:val="-53"/>
        </w:rPr>
        <w:t> </w:t>
      </w:r>
      <w:r>
        <w:rPr>
          <w:spacing w:val="-53"/>
        </w:rPr>
      </w:r>
      <w:r>
        <w:rPr/>
        <w:t>业务、商保在线理赔等业务。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Heading7"/>
        <w:spacing w:line="240" w:lineRule="auto"/>
        <w:ind w:right="0"/>
        <w:jc w:val="left"/>
        <w:rPr>
          <w:b w:val="0"/>
          <w:bCs w:val="0"/>
        </w:rPr>
      </w:pPr>
      <w:r>
        <w:rPr>
          <w:rFonts w:ascii="宋体" w:hAnsi="宋体" w:cs="宋体" w:eastAsia="宋体" w:hint="default"/>
        </w:rPr>
        <w:t>4</w:t>
      </w:r>
      <w:r>
        <w:rPr/>
        <w:t>、加强内部管理控制</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9"/>
          <w:szCs w:val="19"/>
        </w:rPr>
      </w:pPr>
    </w:p>
    <w:p>
      <w:pPr>
        <w:pStyle w:val="BodyText"/>
        <w:spacing w:line="477" w:lineRule="auto"/>
        <w:ind w:right="0" w:firstLine="360"/>
        <w:jc w:val="left"/>
      </w:pPr>
      <w:r>
        <w:rPr/>
        <w:t>公司在</w:t>
      </w:r>
      <w:r>
        <w:rPr>
          <w:rFonts w:ascii="宋体" w:hAnsi="宋体" w:cs="宋体" w:eastAsia="宋体" w:hint="default"/>
        </w:rPr>
        <w:t>2017</w:t>
      </w:r>
      <w:r>
        <w:rPr/>
        <w:t>年着重于中高级经营管理人员在战略管理与执行方面的知识及技能提升，对此进行了系列培训与实际业务的探索 跟实践。务求每位经营管理人员养成时时就所负责业务作全面思考的习惯与能力，随时考虑到如何“定策略，建组织，布人力，</w:t>
      </w:r>
      <w:r>
        <w:rPr>
          <w:spacing w:val="-20"/>
        </w:rPr>
        <w:t> </w:t>
      </w:r>
      <w:r>
        <w:rPr>
          <w:spacing w:val="-20"/>
        </w:rPr>
      </w:r>
      <w:r>
        <w:rPr>
          <w:spacing w:val="-4"/>
        </w:rPr>
        <w:t>置系统”以协助公司达成整体战略目标。通过设计关键任务，建立正式组织，配置养成人才，营造氛围与文化来落实战略的执行。</w:t>
      </w:r>
    </w:p>
    <w:p>
      <w:pPr>
        <w:pStyle w:val="BodyText"/>
        <w:spacing w:line="240" w:lineRule="auto" w:before="95"/>
        <w:ind w:left="513" w:right="0"/>
        <w:jc w:val="left"/>
      </w:pPr>
      <w:r>
        <w:rPr/>
        <w:t>管理体系方面做进一步优化迭代</w:t>
      </w:r>
      <w:r>
        <w:rPr>
          <w:spacing w:val="-41"/>
        </w:rPr>
        <w:t>，</w:t>
      </w:r>
      <w:r>
        <w:rPr/>
        <w:t>目前已就主营业务管理完成</w:t>
      </w:r>
      <w:r>
        <w:rPr>
          <w:spacing w:val="-41"/>
        </w:rPr>
        <w:t>了</w:t>
      </w:r>
      <w:r>
        <w:rPr/>
        <w:t>《售前管理规定</w:t>
      </w:r>
      <w:r>
        <w:rPr>
          <w:spacing w:val="-41"/>
        </w:rPr>
        <w:t>》</w:t>
      </w:r>
      <w:r>
        <w:rPr>
          <w:spacing w:val="-82"/>
        </w:rPr>
        <w:t>、</w:t>
      </w:r>
      <w:r>
        <w:rPr/>
        <w:t>《招</w:t>
      </w:r>
      <w:r>
        <w:rPr>
          <w:spacing w:val="-3"/>
        </w:rPr>
        <w:t>投</w:t>
      </w:r>
      <w:r>
        <w:rPr/>
        <w:t>标管理规定</w:t>
      </w:r>
      <w:r>
        <w:rPr>
          <w:spacing w:val="-41"/>
        </w:rPr>
        <w:t>》</w:t>
      </w:r>
      <w:r>
        <w:rPr>
          <w:spacing w:val="-82"/>
        </w:rPr>
        <w:t>、</w:t>
      </w:r>
      <w:r>
        <w:rPr/>
        <w:t>《合同管理规</w:t>
      </w:r>
      <w:r>
        <w:rPr>
          <w:spacing w:val="-3"/>
        </w:rPr>
        <w:t>定</w:t>
      </w:r>
      <w:r>
        <w:rPr>
          <w:spacing w:val="-41"/>
        </w:rPr>
        <w:t>》</w:t>
      </w:r>
      <w:r>
        <w:rPr/>
        <w:t>、</w:t>
      </w:r>
    </w:p>
    <w:p>
      <w:pPr>
        <w:spacing w:line="240" w:lineRule="auto" w:before="8"/>
        <w:rPr>
          <w:rFonts w:ascii="宋体" w:hAnsi="宋体" w:cs="宋体" w:eastAsia="宋体" w:hint="default"/>
          <w:sz w:val="17"/>
          <w:szCs w:val="17"/>
        </w:rPr>
      </w:pPr>
    </w:p>
    <w:p>
      <w:pPr>
        <w:pStyle w:val="BodyText"/>
        <w:spacing w:line="477" w:lineRule="auto"/>
        <w:ind w:right="203"/>
        <w:jc w:val="both"/>
      </w:pPr>
      <w:r>
        <w:rPr>
          <w:spacing w:val="-1"/>
        </w:rPr>
        <w:t>《综合服务作业管理规定》、《工程实施作业管理规定》、《工程设计作业管理规定》、《维保服务作业管理规定》、《商务策</w:t>
      </w:r>
      <w:r>
        <w:rPr>
          <w:spacing w:val="-52"/>
        </w:rPr>
        <w:t> </w:t>
      </w:r>
      <w:r>
        <w:rPr>
          <w:spacing w:val="-52"/>
        </w:rPr>
      </w:r>
      <w:r>
        <w:rPr>
          <w:spacing w:val="-4"/>
        </w:rPr>
        <w:t>划管理规定》、《采购作业管理规定》、《外包作业管理规定》、《供应商管理规定》等十余项重要管理制度的优化与细节拆解，</w:t>
      </w:r>
      <w:r>
        <w:rPr>
          <w:spacing w:val="-59"/>
        </w:rPr>
        <w:t> </w:t>
      </w:r>
      <w:r>
        <w:rPr>
          <w:spacing w:val="-59"/>
        </w:rPr>
      </w:r>
      <w:r>
        <w:rPr/>
        <w:t>制定关键控制点的作业指导手册并落实执行，在提高工作效率以及节约工作时间成本方面已取得阶段性的成效。</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9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9"/>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474"/>
        <w:jc w:val="left"/>
      </w:pPr>
      <w:r>
        <w:rPr/>
        <w:t>公司是否需要遵守光伏产业链相关业的披露要求 否</w:t>
      </w:r>
    </w:p>
    <w:p>
      <w:pPr>
        <w:pStyle w:val="BodyText"/>
        <w:spacing w:line="338" w:lineRule="auto" w:before="27"/>
        <w:ind w:right="8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right="10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39"/>
        <w:ind w:right="63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38" w:lineRule="auto" w:before="42"/>
        <w:ind w:right="1164"/>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spacing w:after="0" w:line="338" w:lineRule="auto"/>
        <w:jc w:val="left"/>
        <w:sectPr>
          <w:footerReference w:type="default" r:id="rId16"/>
          <w:pgSz w:w="11910" w:h="16840"/>
          <w:pgMar w:footer="1186" w:header="877" w:top="1100" w:bottom="1380" w:left="980" w:right="500"/>
          <w:pgNumType w:start="19"/>
        </w:sectPr>
      </w:pPr>
    </w:p>
    <w:p>
      <w:pPr>
        <w:spacing w:line="240" w:lineRule="auto" w:before="11"/>
        <w:rPr>
          <w:rFonts w:ascii="宋体" w:hAnsi="宋体" w:cs="宋体" w:eastAsia="宋体" w:hint="default"/>
          <w:sz w:val="21"/>
          <w:szCs w:val="21"/>
        </w:rPr>
      </w:pPr>
    </w:p>
    <w:p>
      <w:pPr>
        <w:pStyle w:val="BodyText"/>
        <w:spacing w:line="240" w:lineRule="auto" w:before="44"/>
        <w:ind w:right="134"/>
        <w:jc w:val="left"/>
      </w:pPr>
      <w:r>
        <w:rPr/>
        <w:t>营业收入整体情况</w:t>
      </w:r>
    </w:p>
    <w:p>
      <w:pPr>
        <w:pStyle w:val="BodyText"/>
        <w:spacing w:line="240" w:lineRule="auto" w:before="117"/>
        <w:ind w:left="0" w:right="144"/>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276,257,927.40</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235,640,231.16</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17.24%</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医疗信息化行业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276,257,927.40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235,640,231.16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17.24%</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场景化应用系统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97,068,698.01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35.14%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94,946,925.61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医疗信息系统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135,915,941.16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110,107,345.00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46.73%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23.44%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43,273,288.23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30,585,960.55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41.48%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77,542,143.47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49,427,091.04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56.88%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26,427,592.77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43,354,187.67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-39.04%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53,681,635.55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43,411,586.92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23.66%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51,403,297.95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8,957,043.32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473.89%</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44,837,496.40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45,220,280.24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-0.85%</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22,365,761.26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45,270,041.97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-50.59%</w:t>
            </w:r>
          </w:p>
        </w:tc>
      </w:tr>
    </w:tbl>
    <w:p>
      <w:pPr>
        <w:pStyle w:val="BodyText"/>
        <w:spacing w:line="316" w:lineRule="auto" w:before="49"/>
        <w:ind w:right="134"/>
        <w:jc w:val="left"/>
      </w:pPr>
      <w:r>
        <w:rPr>
          <w:spacing w:val="-1"/>
        </w:rPr>
        <w:t>备注：由于公司原临床医疗管理系统收入由院内系统拓展到院外系统，收入不仅包括医院临床信息系统，还包括了城市级智慧医</w:t>
      </w:r>
      <w:r>
        <w:rPr>
          <w:spacing w:val="-49"/>
        </w:rPr>
        <w:t> </w:t>
      </w:r>
      <w:r>
        <w:rPr>
          <w:spacing w:val="-49"/>
        </w:rPr>
      </w:r>
      <w:r>
        <w:rPr/>
        <w:t>疗解决方案，所以本年将原收入分类中的临床医疗管理信息系统扩大到医疗信息系统。</w:t>
      </w:r>
    </w:p>
    <w:p>
      <w:pPr>
        <w:spacing w:line="240" w:lineRule="auto" w:before="10"/>
        <w:rPr>
          <w:rFonts w:ascii="宋体" w:hAnsi="宋体" w:cs="宋体" w:eastAsia="宋体" w:hint="default"/>
          <w:sz w:val="22"/>
          <w:szCs w:val="22"/>
        </w:rPr>
      </w:pPr>
    </w:p>
    <w:p>
      <w:pPr>
        <w:pStyle w:val="Heading5"/>
        <w:spacing w:line="240" w:lineRule="auto"/>
        <w:ind w:right="134"/>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186" w:top="1100" w:bottom="1380" w:left="980" w:right="56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单位：元</w:t>
      </w:r>
    </w:p>
    <w:p>
      <w:pPr>
        <w:spacing w:after="0" w:line="240" w:lineRule="auto"/>
        <w:jc w:val="left"/>
        <w:sectPr>
          <w:type w:val="continuous"/>
          <w:pgSz w:w="11910" w:h="16840"/>
          <w:pgMar w:top="1100" w:bottom="280" w:left="980" w:right="560"/>
          <w:cols w:num="2" w:equalWidth="0">
            <w:col w:w="3213" w:space="6134"/>
            <w:col w:w="1023"/>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医疗信息化行业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276,257,927.40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143,190,181.56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-7.46%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场景化应用系统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97,068,698.01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66,500,252.97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-9.22%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医疗信息系统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135,915,941.16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59,416,931.33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43,273,288.23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17,272,997.26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type w:val="continuous"/>
          <w:pgSz w:w="11910" w:h="16840"/>
          <w:pgMar w:top="1100" w:bottom="280" w:left="980" w:right="56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77,542,143.47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51,386,758.52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53,681,635.55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24,432,339.79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-9.89%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51,403,297.95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21,861,912.01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1,186.95%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44,837,496.40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24,667,412.56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10.83%</w:t>
            </w:r>
          </w:p>
        </w:tc>
      </w:tr>
    </w:tbl>
    <w:p>
      <w:pPr>
        <w:pStyle w:val="BodyText"/>
        <w:spacing w:line="240" w:lineRule="auto" w:before="49"/>
        <w:ind w:right="134"/>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34"/>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5"/>
        <w:spacing w:line="240" w:lineRule="auto"/>
        <w:ind w:right="134"/>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7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否</w:t>
      </w:r>
    </w:p>
    <w:p>
      <w:pPr>
        <w:pStyle w:val="BodyText"/>
        <w:spacing w:line="300" w:lineRule="auto" w:before="43"/>
        <w:ind w:right="134"/>
        <w:jc w:val="left"/>
      </w:pPr>
      <w:r>
        <w:rPr/>
        <w:t>公司与北京城建集团有限责任公司于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月签署</w:t>
      </w:r>
      <w:r>
        <w:rPr>
          <w:rFonts w:ascii="Times New Roman" w:hAnsi="Times New Roman" w:cs="Times New Roman" w:eastAsia="Times New Roman" w:hint="default"/>
        </w:rPr>
        <w:t>“</w:t>
      </w:r>
      <w:r>
        <w:rPr/>
        <w:t>解放军总医院门急诊综合楼弱电智能化工程分包合同</w:t>
      </w:r>
      <w:r>
        <w:rPr>
          <w:rFonts w:ascii="Times New Roman" w:hAnsi="Times New Roman" w:cs="Times New Roman" w:eastAsia="Times New Roman" w:hint="default"/>
        </w:rPr>
        <w:t>”</w:t>
      </w:r>
      <w:r>
        <w:rPr/>
        <w:t>，合同金额为</w:t>
      </w:r>
      <w:r>
        <w:rPr>
          <w:rFonts w:ascii="Times New Roman" w:hAnsi="Times New Roman" w:cs="Times New Roman" w:eastAsia="Times New Roman" w:hint="default"/>
        </w:rPr>
        <w:t>14140</w:t>
      </w:r>
      <w:r>
        <w:rPr/>
        <w:t>万 元，最终业主为中国人民解放军总医院，截止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日，该项目已完成初步验收，处于结算阶段。</w:t>
      </w:r>
    </w:p>
    <w:p>
      <w:pPr>
        <w:spacing w:line="240" w:lineRule="auto" w:before="4"/>
        <w:rPr>
          <w:rFonts w:ascii="宋体" w:hAnsi="宋体" w:cs="宋体" w:eastAsia="宋体" w:hint="default"/>
          <w:sz w:val="22"/>
          <w:szCs w:val="22"/>
        </w:rPr>
      </w:pPr>
    </w:p>
    <w:p>
      <w:pPr>
        <w:pStyle w:val="Heading5"/>
        <w:spacing w:line="240" w:lineRule="auto"/>
        <w:ind w:right="134"/>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34"/>
        <w:jc w:val="left"/>
      </w:pPr>
      <w:r>
        <w:rPr/>
        <w:t>产品分类</w:t>
      </w:r>
    </w:p>
    <w:p>
      <w:pPr>
        <w:pStyle w:val="BodyText"/>
        <w:spacing w:line="240" w:lineRule="auto" w:before="117"/>
        <w:ind w:left="0" w:right="144"/>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场景化应用系统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44,194,049.58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49,624,409.09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医疗信息系统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20,879,450.80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18,028,653.97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4,310,620.02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4,107,122.89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w:t>
            </w:r>
          </w:p>
        </w:tc>
      </w:tr>
    </w:tbl>
    <w:p>
      <w:pPr>
        <w:pStyle w:val="BodyText"/>
        <w:spacing w:line="360" w:lineRule="auto" w:before="49"/>
        <w:ind w:right="9834"/>
        <w:jc w:val="left"/>
      </w:pPr>
      <w:r>
        <w:rPr/>
        <w:t>说明 无</w:t>
      </w:r>
    </w:p>
    <w:p>
      <w:pPr>
        <w:spacing w:line="240" w:lineRule="auto" w:before="4"/>
        <w:rPr>
          <w:rFonts w:ascii="宋体" w:hAnsi="宋体" w:cs="宋体" w:eastAsia="宋体" w:hint="default"/>
          <w:sz w:val="20"/>
          <w:szCs w:val="20"/>
        </w:rPr>
      </w:pPr>
    </w:p>
    <w:p>
      <w:pPr>
        <w:pStyle w:val="Heading5"/>
        <w:spacing w:line="240" w:lineRule="auto"/>
        <w:ind w:right="134"/>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2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月投资设立控股子公司江苏和仁泰颐科技有限公司</w:t>
      </w:r>
      <w:r>
        <w:rPr>
          <w:rFonts w:ascii="宋体" w:hAnsi="宋体" w:cs="宋体" w:eastAsia="宋体" w:hint="default"/>
        </w:rPr>
        <w:t>(</w:t>
      </w:r>
      <w:r>
        <w:rPr/>
        <w:t>以下简称“江苏和仁公司”</w:t>
      </w:r>
      <w:r>
        <w:rPr>
          <w:rFonts w:ascii="宋体" w:hAnsi="宋体" w:cs="宋体" w:eastAsia="宋体" w:hint="default"/>
        </w:rPr>
        <w:t>)</w:t>
      </w:r>
      <w:r>
        <w:rPr/>
        <w:t>，注册资本</w:t>
      </w:r>
      <w:r>
        <w:rPr>
          <w:rFonts w:ascii="Times New Roman" w:hAnsi="Times New Roman" w:cs="Times New Roman" w:eastAsia="Times New Roman" w:hint="default"/>
        </w:rPr>
        <w:t>1000</w:t>
      </w:r>
      <w:r>
        <w:rPr/>
        <w:t>万元，公司持有 </w:t>
      </w:r>
      <w:r>
        <w:rPr>
          <w:rFonts w:ascii="Times New Roman" w:hAnsi="Times New Roman" w:cs="Times New Roman" w:eastAsia="Times New Roman" w:hint="default"/>
        </w:rPr>
        <w:t>60%</w:t>
      </w:r>
      <w:r>
        <w:rPr/>
        <w:t>股权，截止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日，本公司出资</w:t>
      </w:r>
      <w:r>
        <w:rPr>
          <w:rFonts w:ascii="Times New Roman" w:hAnsi="Times New Roman" w:cs="Times New Roman" w:eastAsia="Times New Roman" w:hint="default"/>
        </w:rPr>
        <w:t>30</w:t>
      </w:r>
      <w:r>
        <w:rPr/>
        <w:t>万元，江苏和仁公司于本报告期纳入合并报表范围。</w:t>
      </w:r>
    </w:p>
    <w:p>
      <w:pPr>
        <w:spacing w:line="240" w:lineRule="auto" w:before="2"/>
        <w:rPr>
          <w:rFonts w:ascii="宋体" w:hAnsi="宋体" w:cs="宋体" w:eastAsia="宋体" w:hint="default"/>
          <w:sz w:val="21"/>
          <w:szCs w:val="21"/>
        </w:rPr>
      </w:pPr>
    </w:p>
    <w:p>
      <w:pPr>
        <w:pStyle w:val="Heading5"/>
        <w:spacing w:line="240" w:lineRule="auto"/>
        <w:ind w:right="134"/>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186" w:top="1100" w:bottom="1380" w:left="980" w:right="560"/>
        </w:sectPr>
      </w:pPr>
    </w:p>
    <w:p>
      <w:pPr>
        <w:spacing w:line="240" w:lineRule="auto" w:before="12"/>
        <w:rPr>
          <w:rFonts w:ascii="宋体" w:hAnsi="宋体" w:cs="宋体" w:eastAsia="宋体" w:hint="default"/>
          <w:sz w:val="20"/>
          <w:szCs w:val="20"/>
        </w:rPr>
      </w:pPr>
    </w:p>
    <w:p>
      <w:pPr>
        <w:pStyle w:val="Heading5"/>
        <w:spacing w:line="240" w:lineRule="auto" w:before="36"/>
        <w:ind w:right="134"/>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4"/>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100,634,859.53</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36.43%</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3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30,848,667.03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23,169,206.03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18,660,452.83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14,222,013.43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13,734,520.21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100,634,859.53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36.43%</w:t>
            </w:r>
          </w:p>
        </w:tc>
      </w:tr>
    </w:tbl>
    <w:p>
      <w:pPr>
        <w:pStyle w:val="BodyText"/>
        <w:spacing w:line="240" w:lineRule="auto" w:before="49"/>
        <w:ind w:right="134"/>
        <w:jc w:val="left"/>
      </w:pPr>
      <w:r>
        <w:rPr/>
        <w:t>主要客户其他情况说明</w:t>
      </w:r>
    </w:p>
    <w:p>
      <w:pPr>
        <w:pStyle w:val="BodyText"/>
        <w:spacing w:line="340" w:lineRule="auto" w:before="115"/>
        <w:ind w:right="8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8"/>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26,431,823.14</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16.57%</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3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08"/>
        <w:gridCol w:w="3185"/>
        <w:gridCol w:w="2321"/>
        <w:gridCol w:w="3145"/>
      </w:tblGrid>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6,237,705.00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w:t>
            </w:r>
          </w:p>
        </w:tc>
      </w:tr>
      <w:tr>
        <w:trPr>
          <w:trHeight w:val="404"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5,147,844.63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5,004,273.51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26,431,823.14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16.57%</w:t>
            </w:r>
          </w:p>
        </w:tc>
      </w:tr>
    </w:tbl>
    <w:p>
      <w:pPr>
        <w:pStyle w:val="BodyText"/>
        <w:spacing w:line="240" w:lineRule="auto" w:before="49"/>
        <w:ind w:right="134"/>
        <w:jc w:val="left"/>
      </w:pPr>
      <w:r>
        <w:rPr/>
        <w:t>主要供应商其他情况说明</w:t>
      </w:r>
    </w:p>
    <w:p>
      <w:pPr>
        <w:pStyle w:val="BodyText"/>
        <w:spacing w:line="240" w:lineRule="auto" w:before="117"/>
        <w:ind w:right="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34"/>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44"/>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07"/>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56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29,007,346.51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18,129,955.76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公司加大市场开拓与营销投入力度</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64,787,914.95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60,078,498.13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16,035.62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-346,428.98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新增短期借款，利息支出增加所致</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公司一直高度注重研发投入与技术储备工作，持续加强技术创新和新产品研发投入，进一步完善技术创新体系，增强技术交</w:t>
      </w:r>
    </w:p>
    <w:p>
      <w:pPr>
        <w:pStyle w:val="BodyText"/>
        <w:spacing w:line="319" w:lineRule="auto" w:before="1"/>
        <w:ind w:right="0"/>
        <w:jc w:val="left"/>
      </w:pPr>
      <w:r>
        <w:rPr/>
        <w:t>流与合作研发机制，加强人才队伍建设，完善绩效激励机制，创造良好的创新氛围，激发公司的创新动力，进一步增强公司产品 竞争力。公司先后组建了浙江省重点企业研究院、浙江省高新技术企业研发中心、杭州市企业技术中心、博士后科研工作站，努 力开发新产品，完善和提升原有产品的技术，不断发掘医院信息化应用需求，推动信息化在医院业务、管理、控制等各个方面的 场景化应用，适应国家医疗体制改革政策、医疗卫生事业发展规划、医疗卫生行业标准和规范。公司一方面密切关注市场需求，</w:t>
      </w:r>
      <w:r>
        <w:rPr>
          <w:spacing w:val="-22"/>
        </w:rPr>
        <w:t> </w:t>
      </w:r>
      <w:r>
        <w:rPr>
          <w:spacing w:val="-22"/>
        </w:rPr>
      </w:r>
      <w:r>
        <w:rPr/>
        <w:t>围绕公司战略客户及重要客户，进行产品合作开发，确保公司配套任务的顺利完成；同时，围绕以临床医疗信息系统为核心，秉</w:t>
      </w:r>
      <w:r>
        <w:rPr/>
        <w:t> 承“以患者为中心、以医疗业务为导向、以信息应用为目标”的经营理念，为客户进行前瞻性技术开发与新产品开发；另一方面 做好新技术和新产品的成果转化，突破关键技术和技术难点，取得了良好的成效。</w:t>
      </w:r>
    </w:p>
    <w:p>
      <w:pPr>
        <w:spacing w:line="240" w:lineRule="auto" w:before="7"/>
        <w:rPr>
          <w:rFonts w:ascii="宋体" w:hAnsi="宋体" w:cs="宋体" w:eastAsia="宋体" w:hint="default"/>
          <w:sz w:val="24"/>
          <w:szCs w:val="24"/>
        </w:rPr>
      </w:pPr>
    </w:p>
    <w:tbl>
      <w:tblPr>
        <w:tblW w:w="0" w:type="auto"/>
        <w:jc w:val="left"/>
        <w:tblInd w:w="224" w:type="dxa"/>
        <w:tblLayout w:type="fixed"/>
        <w:tblCellMar>
          <w:top w:w="0" w:type="dxa"/>
          <w:left w:w="0" w:type="dxa"/>
          <w:bottom w:w="0" w:type="dxa"/>
          <w:right w:w="0" w:type="dxa"/>
        </w:tblCellMar>
        <w:tblLook w:val="01E0"/>
      </w:tblPr>
      <w:tblGrid>
        <w:gridCol w:w="708"/>
        <w:gridCol w:w="1560"/>
        <w:gridCol w:w="2948"/>
        <w:gridCol w:w="2552"/>
        <w:gridCol w:w="2141"/>
      </w:tblGrid>
      <w:tr>
        <w:trPr>
          <w:trHeight w:val="346"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58" w:right="0"/>
              <w:jc w:val="left"/>
              <w:rPr>
                <w:rFonts w:ascii="宋体" w:hAnsi="宋体" w:cs="宋体" w:eastAsia="宋体" w:hint="default"/>
                <w:sz w:val="18"/>
                <w:szCs w:val="18"/>
              </w:rPr>
            </w:pPr>
            <w:r>
              <w:rPr>
                <w:rFonts w:ascii="宋体" w:hAnsi="宋体" w:cs="宋体" w:eastAsia="宋体" w:hint="default"/>
                <w:sz w:val="18"/>
                <w:szCs w:val="18"/>
              </w:rPr>
              <w:t>研发项目目的及目标</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项目进展</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3" w:right="0"/>
              <w:jc w:val="left"/>
              <w:rPr>
                <w:rFonts w:ascii="宋体" w:hAnsi="宋体" w:cs="宋体" w:eastAsia="宋体" w:hint="default"/>
                <w:sz w:val="18"/>
                <w:szCs w:val="18"/>
              </w:rPr>
            </w:pPr>
            <w:r>
              <w:rPr>
                <w:rFonts w:ascii="宋体" w:hAnsi="宋体" w:cs="宋体" w:eastAsia="宋体" w:hint="default"/>
                <w:sz w:val="18"/>
                <w:szCs w:val="18"/>
              </w:rPr>
              <w:t>对公司生产经营的影响</w:t>
            </w:r>
          </w:p>
        </w:tc>
      </w:tr>
      <w:tr>
        <w:trPr>
          <w:trHeight w:val="2532"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55" w:right="48"/>
              <w:jc w:val="center"/>
              <w:rPr>
                <w:rFonts w:ascii="宋体" w:hAnsi="宋体" w:cs="宋体" w:eastAsia="宋体" w:hint="default"/>
                <w:sz w:val="18"/>
                <w:szCs w:val="18"/>
              </w:rPr>
            </w:pPr>
            <w:r>
              <w:rPr>
                <w:rFonts w:ascii="宋体" w:hAnsi="宋体" w:cs="宋体" w:eastAsia="宋体" w:hint="default"/>
                <w:sz w:val="18"/>
                <w:szCs w:val="18"/>
              </w:rPr>
              <w:t>基于大数据的医院 综合运营智能管理 平台的研发与应用 示范</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8" w:right="8" w:firstLine="194"/>
              <w:jc w:val="both"/>
              <w:rPr>
                <w:rFonts w:ascii="宋体" w:hAnsi="宋体" w:cs="宋体" w:eastAsia="宋体" w:hint="default"/>
                <w:sz w:val="18"/>
                <w:szCs w:val="18"/>
              </w:rPr>
            </w:pPr>
            <w:r>
              <w:rPr>
                <w:rFonts w:ascii="宋体" w:hAnsi="宋体" w:cs="宋体" w:eastAsia="宋体" w:hint="default"/>
                <w:sz w:val="18"/>
                <w:szCs w:val="18"/>
              </w:rPr>
              <w:t>为尽快理顺医院各信息系统建设和 使用，为医院管理、决策层提供有效 的管理与服务，全面整合医院各类信 息管理系统，打通各信息结点，达到 整个信息网络横向到边、纵向到底的 目的。以医院各信息系统为基础，以 信息监控管理中心建设为基点，全面</w:t>
            </w:r>
          </w:p>
          <w:p>
            <w:pPr>
              <w:pStyle w:val="TableParagraph"/>
              <w:spacing w:line="240" w:lineRule="auto" w:before="19"/>
              <w:ind w:left="297" w:right="0"/>
              <w:jc w:val="left"/>
              <w:rPr>
                <w:rFonts w:ascii="宋体" w:hAnsi="宋体" w:cs="宋体" w:eastAsia="宋体" w:hint="default"/>
                <w:sz w:val="18"/>
                <w:szCs w:val="18"/>
              </w:rPr>
            </w:pPr>
            <w:r>
              <w:rPr>
                <w:rFonts w:ascii="宋体" w:hAnsi="宋体" w:cs="宋体" w:eastAsia="宋体" w:hint="default"/>
                <w:sz w:val="18"/>
                <w:szCs w:val="18"/>
              </w:rPr>
              <w:t>构建医院信息监控管理系统。</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both"/>
              <w:rPr>
                <w:rFonts w:ascii="宋体" w:hAnsi="宋体" w:cs="宋体" w:eastAsia="宋体" w:hint="default"/>
                <w:sz w:val="18"/>
                <w:szCs w:val="18"/>
              </w:rPr>
            </w:pPr>
            <w:r>
              <w:rPr>
                <w:rFonts w:ascii="宋体" w:hAnsi="宋体" w:cs="宋体" w:eastAsia="宋体" w:hint="default"/>
                <w:sz w:val="18"/>
                <w:szCs w:val="18"/>
              </w:rPr>
              <w:t>目前完成原型设计及基础框架开 </w:t>
            </w:r>
            <w:r>
              <w:rPr>
                <w:rFonts w:ascii="宋体" w:hAnsi="宋体" w:cs="宋体" w:eastAsia="宋体" w:hint="default"/>
                <w:spacing w:val="-10"/>
                <w:sz w:val="18"/>
                <w:szCs w:val="18"/>
              </w:rPr>
              <w:t>发，并且完成了基础模块的研发，</w:t>
            </w:r>
            <w:r>
              <w:rPr>
                <w:rFonts w:ascii="宋体" w:hAnsi="宋体" w:cs="宋体" w:eastAsia="宋体" w:hint="default"/>
                <w:spacing w:val="-69"/>
                <w:sz w:val="18"/>
                <w:szCs w:val="18"/>
              </w:rPr>
              <w:t> </w:t>
            </w:r>
            <w:r>
              <w:rPr>
                <w:rFonts w:ascii="宋体" w:hAnsi="宋体" w:cs="宋体" w:eastAsia="宋体" w:hint="default"/>
                <w:sz w:val="18"/>
                <w:szCs w:val="18"/>
              </w:rPr>
              <w:t>后续将继续研发应用服务等内容</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37"/>
              <w:jc w:val="center"/>
              <w:rPr>
                <w:rFonts w:ascii="宋体" w:hAnsi="宋体" w:cs="宋体" w:eastAsia="宋体" w:hint="default"/>
                <w:sz w:val="18"/>
                <w:szCs w:val="18"/>
              </w:rPr>
            </w:pPr>
            <w:r>
              <w:rPr>
                <w:rFonts w:ascii="宋体" w:hAnsi="宋体" w:cs="宋体" w:eastAsia="宋体" w:hint="default"/>
                <w:sz w:val="18"/>
                <w:szCs w:val="18"/>
              </w:rPr>
              <w:t>基于多级管理、集中监控、 </w:t>
            </w:r>
            <w:r>
              <w:rPr>
                <w:rFonts w:ascii="宋体" w:hAnsi="宋体" w:cs="宋体" w:eastAsia="宋体" w:hint="default"/>
                <w:spacing w:val="-4"/>
                <w:sz w:val="18"/>
                <w:szCs w:val="18"/>
              </w:rPr>
              <w:t>多平台联合等技术基础，提</w:t>
            </w:r>
            <w:r>
              <w:rPr>
                <w:rFonts w:ascii="宋体" w:hAnsi="宋体" w:cs="宋体" w:eastAsia="宋体" w:hint="default"/>
                <w:sz w:val="18"/>
                <w:szCs w:val="18"/>
              </w:rPr>
              <w:t> 升公司在大数据应用方向 </w:t>
            </w:r>
            <w:r>
              <w:rPr>
                <w:rFonts w:ascii="宋体" w:hAnsi="宋体" w:cs="宋体" w:eastAsia="宋体" w:hint="default"/>
                <w:spacing w:val="-4"/>
                <w:sz w:val="18"/>
                <w:szCs w:val="18"/>
              </w:rPr>
              <w:t>的研究深度和广度，顺应市</w:t>
            </w:r>
            <w:r>
              <w:rPr>
                <w:rFonts w:ascii="宋体" w:hAnsi="宋体" w:cs="宋体" w:eastAsia="宋体" w:hint="default"/>
                <w:sz w:val="18"/>
                <w:szCs w:val="18"/>
              </w:rPr>
              <w:t> 场热点和未来发展方向。</w:t>
            </w:r>
          </w:p>
        </w:tc>
      </w:tr>
      <w:tr>
        <w:trPr>
          <w:trHeight w:val="3781"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5" w:right="48"/>
              <w:jc w:val="center"/>
              <w:rPr>
                <w:rFonts w:ascii="宋体" w:hAnsi="宋体" w:cs="宋体" w:eastAsia="宋体" w:hint="default"/>
                <w:sz w:val="18"/>
                <w:szCs w:val="18"/>
              </w:rPr>
            </w:pPr>
            <w:r>
              <w:rPr>
                <w:rFonts w:ascii="宋体" w:hAnsi="宋体" w:cs="宋体" w:eastAsia="宋体" w:hint="default"/>
                <w:sz w:val="18"/>
                <w:szCs w:val="18"/>
              </w:rPr>
              <w:t>基于互联网的医疗 院内院外一体化协 作云平台</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8" w:right="9" w:firstLine="194"/>
              <w:jc w:val="both"/>
              <w:rPr>
                <w:rFonts w:ascii="宋体" w:hAnsi="宋体" w:cs="宋体" w:eastAsia="宋体" w:hint="default"/>
                <w:sz w:val="18"/>
                <w:szCs w:val="18"/>
              </w:rPr>
            </w:pPr>
            <w:r>
              <w:rPr>
                <w:rFonts w:ascii="宋体" w:hAnsi="宋体" w:cs="宋体" w:eastAsia="宋体" w:hint="default"/>
                <w:sz w:val="18"/>
                <w:szCs w:val="18"/>
              </w:rPr>
              <w:t>面向医疗改革的痛点，解决分级诊 疗、医生多点执业以及通过互联网开 展医疗等新业务形态过程中的医疗协 作中的关键技术和运营问题，以远程 的医学实践教学为依托，培育专科的 医生社交网络，并基于此网络来开展 便捷的、随时随地的远程会诊、转诊 和问诊等服务，突破医院围墙限制， 有效融合电子病历数据，让优质医疗 资源能够发挥最大价值，让优秀的临 床人员能够获得最大的社会认可和经</w:t>
            </w:r>
          </w:p>
          <w:p>
            <w:pPr>
              <w:pStyle w:val="TableParagraph"/>
              <w:spacing w:line="240" w:lineRule="auto" w:before="19"/>
              <w:ind w:left="5" w:right="0"/>
              <w:jc w:val="center"/>
              <w:rPr>
                <w:rFonts w:ascii="宋体" w:hAnsi="宋体" w:cs="宋体" w:eastAsia="宋体" w:hint="default"/>
                <w:sz w:val="18"/>
                <w:szCs w:val="18"/>
              </w:rPr>
            </w:pPr>
            <w:r>
              <w:rPr>
                <w:rFonts w:ascii="宋体" w:hAnsi="宋体" w:cs="宋体" w:eastAsia="宋体" w:hint="default"/>
                <w:sz w:val="18"/>
                <w:szCs w:val="18"/>
              </w:rPr>
              <w:t>济回报。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both"/>
              <w:rPr>
                <w:rFonts w:ascii="宋体" w:hAnsi="宋体" w:cs="宋体" w:eastAsia="宋体" w:hint="default"/>
                <w:sz w:val="18"/>
                <w:szCs w:val="18"/>
              </w:rPr>
            </w:pPr>
            <w:r>
              <w:rPr>
                <w:rFonts w:ascii="宋体" w:hAnsi="宋体" w:cs="宋体" w:eastAsia="宋体" w:hint="default"/>
                <w:sz w:val="18"/>
                <w:szCs w:val="18"/>
              </w:rPr>
              <w:t>目前完成原型设计及基础框架开 </w:t>
            </w:r>
            <w:r>
              <w:rPr>
                <w:rFonts w:ascii="宋体" w:hAnsi="宋体" w:cs="宋体" w:eastAsia="宋体" w:hint="default"/>
                <w:spacing w:val="-10"/>
                <w:sz w:val="18"/>
                <w:szCs w:val="18"/>
              </w:rPr>
              <w:t>发，并且完成了基础模块的研发，</w:t>
            </w:r>
            <w:r>
              <w:rPr>
                <w:rFonts w:ascii="宋体" w:hAnsi="宋体" w:cs="宋体" w:eastAsia="宋体" w:hint="default"/>
                <w:spacing w:val="-69"/>
                <w:sz w:val="18"/>
                <w:szCs w:val="18"/>
              </w:rPr>
              <w:t> </w:t>
            </w:r>
            <w:r>
              <w:rPr>
                <w:rFonts w:ascii="宋体" w:hAnsi="宋体" w:cs="宋体" w:eastAsia="宋体" w:hint="default"/>
                <w:sz w:val="18"/>
                <w:szCs w:val="18"/>
              </w:rPr>
              <w:t>后续将继续研发应用服务等内容</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hanging="3"/>
              <w:jc w:val="center"/>
              <w:rPr>
                <w:rFonts w:ascii="宋体" w:hAnsi="宋体" w:cs="宋体" w:eastAsia="宋体" w:hint="default"/>
                <w:sz w:val="18"/>
                <w:szCs w:val="18"/>
              </w:rPr>
            </w:pPr>
            <w:r>
              <w:rPr>
                <w:rFonts w:ascii="宋体" w:hAnsi="宋体" w:cs="宋体" w:eastAsia="宋体" w:hint="default"/>
                <w:sz w:val="18"/>
                <w:szCs w:val="18"/>
              </w:rPr>
              <w:t>以国家新一轮医疗体制改 </w:t>
            </w:r>
            <w:r>
              <w:rPr>
                <w:rFonts w:ascii="宋体" w:hAnsi="宋体" w:cs="宋体" w:eastAsia="宋体" w:hint="default"/>
                <w:spacing w:val="-4"/>
                <w:sz w:val="18"/>
                <w:szCs w:val="18"/>
              </w:rPr>
              <w:t>革的指导方针为指导，开展</w:t>
            </w:r>
            <w:r>
              <w:rPr>
                <w:rFonts w:ascii="宋体" w:hAnsi="宋体" w:cs="宋体" w:eastAsia="宋体" w:hint="default"/>
                <w:sz w:val="18"/>
                <w:szCs w:val="18"/>
              </w:rPr>
              <w:t> </w:t>
            </w:r>
            <w:r>
              <w:rPr>
                <w:rFonts w:ascii="宋体" w:hAnsi="宋体" w:cs="宋体" w:eastAsia="宋体" w:hint="default"/>
                <w:spacing w:val="-4"/>
                <w:sz w:val="18"/>
                <w:szCs w:val="18"/>
              </w:rPr>
              <w:t>院内外一体化平台研究，依</w:t>
            </w:r>
            <w:r>
              <w:rPr>
                <w:rFonts w:ascii="宋体" w:hAnsi="宋体" w:cs="宋体" w:eastAsia="宋体" w:hint="default"/>
                <w:sz w:val="18"/>
                <w:szCs w:val="18"/>
              </w:rPr>
              <w:t> </w:t>
            </w:r>
            <w:r>
              <w:rPr>
                <w:rFonts w:ascii="宋体" w:hAnsi="宋体" w:cs="宋体" w:eastAsia="宋体" w:hint="default"/>
                <w:spacing w:val="-4"/>
                <w:sz w:val="18"/>
                <w:szCs w:val="18"/>
              </w:rPr>
              <w:t>托云平台，协助医院进行区</w:t>
            </w:r>
            <w:r>
              <w:rPr>
                <w:rFonts w:ascii="宋体" w:hAnsi="宋体" w:cs="宋体" w:eastAsia="宋体" w:hint="default"/>
                <w:sz w:val="18"/>
                <w:szCs w:val="18"/>
              </w:rPr>
              <w:t> </w:t>
            </w:r>
            <w:r>
              <w:rPr>
                <w:rFonts w:ascii="宋体" w:hAnsi="宋体" w:cs="宋体" w:eastAsia="宋体" w:hint="default"/>
                <w:spacing w:val="-4"/>
                <w:sz w:val="18"/>
                <w:szCs w:val="18"/>
              </w:rPr>
              <w:t>域内的医疗活动，此项目具</w:t>
            </w:r>
            <w:r>
              <w:rPr>
                <w:rFonts w:ascii="宋体" w:hAnsi="宋体" w:cs="宋体" w:eastAsia="宋体" w:hint="default"/>
                <w:sz w:val="18"/>
                <w:szCs w:val="18"/>
              </w:rPr>
              <w:t> </w:t>
            </w:r>
            <w:r>
              <w:rPr>
                <w:rFonts w:ascii="宋体" w:hAnsi="宋体" w:cs="宋体" w:eastAsia="宋体" w:hint="default"/>
                <w:spacing w:val="-4"/>
                <w:sz w:val="18"/>
                <w:szCs w:val="18"/>
              </w:rPr>
              <w:t>有比较明确的市场定位，市</w:t>
            </w:r>
            <w:r>
              <w:rPr>
                <w:rFonts w:ascii="宋体" w:hAnsi="宋体" w:cs="宋体" w:eastAsia="宋体" w:hint="default"/>
                <w:sz w:val="18"/>
                <w:szCs w:val="18"/>
              </w:rPr>
              <w:t> </w:t>
            </w:r>
            <w:r>
              <w:rPr>
                <w:rFonts w:ascii="宋体" w:hAnsi="宋体" w:cs="宋体" w:eastAsia="宋体" w:hint="default"/>
                <w:spacing w:val="-4"/>
                <w:sz w:val="18"/>
                <w:szCs w:val="18"/>
              </w:rPr>
              <w:t>场空间和盈利模式，以及发</w:t>
            </w:r>
            <w:r>
              <w:rPr>
                <w:rFonts w:ascii="宋体" w:hAnsi="宋体" w:cs="宋体" w:eastAsia="宋体" w:hint="default"/>
                <w:sz w:val="18"/>
                <w:szCs w:val="18"/>
              </w:rPr>
              <w:t> 展通路</w:t>
            </w:r>
          </w:p>
        </w:tc>
      </w:tr>
      <w:tr>
        <w:trPr>
          <w:trHeight w:val="1906"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5" w:right="48"/>
              <w:jc w:val="left"/>
              <w:rPr>
                <w:rFonts w:ascii="宋体" w:hAnsi="宋体" w:cs="宋体" w:eastAsia="宋体" w:hint="default"/>
                <w:sz w:val="18"/>
                <w:szCs w:val="18"/>
              </w:rPr>
            </w:pPr>
            <w:r>
              <w:rPr>
                <w:rFonts w:ascii="宋体" w:hAnsi="宋体" w:cs="宋体" w:eastAsia="宋体" w:hint="default"/>
                <w:sz w:val="18"/>
                <w:szCs w:val="18"/>
              </w:rPr>
              <w:t>基于互联网的智慧 医疗健康管理平台</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 w:firstLine="218"/>
              <w:jc w:val="left"/>
              <w:rPr>
                <w:rFonts w:ascii="宋体" w:hAnsi="宋体" w:cs="宋体" w:eastAsia="宋体" w:hint="default"/>
                <w:sz w:val="18"/>
                <w:szCs w:val="18"/>
              </w:rPr>
            </w:pPr>
            <w:r>
              <w:rPr>
                <w:rFonts w:ascii="宋体" w:hAnsi="宋体" w:cs="宋体" w:eastAsia="宋体" w:hint="default"/>
                <w:sz w:val="18"/>
                <w:szCs w:val="18"/>
              </w:rPr>
              <w:t>建设智慧医疗健康管理平台，将区 域内医疗卫生服务资源和居民健康服 务资源通过平台实现线上资源和线下 </w:t>
            </w:r>
            <w:r>
              <w:rPr>
                <w:rFonts w:ascii="宋体" w:hAnsi="宋体" w:cs="宋体" w:eastAsia="宋体" w:hint="default"/>
                <w:spacing w:val="-3"/>
                <w:sz w:val="18"/>
                <w:szCs w:val="18"/>
              </w:rPr>
              <w:t>资源的有效对接。完善居民健康档案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为每位市民建立涵盖个人基本信息和 主要医疗卫生服务记录的电子健康档</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both"/>
              <w:rPr>
                <w:rFonts w:ascii="宋体" w:hAnsi="宋体" w:cs="宋体" w:eastAsia="宋体" w:hint="default"/>
                <w:sz w:val="18"/>
                <w:szCs w:val="18"/>
              </w:rPr>
            </w:pPr>
            <w:r>
              <w:rPr>
                <w:rFonts w:ascii="宋体" w:hAnsi="宋体" w:cs="宋体" w:eastAsia="宋体" w:hint="default"/>
                <w:sz w:val="18"/>
                <w:szCs w:val="18"/>
              </w:rPr>
              <w:t>目前完成原型设计及基础框架开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0"/>
                <w:sz w:val="18"/>
                <w:szCs w:val="18"/>
              </w:rPr>
              <w:t>发，并且完成了基础模块的研发，</w:t>
            </w:r>
            <w:r>
              <w:rPr>
                <w:rFonts w:ascii="宋体" w:hAnsi="宋体" w:cs="宋体" w:eastAsia="宋体" w:hint="default"/>
                <w:spacing w:val="-69"/>
                <w:sz w:val="18"/>
                <w:szCs w:val="18"/>
              </w:rPr>
              <w:t> </w:t>
            </w:r>
            <w:r>
              <w:rPr>
                <w:rFonts w:ascii="宋体" w:hAnsi="宋体" w:cs="宋体" w:eastAsia="宋体" w:hint="default"/>
                <w:sz w:val="18"/>
                <w:szCs w:val="18"/>
              </w:rPr>
              <w:t>后续将继续深入研发其他功能</w:t>
            </w:r>
          </w:p>
          <w:p>
            <w:pPr>
              <w:pStyle w:val="TableParagraph"/>
              <w:spacing w:line="240" w:lineRule="auto" w:before="19"/>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hanging="3"/>
              <w:jc w:val="center"/>
              <w:rPr>
                <w:rFonts w:ascii="宋体" w:hAnsi="宋体" w:cs="宋体" w:eastAsia="宋体" w:hint="default"/>
                <w:sz w:val="18"/>
                <w:szCs w:val="18"/>
              </w:rPr>
            </w:pPr>
            <w:r>
              <w:rPr>
                <w:rFonts w:ascii="宋体" w:hAnsi="宋体" w:cs="宋体" w:eastAsia="宋体" w:hint="default"/>
                <w:sz w:val="18"/>
                <w:szCs w:val="18"/>
              </w:rPr>
              <w:t>在技术发展和经济社会发 </w:t>
            </w:r>
            <w:r>
              <w:rPr>
                <w:rFonts w:ascii="宋体" w:hAnsi="宋体" w:cs="宋体" w:eastAsia="宋体" w:hint="default"/>
                <w:spacing w:val="-4"/>
                <w:sz w:val="18"/>
                <w:szCs w:val="18"/>
              </w:rPr>
              <w:t>展的共同推动下，全人全程</w:t>
            </w:r>
            <w:r>
              <w:rPr>
                <w:rFonts w:ascii="宋体" w:hAnsi="宋体" w:cs="宋体" w:eastAsia="宋体" w:hint="default"/>
                <w:sz w:val="18"/>
                <w:szCs w:val="18"/>
              </w:rPr>
              <w:t> </w:t>
            </w:r>
            <w:r>
              <w:rPr>
                <w:rFonts w:ascii="宋体" w:hAnsi="宋体" w:cs="宋体" w:eastAsia="宋体" w:hint="default"/>
                <w:spacing w:val="-4"/>
                <w:sz w:val="18"/>
                <w:szCs w:val="18"/>
              </w:rPr>
              <w:t>的健康管理，未病先治的理</w:t>
            </w:r>
            <w:r>
              <w:rPr>
                <w:rFonts w:ascii="宋体" w:hAnsi="宋体" w:cs="宋体" w:eastAsia="宋体" w:hint="default"/>
                <w:sz w:val="18"/>
                <w:szCs w:val="18"/>
              </w:rPr>
              <w:t> 念必将进一步推动健康管 </w:t>
            </w:r>
            <w:r>
              <w:rPr>
                <w:rFonts w:ascii="宋体" w:hAnsi="宋体" w:cs="宋体" w:eastAsia="宋体" w:hint="default"/>
                <w:spacing w:val="-4"/>
                <w:sz w:val="18"/>
                <w:szCs w:val="18"/>
              </w:rPr>
              <w:t>理业务的不断壮大，同时大</w:t>
            </w:r>
            <w:r>
              <w:rPr>
                <w:rFonts w:ascii="宋体" w:hAnsi="宋体" w:cs="宋体" w:eastAsia="宋体" w:hint="default"/>
                <w:sz w:val="18"/>
                <w:szCs w:val="18"/>
              </w:rPr>
              <w:t> 规模的推动互联网的智慧</w:t>
            </w:r>
          </w:p>
        </w:tc>
      </w:tr>
    </w:tbl>
    <w:p>
      <w:pPr>
        <w:spacing w:after="0" w:line="316" w:lineRule="auto"/>
        <w:jc w:val="center"/>
        <w:rPr>
          <w:rFonts w:ascii="宋体" w:hAnsi="宋体" w:cs="宋体" w:eastAsia="宋体" w:hint="default"/>
          <w:sz w:val="18"/>
          <w:szCs w:val="18"/>
        </w:rPr>
        <w:sectPr>
          <w:pgSz w:w="11910" w:h="16840"/>
          <w:pgMar w:header="877" w:footer="1186" w:top="1100" w:bottom="1380" w:left="980" w:right="500"/>
        </w:sectPr>
      </w:pPr>
    </w:p>
    <w:p>
      <w:pPr>
        <w:spacing w:line="240" w:lineRule="auto" w:before="8"/>
        <w:rPr>
          <w:rFonts w:ascii="宋体" w:hAnsi="宋体" w:cs="宋体" w:eastAsia="宋体" w:hint="default"/>
          <w:sz w:val="24"/>
          <w:szCs w:val="24"/>
        </w:rPr>
      </w:pPr>
    </w:p>
    <w:tbl>
      <w:tblPr>
        <w:tblW w:w="0" w:type="auto"/>
        <w:jc w:val="left"/>
        <w:tblInd w:w="224" w:type="dxa"/>
        <w:tblLayout w:type="fixed"/>
        <w:tblCellMar>
          <w:top w:w="0" w:type="dxa"/>
          <w:left w:w="0" w:type="dxa"/>
          <w:bottom w:w="0" w:type="dxa"/>
          <w:right w:w="0" w:type="dxa"/>
        </w:tblCellMar>
        <w:tblLook w:val="01E0"/>
      </w:tblPr>
      <w:tblGrid>
        <w:gridCol w:w="708"/>
        <w:gridCol w:w="1560"/>
        <w:gridCol w:w="2948"/>
        <w:gridCol w:w="2552"/>
        <w:gridCol w:w="2141"/>
      </w:tblGrid>
      <w:tr>
        <w:trPr>
          <w:trHeight w:val="1908" w:hRule="exact"/>
        </w:trPr>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8" w:right="24"/>
              <w:jc w:val="center"/>
              <w:rPr>
                <w:rFonts w:ascii="宋体" w:hAnsi="宋体" w:cs="宋体" w:eastAsia="宋体" w:hint="default"/>
                <w:sz w:val="18"/>
                <w:szCs w:val="18"/>
              </w:rPr>
            </w:pPr>
            <w:r>
              <w:rPr>
                <w:rFonts w:ascii="宋体" w:hAnsi="宋体" w:cs="宋体" w:eastAsia="宋体" w:hint="default"/>
                <w:sz w:val="18"/>
                <w:szCs w:val="18"/>
              </w:rPr>
              <w:t>案，实现电子健康档案共享；构建信 息惠民服务体系，为居民提供多种健 康服务；推动分级诊疗协作体系，建 立区域医疗协作机制，实现各级诊疗 机构的诊疗信息互通、共享和互认； 创新居民医疗服务应用。</w:t>
            </w:r>
          </w:p>
        </w:tc>
        <w:tc>
          <w:tcPr>
            <w:tcW w:w="2552"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37"/>
              <w:jc w:val="left"/>
              <w:rPr>
                <w:rFonts w:ascii="宋体" w:hAnsi="宋体" w:cs="宋体" w:eastAsia="宋体" w:hint="default"/>
                <w:sz w:val="18"/>
                <w:szCs w:val="18"/>
              </w:rPr>
            </w:pPr>
            <w:r>
              <w:rPr>
                <w:rFonts w:ascii="宋体" w:hAnsi="宋体" w:cs="宋体" w:eastAsia="宋体" w:hint="default"/>
                <w:sz w:val="18"/>
                <w:szCs w:val="18"/>
              </w:rPr>
              <w:t>医疗健康管理平台的建设。</w:t>
            </w:r>
          </w:p>
        </w:tc>
      </w:tr>
      <w:tr>
        <w:trPr>
          <w:trHeight w:val="533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5" w:right="48"/>
              <w:jc w:val="both"/>
              <w:rPr>
                <w:rFonts w:ascii="宋体" w:hAnsi="宋体" w:cs="宋体" w:eastAsia="宋体" w:hint="default"/>
                <w:sz w:val="18"/>
                <w:szCs w:val="18"/>
              </w:rPr>
            </w:pPr>
            <w:r>
              <w:rPr>
                <w:rFonts w:ascii="宋体" w:hAnsi="宋体" w:cs="宋体" w:eastAsia="宋体" w:hint="default"/>
                <w:sz w:val="18"/>
                <w:szCs w:val="18"/>
              </w:rPr>
              <w:t>基于云计算的互联 网医疗服务支撑平 台研发与示范应用</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7" w:hanging="18"/>
              <w:jc w:val="center"/>
              <w:rPr>
                <w:rFonts w:ascii="宋体" w:hAnsi="宋体" w:cs="宋体" w:eastAsia="宋体" w:hint="default"/>
                <w:sz w:val="18"/>
                <w:szCs w:val="18"/>
              </w:rPr>
            </w:pPr>
            <w:r>
              <w:rPr>
                <w:rFonts w:ascii="宋体" w:hAnsi="宋体" w:cs="宋体" w:eastAsia="宋体" w:hint="default"/>
                <w:sz w:val="18"/>
                <w:szCs w:val="18"/>
              </w:rPr>
              <w:t>将分散在不同医疗机构不同信息系统 中的异构医疗、健康数据集成融合到 </w:t>
            </w:r>
            <w:r>
              <w:rPr>
                <w:rFonts w:ascii="宋体" w:hAnsi="宋体" w:cs="宋体" w:eastAsia="宋体" w:hint="default"/>
                <w:spacing w:val="-7"/>
                <w:sz w:val="18"/>
                <w:szCs w:val="18"/>
              </w:rPr>
              <w:t>基于云计算的存储库，通过高可扩展、</w:t>
            </w:r>
            <w:r>
              <w:rPr>
                <w:rFonts w:ascii="宋体" w:hAnsi="宋体" w:cs="宋体" w:eastAsia="宋体" w:hint="default"/>
                <w:spacing w:val="-71"/>
                <w:sz w:val="18"/>
                <w:szCs w:val="18"/>
              </w:rPr>
              <w:t> </w:t>
            </w:r>
            <w:r>
              <w:rPr>
                <w:rFonts w:ascii="宋体" w:hAnsi="宋体" w:cs="宋体" w:eastAsia="宋体" w:hint="default"/>
                <w:sz w:val="18"/>
                <w:szCs w:val="18"/>
              </w:rPr>
              <w:t>高可靠、高可用的灵活存储模式，以</w:t>
            </w:r>
            <w:r>
              <w:rPr>
                <w:rFonts w:ascii="宋体" w:hAnsi="宋体" w:cs="宋体" w:eastAsia="宋体" w:hint="default"/>
                <w:sz w:val="18"/>
                <w:szCs w:val="18"/>
              </w:rPr>
              <w:t> 及海量信息高效检索与访问方法，为 广大患者、医务人员、科研人员及政 府决策者提供能够根据用户角色和应 用场景进行动态组织的医疗信息集成 视图；研发海量个人医疗信息服务平 台技术，支持个人医疗、健康信息有 效交换与共享，海量医疗信息的有效 分析与处理；研发医疗服务支撑平台 的访问门户，构建个人医疗、健康信 </w:t>
            </w:r>
            <w:r>
              <w:rPr>
                <w:rFonts w:ascii="宋体" w:hAnsi="宋体" w:cs="宋体" w:eastAsia="宋体" w:hint="default"/>
                <w:spacing w:val="-3"/>
                <w:sz w:val="18"/>
                <w:szCs w:val="18"/>
              </w:rPr>
              <w:t>息服务中心。研发医疗协同服务平台</w:t>
            </w:r>
            <w:r>
              <w:rPr>
                <w:rFonts w:ascii="宋体" w:hAnsi="宋体" w:cs="宋体" w:eastAsia="宋体" w:hint="default"/>
                <w:sz w:val="18"/>
                <w:szCs w:val="18"/>
              </w:rPr>
              <w:t> 有效整合医疗结构、医保、公共卫生 等资源，打破系统壁垒，帮助医疗卫 生改革政策的落实。</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0"/>
              <w:jc w:val="both"/>
              <w:rPr>
                <w:rFonts w:ascii="宋体" w:hAnsi="宋体" w:cs="宋体" w:eastAsia="宋体" w:hint="default"/>
                <w:sz w:val="18"/>
                <w:szCs w:val="18"/>
              </w:rPr>
            </w:pPr>
            <w:r>
              <w:rPr>
                <w:rFonts w:ascii="宋体" w:hAnsi="宋体" w:cs="宋体" w:eastAsia="宋体" w:hint="default"/>
                <w:sz w:val="18"/>
                <w:szCs w:val="18"/>
              </w:rPr>
              <w:t>目前完成原型设计及基础框架开 </w:t>
            </w:r>
            <w:r>
              <w:rPr>
                <w:rFonts w:ascii="宋体" w:hAnsi="宋体" w:cs="宋体" w:eastAsia="宋体" w:hint="default"/>
                <w:spacing w:val="-10"/>
                <w:sz w:val="18"/>
                <w:szCs w:val="18"/>
              </w:rPr>
              <w:t>发，并且完成了基础模块的研发，</w:t>
            </w:r>
            <w:r>
              <w:rPr>
                <w:rFonts w:ascii="宋体" w:hAnsi="宋体" w:cs="宋体" w:eastAsia="宋体" w:hint="default"/>
                <w:spacing w:val="-69"/>
                <w:sz w:val="18"/>
                <w:szCs w:val="18"/>
              </w:rPr>
              <w:t> </w:t>
            </w:r>
            <w:r>
              <w:rPr>
                <w:rFonts w:ascii="宋体" w:hAnsi="宋体" w:cs="宋体" w:eastAsia="宋体" w:hint="default"/>
                <w:sz w:val="18"/>
                <w:szCs w:val="18"/>
              </w:rPr>
              <w:t>后续将进行系统总体联调、试运</w:t>
            </w:r>
            <w:r>
              <w:rPr>
                <w:rFonts w:ascii="宋体" w:hAnsi="宋体" w:cs="宋体" w:eastAsia="宋体" w:hint="default"/>
                <w:sz w:val="18"/>
                <w:szCs w:val="18"/>
              </w:rPr>
              <w:t> 行</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 w:hanging="3"/>
              <w:jc w:val="center"/>
              <w:rPr>
                <w:rFonts w:ascii="宋体" w:hAnsi="宋体" w:cs="宋体" w:eastAsia="宋体" w:hint="default"/>
                <w:sz w:val="18"/>
                <w:szCs w:val="18"/>
              </w:rPr>
            </w:pPr>
            <w:r>
              <w:rPr>
                <w:rFonts w:ascii="宋体" w:hAnsi="宋体" w:cs="宋体" w:eastAsia="宋体" w:hint="default"/>
                <w:sz w:val="18"/>
                <w:szCs w:val="18"/>
              </w:rPr>
              <w:t>通过新一轮互联网医疗建 </w:t>
            </w:r>
            <w:r>
              <w:rPr>
                <w:rFonts w:ascii="宋体" w:hAnsi="宋体" w:cs="宋体" w:eastAsia="宋体" w:hint="default"/>
                <w:spacing w:val="-4"/>
                <w:sz w:val="18"/>
                <w:szCs w:val="18"/>
              </w:rPr>
              <w:t>设的契机，为个人、基层医</w:t>
            </w:r>
            <w:r>
              <w:rPr>
                <w:rFonts w:ascii="宋体" w:hAnsi="宋体" w:cs="宋体" w:eastAsia="宋体" w:hint="default"/>
                <w:sz w:val="18"/>
                <w:szCs w:val="18"/>
              </w:rPr>
              <w:t> </w:t>
            </w:r>
            <w:r>
              <w:rPr>
                <w:rFonts w:ascii="宋体" w:hAnsi="宋体" w:cs="宋体" w:eastAsia="宋体" w:hint="default"/>
                <w:spacing w:val="-4"/>
                <w:sz w:val="18"/>
                <w:szCs w:val="18"/>
              </w:rPr>
              <w:t>疗机构、大医院和政府提供</w:t>
            </w:r>
            <w:r>
              <w:rPr>
                <w:rFonts w:ascii="宋体" w:hAnsi="宋体" w:cs="宋体" w:eastAsia="宋体" w:hint="default"/>
                <w:sz w:val="18"/>
                <w:szCs w:val="18"/>
              </w:rPr>
              <w:t> 基于互联网的医疗应用服 </w:t>
            </w:r>
            <w:r>
              <w:rPr>
                <w:rFonts w:ascii="宋体" w:hAnsi="宋体" w:cs="宋体" w:eastAsia="宋体" w:hint="default"/>
                <w:spacing w:val="-4"/>
                <w:sz w:val="18"/>
                <w:szCs w:val="18"/>
              </w:rPr>
              <w:t>务，同时开展基于云计算的</w:t>
            </w:r>
            <w:r>
              <w:rPr>
                <w:rFonts w:ascii="宋体" w:hAnsi="宋体" w:cs="宋体" w:eastAsia="宋体" w:hint="default"/>
                <w:sz w:val="18"/>
                <w:szCs w:val="18"/>
              </w:rPr>
              <w:t> 互联网医疗服务支撑平台 </w:t>
            </w:r>
            <w:r>
              <w:rPr>
                <w:rFonts w:ascii="宋体" w:hAnsi="宋体" w:cs="宋体" w:eastAsia="宋体" w:hint="default"/>
                <w:spacing w:val="-4"/>
                <w:sz w:val="18"/>
                <w:szCs w:val="18"/>
              </w:rPr>
              <w:t>的研发与示范应用，探索互</w:t>
            </w:r>
            <w:r>
              <w:rPr>
                <w:rFonts w:ascii="宋体" w:hAnsi="宋体" w:cs="宋体" w:eastAsia="宋体" w:hint="default"/>
                <w:sz w:val="18"/>
                <w:szCs w:val="18"/>
              </w:rPr>
              <w:t> 联网医疗产业化发展路径</w:t>
            </w:r>
          </w:p>
        </w:tc>
      </w:tr>
      <w:tr>
        <w:trPr>
          <w:trHeight w:val="5653"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83" w:right="48" w:hanging="629"/>
              <w:jc w:val="left"/>
              <w:rPr>
                <w:rFonts w:ascii="宋体" w:hAnsi="宋体" w:cs="宋体" w:eastAsia="宋体" w:hint="default"/>
                <w:sz w:val="18"/>
                <w:szCs w:val="18"/>
              </w:rPr>
            </w:pPr>
            <w:r>
              <w:rPr>
                <w:rFonts w:ascii="宋体" w:hAnsi="宋体" w:cs="宋体" w:eastAsia="宋体" w:hint="default"/>
                <w:sz w:val="18"/>
                <w:szCs w:val="18"/>
              </w:rPr>
              <w:t>新一代医院信息系 统</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7" w:hanging="18"/>
              <w:jc w:val="center"/>
              <w:rPr>
                <w:rFonts w:ascii="宋体" w:hAnsi="宋体" w:cs="宋体" w:eastAsia="宋体" w:hint="default"/>
                <w:sz w:val="18"/>
                <w:szCs w:val="18"/>
              </w:rPr>
            </w:pPr>
            <w:r>
              <w:rPr>
                <w:rFonts w:ascii="宋体" w:hAnsi="宋体" w:cs="宋体" w:eastAsia="宋体" w:hint="default"/>
                <w:sz w:val="18"/>
                <w:szCs w:val="18"/>
              </w:rPr>
              <w:t>围绕新军字一号系统前期研发成果的 </w:t>
            </w:r>
            <w:r>
              <w:rPr>
                <w:rFonts w:ascii="宋体" w:hAnsi="宋体" w:cs="宋体" w:eastAsia="宋体" w:hint="default"/>
                <w:spacing w:val="-7"/>
                <w:sz w:val="18"/>
                <w:szCs w:val="18"/>
              </w:rPr>
              <w:t>基础上，进一步深度满足数字化管理、</w:t>
            </w:r>
            <w:r>
              <w:rPr>
                <w:rFonts w:ascii="宋体" w:hAnsi="宋体" w:cs="宋体" w:eastAsia="宋体" w:hint="default"/>
                <w:spacing w:val="-71"/>
                <w:sz w:val="18"/>
                <w:szCs w:val="18"/>
              </w:rPr>
              <w:t> </w:t>
            </w:r>
            <w:r>
              <w:rPr>
                <w:rFonts w:ascii="宋体" w:hAnsi="宋体" w:cs="宋体" w:eastAsia="宋体" w:hint="default"/>
                <w:sz w:val="18"/>
                <w:szCs w:val="18"/>
              </w:rPr>
              <w:t>数字化服务对信息系统的迫切需求，</w:t>
            </w:r>
            <w:r>
              <w:rPr>
                <w:rFonts w:ascii="宋体" w:hAnsi="宋体" w:cs="宋体" w:eastAsia="宋体" w:hint="default"/>
                <w:sz w:val="18"/>
                <w:szCs w:val="18"/>
              </w:rPr>
              <w:t> </w:t>
            </w:r>
            <w:r>
              <w:rPr>
                <w:rFonts w:ascii="宋体" w:hAnsi="宋体" w:cs="宋体" w:eastAsia="宋体" w:hint="default"/>
                <w:spacing w:val="-3"/>
                <w:sz w:val="18"/>
                <w:szCs w:val="18"/>
              </w:rPr>
              <w:t>加大拓展业务功能，开辟新工作流程</w:t>
            </w:r>
            <w:r>
              <w:rPr>
                <w:rFonts w:ascii="宋体" w:hAnsi="宋体" w:cs="宋体" w:eastAsia="宋体" w:hint="default"/>
                <w:sz w:val="18"/>
                <w:szCs w:val="18"/>
              </w:rPr>
              <w:t> 加强电子病历利用，围绕提升医疗质 量，加强临床辅助医疗功能研发；进 一步重点关注运行监管，提高管理效 益，推动规范信息标准纵深贯穿，使 用创新性技术，创新性技术架构，加 深临床信息系统集成规模；进一步优 化业务流程，深化系统应用，加大数 据共享，拓宽服务范围，研制并推广 应用以深化临床业务和深化医院管理 为重点的新一代医院信息系统三期研 发；进一步加强业务流程网络化移动 化、临床支持智能化知识化、医院疗 养院管理精确化实时化、患者服务人 性化便捷化。</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0"/>
              <w:jc w:val="both"/>
              <w:rPr>
                <w:rFonts w:ascii="宋体" w:hAnsi="宋体" w:cs="宋体" w:eastAsia="宋体" w:hint="default"/>
                <w:sz w:val="18"/>
                <w:szCs w:val="18"/>
              </w:rPr>
            </w:pPr>
            <w:r>
              <w:rPr>
                <w:rFonts w:ascii="宋体" w:hAnsi="宋体" w:cs="宋体" w:eastAsia="宋体" w:hint="default"/>
                <w:spacing w:val="-11"/>
                <w:sz w:val="18"/>
                <w:szCs w:val="18"/>
              </w:rPr>
              <w:t>在“种子”客户医院上线试运行，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并进行产品成熟迭代和深化应用</w:t>
            </w:r>
            <w:r>
              <w:rPr>
                <w:rFonts w:ascii="宋体" w:hAnsi="宋体" w:cs="宋体" w:eastAsia="宋体" w:hint="default"/>
                <w:sz w:val="18"/>
                <w:szCs w:val="18"/>
              </w:rPr>
              <w:t> 的开发</w:t>
            </w:r>
          </w:p>
          <w:p>
            <w:pPr>
              <w:pStyle w:val="TableParagraph"/>
              <w:spacing w:line="240" w:lineRule="auto" w:before="19"/>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center"/>
              <w:rPr>
                <w:rFonts w:ascii="宋体" w:hAnsi="宋体" w:cs="宋体" w:eastAsia="宋体" w:hint="default"/>
                <w:sz w:val="18"/>
                <w:szCs w:val="18"/>
              </w:rPr>
            </w:pPr>
            <w:r>
              <w:rPr>
                <w:rFonts w:ascii="宋体" w:hAnsi="宋体" w:cs="宋体" w:eastAsia="宋体" w:hint="default"/>
                <w:spacing w:val="-4"/>
                <w:sz w:val="18"/>
                <w:szCs w:val="18"/>
              </w:rPr>
              <w:t>该系统优化了业务流程，创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新了业务模式，构建了完整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的电子病历体系和统一的 </w:t>
            </w:r>
            <w:r>
              <w:rPr>
                <w:rFonts w:ascii="宋体" w:hAnsi="宋体" w:cs="宋体" w:eastAsia="宋体" w:hint="default"/>
                <w:spacing w:val="-4"/>
                <w:sz w:val="18"/>
                <w:szCs w:val="18"/>
              </w:rPr>
              <w:t>业务管理平台，是公司重量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级的临床医疗核心系统，是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医院诊疗业务的核心操作 系统。将为公司未来</w:t>
            </w:r>
            <w:r>
              <w:rPr>
                <w:rFonts w:ascii="宋体" w:hAnsi="宋体" w:cs="宋体" w:eastAsia="宋体" w:hint="default"/>
                <w:spacing w:val="1"/>
                <w:sz w:val="18"/>
                <w:szCs w:val="18"/>
              </w:rPr>
              <w:t> </w:t>
            </w:r>
            <w:r>
              <w:rPr>
                <w:rFonts w:ascii="宋体" w:hAnsi="宋体" w:cs="宋体" w:eastAsia="宋体" w:hint="default"/>
                <w:sz w:val="18"/>
                <w:szCs w:val="18"/>
              </w:rPr>
              <w:t>5-10 </w:t>
            </w:r>
            <w:r>
              <w:rPr>
                <w:rFonts w:ascii="宋体" w:hAnsi="宋体" w:cs="宋体" w:eastAsia="宋体" w:hint="default"/>
                <w:sz w:val="18"/>
                <w:szCs w:val="18"/>
              </w:rPr>
              <w:t>年提供强有力的产品竞争 力</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before="44"/>
        <w:ind w:right="134"/>
        <w:jc w:val="left"/>
      </w:pPr>
      <w:r>
        <w:rPr/>
        <w:t>近三年公司研发投入金额及占营业收入的比例</w:t>
      </w:r>
    </w:p>
    <w:p>
      <w:pPr>
        <w:spacing w:after="0" w:line="240" w:lineRule="auto"/>
        <w:jc w:val="left"/>
        <w:sectPr>
          <w:pgSz w:w="11910" w:h="16840"/>
          <w:pgMar w:header="877" w:footer="1186" w:top="1100" w:bottom="1380" w:left="980" w:right="56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36.68%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40,828,342.34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42,501,064.75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34,947,975.13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15.52%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1,127,346.55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2,806,166.14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34"/>
        <w:jc w:val="left"/>
      </w:pPr>
      <w:r>
        <w:rPr/>
        <w:t>研发投入总额占营业收入的比重较上年发生显著变化的原因</w:t>
      </w:r>
    </w:p>
    <w:p>
      <w:pPr>
        <w:pStyle w:val="BodyText"/>
        <w:spacing w:line="340" w:lineRule="auto" w:before="115"/>
        <w:ind w:right="6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34"/>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44"/>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265,048,952.02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247,127,720.91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220,373,084.93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231,243,520.77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44,675,867.09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15,884,200.14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181.26%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976,037,543.73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205,599,580.19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374.73%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1,050,251,401.18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315,869,655.55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232.50%</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-74,213,857.45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-110,270,075.36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-32.70%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27,023,938.30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243,051,618.00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-88.88%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9,533,220.67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93,940,026.09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-89.85%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17,490,717.63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149,111,591.91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-88.27%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-12,047,272.73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54,725,716.69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-122.01%</w:t>
            </w:r>
          </w:p>
        </w:tc>
      </w:tr>
    </w:tbl>
    <w:p>
      <w:pPr>
        <w:pStyle w:val="BodyText"/>
        <w:spacing w:line="240" w:lineRule="auto" w:before="49"/>
        <w:ind w:right="134"/>
        <w:jc w:val="left"/>
      </w:pPr>
      <w:r>
        <w:rPr/>
        <w:t>相关数据同比发生重大变动的主要影响因素说明</w:t>
      </w:r>
    </w:p>
    <w:p>
      <w:pPr>
        <w:pStyle w:val="BodyText"/>
        <w:spacing w:line="240" w:lineRule="auto" w:before="115"/>
        <w:ind w:right="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34"/>
        <w:jc w:val="left"/>
      </w:pPr>
      <w:r>
        <w:rPr>
          <w:rFonts w:ascii="Times New Roman" w:hAnsi="Times New Roman" w:cs="Times New Roman" w:eastAsia="Times New Roman" w:hint="default"/>
        </w:rPr>
        <w:t>1</w:t>
      </w:r>
      <w:r>
        <w:rPr/>
        <w:t>）经营活动产生的现金流量净额变动</w:t>
      </w:r>
      <w:r>
        <w:rPr>
          <w:rFonts w:ascii="Times New Roman" w:hAnsi="Times New Roman" w:cs="Times New Roman" w:eastAsia="Times New Roman" w:hint="default"/>
        </w:rPr>
        <w:t>181.26%</w:t>
      </w:r>
      <w:r>
        <w:rPr/>
        <w:t>，主要为公司加强应收账款管理，销售回款增加所致。</w:t>
      </w:r>
    </w:p>
    <w:p>
      <w:pPr>
        <w:pStyle w:val="BodyText"/>
        <w:spacing w:line="240" w:lineRule="auto" w:before="63"/>
        <w:ind w:right="134"/>
        <w:jc w:val="left"/>
      </w:pPr>
      <w:r>
        <w:rPr>
          <w:rFonts w:ascii="Times New Roman" w:hAnsi="Times New Roman" w:cs="Times New Roman" w:eastAsia="Times New Roman" w:hint="default"/>
        </w:rPr>
        <w:t>2</w:t>
      </w:r>
      <w:r>
        <w:rPr/>
        <w:t>）投资活动现金流入、投资活动现金流出变动较大主要受银行理财产品购买影响。</w:t>
      </w:r>
    </w:p>
    <w:p>
      <w:pPr>
        <w:pStyle w:val="BodyText"/>
        <w:spacing w:line="340" w:lineRule="auto" w:before="63"/>
        <w:ind w:right="3714"/>
        <w:jc w:val="left"/>
      </w:pPr>
      <w:r>
        <w:rPr>
          <w:rFonts w:ascii="Times New Roman" w:hAnsi="Times New Roman" w:cs="Times New Roman" w:eastAsia="Times New Roman" w:hint="default"/>
        </w:rPr>
        <w:t>3</w:t>
      </w:r>
      <w:r>
        <w:rPr/>
        <w:t>）筹资活动现金流出、筹资活动现金流出变动较大主要受上期发行股票影响。 报告期内公司经营活动产生的现金净流量与本年度净利润存在重大差异的原因说明</w:t>
      </w:r>
    </w:p>
    <w:p>
      <w:pPr>
        <w:spacing w:after="0" w:line="340" w:lineRule="auto"/>
        <w:jc w:val="left"/>
        <w:sectPr>
          <w:footerReference w:type="default" r:id="rId17"/>
          <w:pgSz w:w="11910" w:h="16840"/>
          <w:pgMar w:footer="1186" w:header="877" w:top="1100" w:bottom="1380" w:left="980" w:right="560"/>
          <w:pgNumType w:start="25"/>
        </w:sectPr>
      </w:pPr>
    </w:p>
    <w:p>
      <w:pPr>
        <w:spacing w:line="240" w:lineRule="auto" w:before="11"/>
        <w:rPr>
          <w:rFonts w:ascii="宋体" w:hAnsi="宋体" w:cs="宋体" w:eastAsia="宋体" w:hint="default"/>
          <w:sz w:val="21"/>
          <w:szCs w:val="21"/>
        </w:rPr>
      </w:pPr>
    </w:p>
    <w:p>
      <w:pPr>
        <w:pStyle w:val="BodyText"/>
        <w:spacing w:line="240" w:lineRule="auto" w:before="44"/>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12" w:right="0"/>
        <w:jc w:val="left"/>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212" w:right="0"/>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212"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44"/>
        <w:jc w:val="right"/>
      </w:pPr>
      <w:r>
        <w:rPr/>
        <w:t>单位：元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277"/>
        <w:gridCol w:w="1255"/>
        <w:gridCol w:w="1064"/>
        <w:gridCol w:w="1195"/>
        <w:gridCol w:w="1064"/>
        <w:gridCol w:w="797"/>
        <w:gridCol w:w="2919"/>
      </w:tblGrid>
      <w:tr>
        <w:trPr>
          <w:trHeight w:val="404" w:hRule="exact"/>
        </w:trPr>
        <w:tc>
          <w:tcPr>
            <w:tcW w:w="1277" w:type="dxa"/>
            <w:vMerge w:val="restart"/>
            <w:tcBorders>
              <w:top w:val="single" w:sz="4" w:space="0" w:color="000000"/>
              <w:left w:val="single" w:sz="4" w:space="0" w:color="000000"/>
              <w:right w:val="single" w:sz="4" w:space="0" w:color="000000"/>
            </w:tcBorders>
          </w:tcPr>
          <w:p>
            <w:pP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tcPr>
          <w:p>
            <w:pPr>
              <w:pStyle w:val="TableParagraph"/>
              <w:spacing w:line="316" w:lineRule="auto" w:before="49"/>
              <w:ind w:left="304" w:right="120"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277" w:type="dxa"/>
            <w:vMerge/>
            <w:tcBorders>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46" w:right="166"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45" w:right="166"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117,112,048.5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16.90%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128,929,938.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21.89%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-4.99%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195,808,655.2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28.26%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145,841,686.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3.50%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1,243,382.97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301,568.39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0.13%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62"/>
              <w:jc w:val="left"/>
              <w:rPr>
                <w:rFonts w:ascii="宋体" w:hAnsi="宋体" w:cs="宋体" w:eastAsia="宋体" w:hint="default"/>
                <w:sz w:val="18"/>
                <w:szCs w:val="18"/>
              </w:rPr>
            </w:pPr>
            <w:r>
              <w:rPr>
                <w:rFonts w:ascii="宋体" w:hAnsi="宋体" w:cs="宋体" w:eastAsia="宋体" w:hint="default"/>
                <w:sz w:val="18"/>
                <w:szCs w:val="18"/>
              </w:rPr>
              <w:t>投资性房地 产</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59,713,966.13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医疗信息化产品生产基地本报告期 达到预定可使用状态，部分自用， 部分出租。</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118,970,098.4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17.17%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6,795,504.68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16.02%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医疗信息化产品生产基地本报告期 达到预定可使用状态，部分自用， 部分出租。</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5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155,570,537.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26.41%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-26.41</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医疗信息化产品生产基地本报告期 达到预定可使用状态，部分自用， 部分出租。</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24,200,000.00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经营需要借入短期借款所致。</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left"/>
              <w:rPr>
                <w:rFonts w:ascii="宋体" w:hAnsi="宋体" w:cs="宋体" w:eastAsia="宋体" w:hint="default"/>
                <w:sz w:val="18"/>
                <w:szCs w:val="18"/>
              </w:rPr>
            </w:pPr>
            <w:r>
              <w:rPr>
                <w:rFonts w:ascii="宋体" w:hAnsi="宋体" w:cs="宋体" w:eastAsia="宋体" w:hint="default"/>
                <w:sz w:val="18"/>
                <w:szCs w:val="18"/>
              </w:rPr>
              <w:t>其他流动资 产</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136,089,855.3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19.64%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98,161,399.6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16.67%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理财产品购买增加</w:t>
            </w:r>
          </w:p>
        </w:tc>
      </w:tr>
    </w:tbl>
    <w:p>
      <w:pPr>
        <w:spacing w:line="240" w:lineRule="auto" w:before="3"/>
        <w:rPr>
          <w:rFonts w:ascii="宋体" w:hAnsi="宋体" w:cs="宋体" w:eastAsia="宋体" w:hint="default"/>
          <w:sz w:val="19"/>
          <w:szCs w:val="19"/>
        </w:rPr>
      </w:pPr>
    </w:p>
    <w:p>
      <w:pPr>
        <w:pStyle w:val="Heading5"/>
        <w:spacing w:line="240" w:lineRule="auto" w:before="36"/>
        <w:ind w:left="212"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spacing w:line="547" w:lineRule="auto" w:before="0"/>
        <w:ind w:left="212" w:right="6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18"/>
          <w:szCs w:val="18"/>
        </w:rPr>
        <w:t>无</w:t>
      </w:r>
    </w:p>
    <w:p>
      <w:pPr>
        <w:spacing w:after="0" w:line="547" w:lineRule="auto"/>
        <w:jc w:val="left"/>
        <w:rPr>
          <w:rFonts w:ascii="宋体" w:hAnsi="宋体" w:cs="宋体" w:eastAsia="宋体" w:hint="default"/>
          <w:sz w:val="18"/>
          <w:szCs w:val="18"/>
        </w:rPr>
        <w:sectPr>
          <w:pgSz w:w="11910" w:h="16840"/>
          <w:pgMar w:header="877" w:footer="1186" w:top="1100" w:bottom="1380" w:left="920" w:right="560"/>
        </w:sectPr>
      </w:pPr>
    </w:p>
    <w:p>
      <w:pPr>
        <w:spacing w:line="240" w:lineRule="auto" w:before="10"/>
        <w:rPr>
          <w:rFonts w:ascii="宋体" w:hAnsi="宋体" w:cs="宋体" w:eastAsia="宋体" w:hint="default"/>
          <w:sz w:val="19"/>
          <w:szCs w:val="19"/>
        </w:rPr>
      </w:pPr>
    </w:p>
    <w:p>
      <w:pPr>
        <w:pStyle w:val="Heading2"/>
        <w:spacing w:line="240" w:lineRule="auto" w:before="26"/>
        <w:ind w:right="134"/>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34"/>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34"/>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34"/>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34"/>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34"/>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34"/>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44"/>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86"/>
              <w:jc w:val="center"/>
              <w:rPr>
                <w:rFonts w:ascii="宋体" w:hAnsi="宋体" w:cs="宋体" w:eastAsia="宋体" w:hint="default"/>
                <w:sz w:val="18"/>
                <w:szCs w:val="18"/>
              </w:rPr>
            </w:pPr>
            <w:r>
              <w:rPr>
                <w:rFonts w:ascii="宋体" w:hAnsi="宋体" w:cs="宋体" w:eastAsia="宋体" w:hint="default"/>
                <w:sz w:val="18"/>
                <w:szCs w:val="18"/>
              </w:rPr>
              <w:t>直接定价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21,159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2,290.87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16,284.48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4,949.86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保本性理 财产品及 活期存款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21,159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2,290.87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16,284.48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4,949.86</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667"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  </w:t>
            </w:r>
            <w:r>
              <w:rPr>
                <w:rFonts w:ascii="宋体" w:hAnsi="宋体" w:cs="宋体" w:eastAsia="宋体" w:hint="default"/>
                <w:sz w:val="18"/>
                <w:szCs w:val="18"/>
              </w:rPr>
              <w:t>实际募集资金金额和资金到账时间</w:t>
            </w:r>
          </w:p>
          <w:p>
            <w:pPr>
              <w:pStyle w:val="TableParagraph"/>
              <w:spacing w:line="300" w:lineRule="auto" w:before="103"/>
              <w:ind w:left="24" w:right="20" w:firstLine="36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经中国证券监督管理委员会证监许可〔</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2096</w:t>
            </w:r>
            <w:r>
              <w:rPr>
                <w:rFonts w:ascii="Times New Roman" w:hAnsi="Times New Roman" w:cs="Times New Roman" w:eastAsia="Times New Roman" w:hint="default"/>
                <w:spacing w:val="20"/>
                <w:sz w:val="18"/>
                <w:szCs w:val="18"/>
              </w:rPr>
              <w:t> </w:t>
            </w:r>
            <w:r>
              <w:rPr>
                <w:rFonts w:ascii="宋体" w:hAnsi="宋体" w:cs="宋体" w:eastAsia="宋体" w:hint="default"/>
                <w:spacing w:val="-2"/>
                <w:sz w:val="18"/>
                <w:szCs w:val="18"/>
              </w:rPr>
              <w:t>号文核准，并经深圳证券交易所同意，本公司由主承销商中信证券</w:t>
            </w:r>
            <w:r>
              <w:rPr>
                <w:rFonts w:ascii="宋体" w:hAnsi="宋体" w:cs="宋体" w:eastAsia="宋体" w:hint="default"/>
                <w:sz w:val="18"/>
                <w:szCs w:val="18"/>
              </w:rPr>
              <w:t> 股份有限公司采用直接定价方式，向社会公众公开发行人民币普通股（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7"/>
                <w:sz w:val="18"/>
                <w:szCs w:val="18"/>
              </w:rPr>
              <w:t> </w:t>
            </w:r>
            <w:r>
              <w:rPr>
                <w:rFonts w:ascii="宋体" w:hAnsi="宋体" w:cs="宋体" w:eastAsia="宋体" w:hint="default"/>
                <w:spacing w:val="-5"/>
                <w:sz w:val="18"/>
                <w:szCs w:val="18"/>
              </w:rPr>
              <w:t>股）股票</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万股，发行价为每股人民币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12.53</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元，共计募集资金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25,060.00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万元，坐扣承销和保荐费用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2,968.00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万元后的募集资金为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22,092.00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万元，已由主承销商中信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证券股份有限公司于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日汇入本公司募集资金监管账户。另减除律师费、审计费、法定信息披露费等与发</w:t>
            </w:r>
          </w:p>
          <w:p>
            <w:pPr>
              <w:pStyle w:val="TableParagraph"/>
              <w:spacing w:line="300" w:lineRule="auto" w:before="63"/>
              <w:ind w:left="24" w:right="32"/>
              <w:jc w:val="left"/>
              <w:rPr>
                <w:rFonts w:ascii="宋体" w:hAnsi="宋体" w:cs="宋体" w:eastAsia="宋体" w:hint="default"/>
                <w:sz w:val="18"/>
                <w:szCs w:val="18"/>
              </w:rPr>
            </w:pPr>
            <w:r>
              <w:rPr>
                <w:rFonts w:ascii="宋体" w:hAnsi="宋体" w:cs="宋体" w:eastAsia="宋体" w:hint="default"/>
                <w:sz w:val="18"/>
                <w:szCs w:val="18"/>
              </w:rPr>
              <w:t>行权益性证券直接相关的新增外部费用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933.00 </w:t>
            </w:r>
            <w:r>
              <w:rPr>
                <w:rFonts w:ascii="宋体" w:hAnsi="宋体" w:cs="宋体" w:eastAsia="宋体" w:hint="default"/>
                <w:sz w:val="18"/>
                <w:szCs w:val="18"/>
              </w:rPr>
              <w:t>万元后，公司本次募集资金净额为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21,159.00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万元。上述募集资金到位情况 </w:t>
            </w:r>
            <w:r>
              <w:rPr>
                <w:rFonts w:ascii="宋体" w:hAnsi="宋体" w:cs="宋体" w:eastAsia="宋体" w:hint="default"/>
                <w:spacing w:val="-3"/>
                <w:sz w:val="18"/>
                <w:szCs w:val="18"/>
              </w:rPr>
              <w:t>业经天健会计师事务所（特殊普通合伙）验证，并由其出具《验资报告》（天健验〔</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409</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pacing w:val="-31"/>
                <w:sz w:val="18"/>
                <w:szCs w:val="18"/>
              </w:rPr>
              <w:t>号）。</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  </w:t>
            </w:r>
            <w:r>
              <w:rPr>
                <w:rFonts w:ascii="宋体" w:hAnsi="宋体" w:cs="宋体" w:eastAsia="宋体" w:hint="default"/>
                <w:sz w:val="18"/>
                <w:szCs w:val="18"/>
              </w:rPr>
              <w:t>募集资金使用和结余情况</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560"/>
        </w:sectPr>
      </w:pPr>
    </w:p>
    <w:p>
      <w:pPr>
        <w:spacing w:line="240" w:lineRule="auto" w:before="3"/>
        <w:rPr>
          <w:rFonts w:ascii="宋体" w:hAnsi="宋体" w:cs="宋体" w:eastAsia="宋体" w:hint="default"/>
          <w:sz w:val="24"/>
          <w:szCs w:val="24"/>
        </w:rPr>
      </w:pPr>
    </w:p>
    <w:p>
      <w:pPr>
        <w:spacing w:line="2294" w:lineRule="exact"/>
        <w:ind w:left="148" w:right="0" w:firstLine="0"/>
        <w:rPr>
          <w:rFonts w:ascii="宋体" w:hAnsi="宋体" w:cs="宋体" w:eastAsia="宋体" w:hint="default"/>
          <w:sz w:val="20"/>
          <w:szCs w:val="20"/>
        </w:rPr>
      </w:pPr>
      <w:r>
        <w:rPr>
          <w:rFonts w:ascii="宋体" w:hAnsi="宋体" w:cs="宋体" w:eastAsia="宋体" w:hint="default"/>
          <w:position w:val="-45"/>
          <w:sz w:val="20"/>
          <w:szCs w:val="20"/>
        </w:rPr>
        <w:pict>
          <v:group style="width:481.9pt;height:114.75pt;mso-position-horizontal-relative:char;mso-position-vertical-relative:line" coordorigin="0,0" coordsize="9638,2295">
            <v:group style="position:absolute;left:10;top:10;width:9557;height:2" coordorigin="10,10" coordsize="9557,2">
              <v:shape style="position:absolute;left:10;top:10;width:9557;height:2" coordorigin="10,10" coordsize="9557,0" path="m10,10l9566,10e" filled="false" stroked="true" strokeweight=".48pt" strokecolor="#000000">
                <v:path arrowok="t"/>
              </v:shape>
            </v:group>
            <v:group style="position:absolute;left:5;top:5;width:2;height:2286" coordorigin="5,5" coordsize="2,2286">
              <v:shape style="position:absolute;left:5;top:5;width:2;height:2286" coordorigin="5,5" coordsize="0,2286" path="m5,5l5,2290e" filled="false" stroked="true" strokeweight=".48pt" strokecolor="#000000">
                <v:path arrowok="t"/>
              </v:shape>
            </v:group>
            <v:group style="position:absolute;left:10;top:2285;width:9557;height:2" coordorigin="10,2285" coordsize="9557,2">
              <v:shape style="position:absolute;left:10;top:2285;width:9557;height:2" coordorigin="10,2285" coordsize="9557,0" path="m10,2285l9566,2285e" filled="false" stroked="true" strokeweight=".48001pt" strokecolor="#000000">
                <v:path arrowok="t"/>
              </v:shape>
            </v:group>
            <v:group style="position:absolute;left:9571;top:5;width:2;height:2286" coordorigin="9571,5" coordsize="2,2286">
              <v:shape style="position:absolute;left:9571;top:5;width:2;height:2286" coordorigin="9571,5" coordsize="0,2286" path="m9571,5l9571,2290e" filled="false" stroked="true" strokeweight=".48004pt" strokecolor="#000000">
                <v:path arrowok="t"/>
              </v:shape>
              <v:shape style="position:absolute;left:0;top:0;width:9638;height:2295" type="#_x0000_t202" filled="false" stroked="false">
                <v:textbox inset="0,0,0,0">
                  <w:txbxContent>
                    <w:p>
                      <w:pPr>
                        <w:spacing w:before="23"/>
                        <w:ind w:left="394" w:right="0" w:firstLine="0"/>
                        <w:jc w:val="left"/>
                        <w:rPr>
                          <w:rFonts w:ascii="宋体" w:hAnsi="宋体" w:cs="宋体" w:eastAsia="宋体" w:hint="default"/>
                          <w:sz w:val="18"/>
                          <w:szCs w:val="18"/>
                        </w:rPr>
                      </w:pPr>
                      <w:r>
                        <w:rPr>
                          <w:rFonts w:ascii="宋体" w:hAnsi="宋体" w:cs="宋体" w:eastAsia="宋体" w:hint="default"/>
                          <w:sz w:val="18"/>
                          <w:szCs w:val="18"/>
                        </w:rPr>
                        <w:t>本公司以前年度已使用募集资金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80"/>
                          <w:sz w:val="18"/>
                          <w:szCs w:val="18"/>
                        </w:rPr>
                        <w:t>，</w:t>
                      </w:r>
                      <w:r>
                        <w:rPr>
                          <w:rFonts w:ascii="宋体" w:hAnsi="宋体" w:cs="宋体" w:eastAsia="宋体" w:hint="default"/>
                          <w:sz w:val="18"/>
                          <w:szCs w:val="18"/>
                        </w:rPr>
                        <w:t>以前年度</w:t>
                      </w:r>
                      <w:r>
                        <w:rPr>
                          <w:rFonts w:ascii="宋体" w:hAnsi="宋体" w:cs="宋体" w:eastAsia="宋体" w:hint="default"/>
                          <w:spacing w:val="-3"/>
                          <w:sz w:val="18"/>
                          <w:szCs w:val="18"/>
                        </w:rPr>
                        <w:t>收</w:t>
                      </w:r>
                      <w:r>
                        <w:rPr>
                          <w:rFonts w:ascii="宋体" w:hAnsi="宋体" w:cs="宋体" w:eastAsia="宋体" w:hint="default"/>
                          <w:sz w:val="18"/>
                          <w:szCs w:val="18"/>
                        </w:rPr>
                        <w:t>到的银行存款利息扣除银行手续费等的净额为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before="63"/>
                        <w:ind w:left="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年度实际使用募集资金投入募投项目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2,290.87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年度收到的银行理财产品收益以及银行存款利息扣除银行</w:t>
                      </w:r>
                    </w:p>
                    <w:p>
                      <w:pPr>
                        <w:spacing w:before="63"/>
                        <w:ind w:left="33" w:right="0" w:firstLine="0"/>
                        <w:jc w:val="left"/>
                        <w:rPr>
                          <w:rFonts w:ascii="宋体" w:hAnsi="宋体" w:cs="宋体" w:eastAsia="宋体" w:hint="default"/>
                          <w:sz w:val="18"/>
                          <w:szCs w:val="18"/>
                        </w:rPr>
                      </w:pPr>
                      <w:r>
                        <w:rPr>
                          <w:rFonts w:ascii="宋体" w:hAnsi="宋体" w:cs="宋体" w:eastAsia="宋体" w:hint="default"/>
                          <w:sz w:val="18"/>
                          <w:szCs w:val="18"/>
                        </w:rPr>
                        <w:t>手续费的净额为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69.84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年度注销募集资金专户转出余额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万元。本公司累计已使用募集资金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16,284.48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63"/>
                        <w:ind w:left="33" w:right="0" w:firstLine="0"/>
                        <w:jc w:val="left"/>
                        <w:rPr>
                          <w:rFonts w:ascii="宋体" w:hAnsi="宋体" w:cs="宋体" w:eastAsia="宋体" w:hint="default"/>
                          <w:sz w:val="18"/>
                          <w:szCs w:val="18"/>
                        </w:rPr>
                      </w:pPr>
                      <w:r>
                        <w:rPr>
                          <w:rFonts w:ascii="宋体" w:hAnsi="宋体" w:cs="宋体" w:eastAsia="宋体" w:hint="default"/>
                          <w:sz w:val="18"/>
                          <w:szCs w:val="18"/>
                        </w:rPr>
                        <w:t>累计收到的银行理财产品收益以及银行存款利息扣除银行手续费的净额为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万元，累计注销募集资金专户转出余额</w:t>
                      </w:r>
                    </w:p>
                    <w:p>
                      <w:pPr>
                        <w:spacing w:before="63"/>
                        <w:ind w:left="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00" w:lineRule="auto" w:before="103"/>
                        <w:ind w:left="33" w:right="150" w:firstLine="36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4,949.86 </w:t>
                      </w:r>
                      <w:r>
                        <w:rPr>
                          <w:rFonts w:ascii="宋体" w:hAnsi="宋体" w:cs="宋体" w:eastAsia="宋体" w:hint="default"/>
                          <w:sz w:val="18"/>
                          <w:szCs w:val="18"/>
                        </w:rPr>
                        <w:t>万元（包括累计收到的银行理财产品收益以及银行存款利 </w:t>
                      </w:r>
                      <w:r>
                        <w:rPr>
                          <w:rFonts w:ascii="宋体" w:hAnsi="宋体" w:cs="宋体" w:eastAsia="宋体" w:hint="default"/>
                          <w:spacing w:val="-8"/>
                          <w:sz w:val="18"/>
                          <w:szCs w:val="18"/>
                        </w:rPr>
                        <w:t>息扣除银行手续费的净额）。</w:t>
                      </w:r>
                    </w:p>
                  </w:txbxContent>
                </v:textbox>
                <w10:wrap type="none"/>
              </v:shape>
            </v:group>
          </v:group>
        </w:pict>
      </w:r>
      <w:r>
        <w:rPr>
          <w:rFonts w:ascii="宋体" w:hAnsi="宋体" w:cs="宋体" w:eastAsia="宋体" w:hint="default"/>
          <w:position w:val="-45"/>
          <w:sz w:val="20"/>
          <w:szCs w:val="20"/>
        </w:rPr>
      </w:r>
    </w:p>
    <w:p>
      <w:pPr>
        <w:spacing w:line="240" w:lineRule="auto" w:before="12"/>
        <w:rPr>
          <w:rFonts w:ascii="宋体" w:hAnsi="宋体" w:cs="宋体" w:eastAsia="宋体" w:hint="default"/>
          <w:sz w:val="18"/>
          <w:szCs w:val="18"/>
        </w:rPr>
      </w:pPr>
    </w:p>
    <w:p>
      <w:pPr>
        <w:pStyle w:val="Heading5"/>
        <w:spacing w:line="240" w:lineRule="auto" w:before="36"/>
        <w:ind w:right="134"/>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44"/>
        <w:jc w:val="right"/>
      </w:pPr>
      <w:r>
        <w:rPr/>
        <w:t>单位：万元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769"/>
        <w:gridCol w:w="780"/>
        <w:gridCol w:w="781"/>
        <w:gridCol w:w="780"/>
        <w:gridCol w:w="778"/>
        <w:gridCol w:w="780"/>
        <w:gridCol w:w="780"/>
        <w:gridCol w:w="780"/>
        <w:gridCol w:w="781"/>
        <w:gridCol w:w="780"/>
        <w:gridCol w:w="1135"/>
      </w:tblGrid>
      <w:tr>
        <w:trPr>
          <w:trHeight w:val="1337"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521" w:right="67"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2" w:right="110"/>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3" w:hRule="exact"/>
        </w:trPr>
        <w:tc>
          <w:tcPr>
            <w:tcW w:w="992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13"/>
              <w:jc w:val="left"/>
              <w:rPr>
                <w:rFonts w:ascii="宋体" w:hAnsi="宋体" w:cs="宋体" w:eastAsia="宋体" w:hint="default"/>
                <w:sz w:val="18"/>
                <w:szCs w:val="18"/>
              </w:rPr>
            </w:pPr>
            <w:r>
              <w:rPr>
                <w:rFonts w:ascii="宋体" w:hAnsi="宋体" w:cs="宋体" w:eastAsia="宋体" w:hint="default"/>
                <w:sz w:val="18"/>
                <w:szCs w:val="18"/>
              </w:rPr>
              <w:t>医疗信息化产品生产 基地建设项目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17,659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17,659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1,835.25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13,918.87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center"/>
              <w:rPr>
                <w:rFonts w:ascii="Times New Roman" w:hAnsi="Times New Roman" w:cs="Times New Roman" w:eastAsia="Times New Roman" w:hint="default"/>
                <w:sz w:val="18"/>
                <w:szCs w:val="18"/>
              </w:rPr>
            </w:pPr>
            <w:r>
              <w:rPr>
                <w:rFonts w:ascii="Times New Roman"/>
                <w:sz w:val="18"/>
              </w:rPr>
              <w:t>78.82%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17" w:right="111"/>
              <w:jc w:val="left"/>
              <w:rPr>
                <w:rFonts w:ascii="宋体" w:hAnsi="宋体" w:cs="宋体" w:eastAsia="宋体" w:hint="default"/>
                <w:sz w:val="18"/>
                <w:szCs w:val="18"/>
              </w:rPr>
            </w:pPr>
            <w:r>
              <w:rPr>
                <w:rFonts w:ascii="宋体" w:hAnsi="宋体" w:cs="宋体" w:eastAsia="宋体" w:hint="default"/>
                <w:sz w:val="18"/>
                <w:szCs w:val="18"/>
              </w:rPr>
              <w:t>尚未实 施完毕</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企业研究院建设项目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center"/>
              <w:rPr>
                <w:rFonts w:ascii="Times New Roman" w:hAnsi="Times New Roman" w:cs="Times New Roman" w:eastAsia="Times New Roman" w:hint="default"/>
                <w:sz w:val="18"/>
                <w:szCs w:val="18"/>
              </w:rPr>
            </w:pPr>
            <w:r>
              <w:rPr>
                <w:rFonts w:ascii="Times New Roman"/>
                <w:sz w:val="18"/>
              </w:rPr>
              <w:t>47.33%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营销网络项目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center"/>
              <w:rPr>
                <w:rFonts w:ascii="Times New Roman" w:hAnsi="Times New Roman" w:cs="Times New Roman" w:eastAsia="Times New Roman" w:hint="default"/>
                <w:sz w:val="18"/>
                <w:szCs w:val="18"/>
              </w:rPr>
            </w:pPr>
            <w:r>
              <w:rPr>
                <w:rFonts w:ascii="Times New Roman"/>
                <w:sz w:val="18"/>
              </w:rPr>
              <w:t>56.95%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补充流动资金与偿还 银行贷款</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21,159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2,290.87</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16,284.48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99"/>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92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21,159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2,290.87</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16,284.48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99"/>
              <w:jc w:val="right"/>
              <w:rPr>
                <w:rFonts w:ascii="Times New Roman" w:hAnsi="Times New Roman" w:cs="Times New Roman" w:eastAsia="Times New Roman" w:hint="default"/>
                <w:sz w:val="18"/>
                <w:szCs w:val="18"/>
              </w:rPr>
            </w:pPr>
            <w:r>
              <w:rPr>
                <w:rFonts w:ascii="Times New Roman"/>
                <w:sz w:val="18"/>
              </w:rPr>
              <w:t>--</w:t>
            </w:r>
          </w:p>
        </w:tc>
      </w:tr>
      <w:tr>
        <w:trPr>
          <w:trHeight w:val="629" w:hRule="exact"/>
        </w:trPr>
        <w:tc>
          <w:tcPr>
            <w:tcW w:w="17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4" w:type="dxa"/>
            <w:gridSpan w:val="10"/>
            <w:vMerge w:val="restart"/>
            <w:tcBorders>
              <w:top w:val="single" w:sz="4" w:space="0" w:color="000000"/>
              <w:left w:val="single" w:sz="10" w:space="0" w:color="D2D2D2"/>
              <w:right w:val="single" w:sz="4" w:space="0" w:color="000000"/>
            </w:tcBorders>
          </w:tcPr>
          <w:p>
            <w:pPr>
              <w:pStyle w:val="TableParagraph"/>
              <w:spacing w:line="316" w:lineRule="auto" w:before="49"/>
              <w:ind w:left="16" w:right="18"/>
              <w:jc w:val="both"/>
              <w:rPr>
                <w:rFonts w:ascii="宋体" w:hAnsi="宋体" w:cs="宋体" w:eastAsia="宋体" w:hint="default"/>
                <w:sz w:val="18"/>
                <w:szCs w:val="18"/>
              </w:rPr>
            </w:pPr>
            <w:r>
              <w:rPr>
                <w:rFonts w:ascii="宋体" w:hAnsi="宋体" w:cs="宋体" w:eastAsia="宋体" w:hint="default"/>
                <w:sz w:val="18"/>
                <w:szCs w:val="18"/>
              </w:rPr>
              <w:t>医疗信息化产品生产基地建设项目：受行业环境影响，医疗机构对医疗信息化需求有所放缓，为了提高 资金运营效率、降低募集资金风险，基于成本与效益原则，公司对原该项目的研发方向、人员投入、设 备选型等方面进行了重新评估，出于审慎起见，预计该项目投资完成日期延至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312" w:lineRule="auto" w:before="40"/>
              <w:ind w:left="16" w:right="20"/>
              <w:jc w:val="left"/>
              <w:rPr>
                <w:rFonts w:ascii="宋体" w:hAnsi="宋体" w:cs="宋体" w:eastAsia="宋体" w:hint="default"/>
                <w:sz w:val="18"/>
                <w:szCs w:val="18"/>
              </w:rPr>
            </w:pPr>
            <w:r>
              <w:rPr>
                <w:rFonts w:ascii="宋体" w:hAnsi="宋体" w:cs="宋体" w:eastAsia="宋体" w:hint="default"/>
                <w:sz w:val="18"/>
                <w:szCs w:val="18"/>
              </w:rPr>
              <w:t>企业研究院建设项目，由于研发项目的立项在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月，实际募集资金到账为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月；在募 集资金未到账期间，上述研发项目的技术水平已发生一定变化，公司对该研发项目投资的部分设备进行 重新选型，在一定程度上对项目进度产生了影响。为更好地发挥该研发项目对公司整体技术创新的协同 效益，降低募集资金的使用风险，提高资金运用效率，出于审慎起见，公司决定将该研发项目达到预定</w:t>
            </w:r>
          </w:p>
        </w:tc>
      </w:tr>
      <w:tr>
        <w:trPr>
          <w:trHeight w:val="1015" w:hRule="exact"/>
        </w:trPr>
        <w:tc>
          <w:tcPr>
            <w:tcW w:w="17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154" w:type="dxa"/>
            <w:gridSpan w:val="10"/>
            <w:vMerge/>
            <w:tcBorders>
              <w:left w:val="single" w:sz="10" w:space="0" w:color="D2D2D2"/>
              <w:right w:val="single" w:sz="4" w:space="0" w:color="000000"/>
            </w:tcBorders>
          </w:tcPr>
          <w:p>
            <w:pPr/>
          </w:p>
        </w:tc>
      </w:tr>
      <w:tr>
        <w:trPr>
          <w:trHeight w:val="629" w:hRule="exact"/>
        </w:trPr>
        <w:tc>
          <w:tcPr>
            <w:tcW w:w="17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4" w:type="dxa"/>
            <w:gridSpan w:val="10"/>
            <w:vMerge/>
            <w:tcBorders>
              <w:left w:val="single" w:sz="10" w:space="0" w:color="D2D2D2"/>
              <w:bottom w:val="single" w:sz="4" w:space="0" w:color="000000"/>
              <w:right w:val="single" w:sz="4" w:space="0" w:color="000000"/>
            </w:tcBorders>
          </w:tcPr>
          <w:p>
            <w:pPr/>
          </w:p>
        </w:tc>
      </w:tr>
    </w:tbl>
    <w:p>
      <w:pPr>
        <w:spacing w:after="0"/>
        <w:sectPr>
          <w:pgSz w:w="11910" w:h="16840"/>
          <w:pgMar w:header="877" w:footer="1186" w:top="1100" w:bottom="1380" w:left="980" w:right="560"/>
        </w:sectPr>
      </w:pPr>
    </w:p>
    <w:p>
      <w:pPr>
        <w:spacing w:line="240" w:lineRule="auto" w:before="8"/>
        <w:rPr>
          <w:rFonts w:ascii="宋体" w:hAnsi="宋体" w:cs="宋体" w:eastAsia="宋体" w:hint="default"/>
          <w:sz w:val="24"/>
          <w:szCs w:val="24"/>
        </w:rPr>
      </w:pPr>
    </w:p>
    <w:tbl>
      <w:tblPr>
        <w:tblW w:w="0" w:type="auto"/>
        <w:jc w:val="left"/>
        <w:tblInd w:w="220" w:type="dxa"/>
        <w:tblLayout w:type="fixed"/>
        <w:tblCellMar>
          <w:top w:w="0" w:type="dxa"/>
          <w:left w:w="0" w:type="dxa"/>
          <w:bottom w:w="0" w:type="dxa"/>
          <w:right w:w="0" w:type="dxa"/>
        </w:tblCellMar>
        <w:tblLook w:val="01E0"/>
      </w:tblPr>
      <w:tblGrid>
        <w:gridCol w:w="1769"/>
        <w:gridCol w:w="8154"/>
      </w:tblGrid>
      <w:tr>
        <w:trPr>
          <w:trHeight w:val="1025"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5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8"/>
              <w:ind w:left="23" w:right="18"/>
              <w:jc w:val="left"/>
              <w:rPr>
                <w:rFonts w:ascii="宋体" w:hAnsi="宋体" w:cs="宋体" w:eastAsia="宋体" w:hint="default"/>
                <w:sz w:val="18"/>
                <w:szCs w:val="18"/>
              </w:rPr>
            </w:pPr>
            <w:r>
              <w:rPr>
                <w:rFonts w:ascii="宋体" w:hAnsi="宋体" w:cs="宋体" w:eastAsia="宋体" w:hint="default"/>
                <w:sz w:val="18"/>
                <w:szCs w:val="18"/>
              </w:rPr>
              <w:t>可使用状态的日期延至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营销网络项目，在项目实施过程中，基于成本原则和高标准原则，公司对原营销网络的展厅装修从方案 设计、客户体验、设备采购选型等方面更加趋于谨慎，所以项目整体实施进度较预期略有迟延。</w:t>
            </w:r>
          </w:p>
        </w:tc>
      </w:tr>
      <w:tr>
        <w:trPr>
          <w:trHeight w:val="715" w:hRule="exact"/>
        </w:trPr>
        <w:tc>
          <w:tcPr>
            <w:tcW w:w="176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4"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15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69"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4" w:right="21"/>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815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81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4" w:lineRule="auto"/>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9" w:type="dxa"/>
            <w:vMerge/>
            <w:tcBorders>
              <w:left w:val="single" w:sz="4" w:space="0" w:color="000000"/>
              <w:right w:val="single" w:sz="4" w:space="0" w:color="000000"/>
            </w:tcBorders>
            <w:shd w:val="clear" w:color="auto" w:fill="D2D2D2"/>
          </w:tcPr>
          <w:p>
            <w:pPr/>
          </w:p>
        </w:tc>
        <w:tc>
          <w:tcPr>
            <w:tcW w:w="81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81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69" w:type="dxa"/>
            <w:vMerge/>
            <w:tcBorders>
              <w:left w:val="single" w:sz="4" w:space="0" w:color="000000"/>
              <w:right w:val="single" w:sz="4" w:space="0" w:color="000000"/>
            </w:tcBorders>
            <w:shd w:val="clear" w:color="auto" w:fill="D2D2D2"/>
          </w:tcPr>
          <w:p>
            <w:pPr/>
          </w:p>
        </w:tc>
        <w:tc>
          <w:tcPr>
            <w:tcW w:w="81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81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7" w:hRule="exact"/>
        </w:trPr>
        <w:tc>
          <w:tcPr>
            <w:tcW w:w="1769" w:type="dxa"/>
            <w:vMerge/>
            <w:tcBorders>
              <w:left w:val="single" w:sz="4" w:space="0" w:color="000000"/>
              <w:bottom w:val="single" w:sz="4" w:space="0" w:color="FFFFFF"/>
              <w:right w:val="single" w:sz="4" w:space="0" w:color="000000"/>
            </w:tcBorders>
            <w:shd w:val="clear" w:color="auto" w:fill="D2D2D2"/>
          </w:tcPr>
          <w:p>
            <w:pPr/>
          </w:p>
        </w:tc>
        <w:tc>
          <w:tcPr>
            <w:tcW w:w="815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日，公司以自筹资金预先投入募投项目的投资额为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12,263.57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日公司第一届董事会第十七次会议决议通过，公司以募集资金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12,263.57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万元置换预先已投入募投</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项目的自筹资金。截止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日，已置换金额为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12,263.57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1" w:hRule="exact"/>
        </w:trPr>
        <w:tc>
          <w:tcPr>
            <w:tcW w:w="1769"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24" w:right="113"/>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15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9" w:type="dxa"/>
            <w:vMerge/>
            <w:tcBorders>
              <w:left w:val="single" w:sz="4" w:space="0" w:color="000000"/>
              <w:bottom w:val="single" w:sz="4" w:space="0" w:color="FFFFFF"/>
              <w:right w:val="single" w:sz="4" w:space="0" w:color="000000"/>
            </w:tcBorders>
            <w:shd w:val="clear" w:color="auto" w:fill="D2D2D2"/>
          </w:tcPr>
          <w:p>
            <w:pPr/>
          </w:p>
        </w:tc>
        <w:tc>
          <w:tcPr>
            <w:tcW w:w="8154" w:type="dxa"/>
            <w:tcBorders>
              <w:top w:val="single" w:sz="4" w:space="0" w:color="000000"/>
              <w:left w:val="single" w:sz="4" w:space="0" w:color="000000"/>
              <w:bottom w:val="single" w:sz="4" w:space="0" w:color="FFFFFF"/>
              <w:right w:val="single" w:sz="4" w:space="0" w:color="000000"/>
            </w:tcBorders>
          </w:tcPr>
          <w:p>
            <w:pPr/>
          </w:p>
        </w:tc>
      </w:tr>
      <w:tr>
        <w:trPr>
          <w:trHeight w:val="401" w:hRule="exact"/>
        </w:trPr>
        <w:tc>
          <w:tcPr>
            <w:tcW w:w="1769"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4" w:right="113"/>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15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81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尚未使用的募集资金存放于公司募集资金专户</w:t>
            </w:r>
          </w:p>
        </w:tc>
      </w:tr>
      <w:tr>
        <w:trPr>
          <w:trHeight w:val="1027"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3"/>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5"/>
        <w:spacing w:line="240" w:lineRule="auto" w:before="36"/>
        <w:ind w:right="134"/>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134"/>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34"/>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after="0" w:line="340" w:lineRule="auto"/>
        <w:jc w:val="left"/>
        <w:sectPr>
          <w:pgSz w:w="11910" w:h="16840"/>
          <w:pgMar w:header="877" w:footer="1186" w:top="1100" w:bottom="1380" w:left="980" w:right="56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公司报告期内无应当披露的重要控股参股公司信息。</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九、公司未来发展的展望</w:t>
      </w:r>
      <w:r>
        <w:rPr>
          <w:b w:val="0"/>
          <w:bCs w:val="0"/>
        </w:rPr>
      </w:r>
    </w:p>
    <w:p>
      <w:pPr>
        <w:spacing w:line="240" w:lineRule="auto" w:before="9"/>
        <w:rPr>
          <w:rFonts w:ascii="宋体" w:hAnsi="宋体" w:cs="宋体" w:eastAsia="宋体" w:hint="default"/>
          <w:b/>
          <w:bCs/>
          <w:sz w:val="32"/>
          <w:szCs w:val="32"/>
        </w:rPr>
      </w:pPr>
    </w:p>
    <w:p>
      <w:pPr>
        <w:pStyle w:val="Heading7"/>
        <w:spacing w:line="240" w:lineRule="auto"/>
        <w:ind w:right="0"/>
        <w:jc w:val="left"/>
        <w:rPr>
          <w:b w:val="0"/>
          <w:bCs w:val="0"/>
        </w:rPr>
      </w:pPr>
      <w:r>
        <w:rPr/>
        <w:t>（一）公司所处行业格局和趋势</w:t>
      </w:r>
      <w:r>
        <w:rPr>
          <w:b w:val="0"/>
          <w:bCs w:val="0"/>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9"/>
          <w:szCs w:val="19"/>
        </w:rPr>
      </w:pPr>
    </w:p>
    <w:p>
      <w:pPr>
        <w:pStyle w:val="Heading7"/>
        <w:spacing w:line="240" w:lineRule="auto"/>
        <w:ind w:right="0"/>
        <w:jc w:val="left"/>
        <w:rPr>
          <w:b w:val="0"/>
          <w:bCs w:val="0"/>
        </w:rPr>
      </w:pPr>
      <w:r>
        <w:rPr/>
        <w:t>国家大力发展医疗卫生健康信息化</w:t>
      </w:r>
      <w:r>
        <w:rPr>
          <w:b w:val="0"/>
          <w:bCs w:val="0"/>
        </w:rPr>
      </w: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9"/>
          <w:szCs w:val="19"/>
        </w:rPr>
      </w:pPr>
    </w:p>
    <w:p>
      <w:pPr>
        <w:pStyle w:val="BodyText"/>
        <w:spacing w:line="477" w:lineRule="auto"/>
        <w:ind w:right="201" w:firstLine="360"/>
        <w:jc w:val="both"/>
      </w:pPr>
      <w:r>
        <w:rPr>
          <w:rFonts w:ascii="宋体" w:hAnsi="宋体" w:cs="宋体" w:eastAsia="宋体" w:hint="default"/>
          <w:spacing w:val="-6"/>
        </w:rPr>
        <w:t>2017</w:t>
      </w:r>
      <w:r>
        <w:rPr>
          <w:spacing w:val="-6"/>
        </w:rPr>
        <w:t>年</w:t>
      </w:r>
      <w:r>
        <w:rPr>
          <w:rFonts w:ascii="宋体" w:hAnsi="宋体" w:cs="宋体" w:eastAsia="宋体" w:hint="default"/>
          <w:spacing w:val="-6"/>
        </w:rPr>
        <w:t>1</w:t>
      </w:r>
      <w:r>
        <w:rPr>
          <w:spacing w:val="-6"/>
        </w:rPr>
        <w:t>月政府为了为深化医药改革，推进健康中国建设，根据《中共中央国务院关于深化医药卫生体制改革的意见》和《“健</w:t>
      </w:r>
      <w:r>
        <w:rPr/>
        <w:t> </w:t>
      </w:r>
      <w:r>
        <w:rPr>
          <w:spacing w:val="-1"/>
        </w:rPr>
        <w:t>康中国</w:t>
      </w:r>
      <w:r>
        <w:rPr>
          <w:rFonts w:ascii="宋体" w:hAnsi="宋体" w:cs="宋体" w:eastAsia="宋体" w:hint="default"/>
          <w:spacing w:val="-1"/>
        </w:rPr>
        <w:t>2030</w:t>
      </w:r>
      <w:r>
        <w:rPr>
          <w:spacing w:val="-1"/>
        </w:rPr>
        <w:t>”规划纲要》，发布了《国务院关于印发“十三五”深化医药卫生体制改革规划的通知》。通知指出到</w:t>
      </w:r>
      <w:r>
        <w:rPr>
          <w:rFonts w:ascii="宋体" w:hAnsi="宋体" w:cs="宋体" w:eastAsia="宋体" w:hint="default"/>
          <w:spacing w:val="-1"/>
        </w:rPr>
        <w:t>2017</w:t>
      </w:r>
      <w:r>
        <w:rPr>
          <w:spacing w:val="-1"/>
        </w:rPr>
        <w:t>年，要基</w:t>
      </w:r>
      <w:r>
        <w:rPr>
          <w:spacing w:val="-52"/>
        </w:rPr>
        <w:t> </w:t>
      </w:r>
      <w:r>
        <w:rPr>
          <w:spacing w:val="-52"/>
        </w:rPr>
      </w:r>
      <w:r>
        <w:rPr>
          <w:spacing w:val="-1"/>
        </w:rPr>
        <w:t>本形成较为系统的基本医疗卫生制度政策框架，逐步完善分级诊疗体系、现代医院管理制度、综合监管制度；到</w:t>
      </w:r>
      <w:r>
        <w:rPr>
          <w:rFonts w:ascii="宋体" w:hAnsi="宋体" w:cs="宋体" w:eastAsia="宋体" w:hint="default"/>
          <w:spacing w:val="-1"/>
        </w:rPr>
        <w:t>2020</w:t>
      </w:r>
      <w:r>
        <w:rPr>
          <w:spacing w:val="-1"/>
        </w:rPr>
        <w:t>年，建立比</w:t>
      </w:r>
      <w:r>
        <w:rPr>
          <w:spacing w:val="-48"/>
        </w:rPr>
        <w:t> </w:t>
      </w:r>
      <w:r>
        <w:rPr>
          <w:spacing w:val="-48"/>
        </w:rPr>
      </w:r>
      <w:r>
        <w:rPr/>
        <w:t>较完善的公共卫生服务、医疗服务、医疗保障、药品供应保障和综合监管体系。</w:t>
      </w:r>
    </w:p>
    <w:p>
      <w:pPr>
        <w:pStyle w:val="BodyText"/>
        <w:spacing w:line="477" w:lineRule="auto" w:before="54"/>
        <w:ind w:right="0" w:firstLine="360"/>
        <w:jc w:val="left"/>
      </w:pPr>
      <w:r>
        <w:rPr/>
        <w:t>同月，政府发布《国务院关于印发“十三五”卫生与健康规划的通知》，将卫生与健康事业放在经济社会发展的重要位置。 通知指出到</w:t>
      </w:r>
      <w:r>
        <w:rPr>
          <w:rFonts w:ascii="宋体" w:hAnsi="宋体" w:cs="宋体" w:eastAsia="宋体" w:hint="default"/>
        </w:rPr>
        <w:t>2020</w:t>
      </w:r>
      <w:r>
        <w:rPr/>
        <w:t>年，覆盖城乡居民的基本医疗卫生制度基本建立，实现人人享有基本医疗卫生服务；全面推进健康城市和健康村 镇建设，实行分级诊疗，大力发展社会办医，积极发展健康服务新业态；积极推动健康医疗信息化新业态快速有序发展：全面实 施“互联网</w:t>
      </w:r>
      <w:r>
        <w:rPr>
          <w:rFonts w:ascii="宋体" w:hAnsi="宋体" w:cs="宋体" w:eastAsia="宋体" w:hint="default"/>
        </w:rPr>
        <w:t>+</w:t>
      </w:r>
      <w:r>
        <w:rPr/>
        <w:t>”健康医疗益民服务，促进云计算、大数据等信息技术与健康服务的深度融合，提升健康信息服务能力。在国家政</w:t>
      </w:r>
      <w:r>
        <w:rPr>
          <w:spacing w:val="-28"/>
        </w:rPr>
        <w:t> </w:t>
      </w:r>
      <w:r>
        <w:rPr>
          <w:spacing w:val="-28"/>
        </w:rPr>
      </w:r>
      <w:r>
        <w:rPr/>
        <w:t>策强力驱动下，医疗</w:t>
      </w:r>
      <w:r>
        <w:rPr>
          <w:rFonts w:ascii="宋体" w:hAnsi="宋体" w:cs="宋体" w:eastAsia="宋体" w:hint="default"/>
        </w:rPr>
        <w:t>IT</w:t>
      </w:r>
      <w:r>
        <w:rPr/>
        <w:t>市场蓬勃发展。</w:t>
      </w:r>
    </w:p>
    <w:p>
      <w:pPr>
        <w:spacing w:line="240" w:lineRule="auto" w:before="2"/>
        <w:rPr>
          <w:rFonts w:ascii="宋体" w:hAnsi="宋体" w:cs="宋体" w:eastAsia="宋体" w:hint="default"/>
          <w:sz w:val="24"/>
          <w:szCs w:val="24"/>
        </w:rPr>
      </w:pPr>
    </w:p>
    <w:p>
      <w:pPr>
        <w:pStyle w:val="Heading7"/>
        <w:spacing w:line="240" w:lineRule="auto"/>
        <w:ind w:right="0"/>
        <w:jc w:val="left"/>
        <w:rPr>
          <w:b w:val="0"/>
          <w:bCs w:val="0"/>
        </w:rPr>
      </w:pPr>
      <w:r>
        <w:rPr/>
        <w:t>医院临床信息系统市场空间巨大</w:t>
      </w:r>
      <w:r>
        <w:rPr>
          <w:b w:val="0"/>
          <w:bCs w:val="0"/>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9"/>
          <w:szCs w:val="19"/>
        </w:rPr>
      </w:pPr>
    </w:p>
    <w:p>
      <w:pPr>
        <w:pStyle w:val="BodyText"/>
        <w:spacing w:line="477" w:lineRule="auto"/>
        <w:ind w:left="513" w:right="0"/>
        <w:jc w:val="left"/>
      </w:pPr>
      <w:r>
        <w:rPr/>
        <w:t>多番政策连续发布，提高了对医院内部互联互通水平、医保费用控制水平、药占比等关键指标控制水平的要求。 </w:t>
      </w:r>
      <w:r>
        <w:rPr>
          <w:rFonts w:ascii="宋体" w:hAnsi="宋体" w:cs="宋体" w:eastAsia="宋体" w:hint="default"/>
        </w:rPr>
        <w:t>2017</w:t>
      </w:r>
      <w:r>
        <w:rPr/>
        <w:t>年</w:t>
      </w:r>
      <w:r>
        <w:rPr>
          <w:rFonts w:ascii="宋体" w:hAnsi="宋体" w:cs="宋体" w:eastAsia="宋体" w:hint="default"/>
        </w:rPr>
        <w:t>8</w:t>
      </w:r>
      <w:r>
        <w:rPr/>
        <w:t>月，《国家医疗健康信息区域（医院）信息互联互通标准化成熟度测评方案（</w:t>
      </w:r>
      <w:r>
        <w:rPr>
          <w:rFonts w:ascii="宋体" w:hAnsi="宋体" w:cs="宋体" w:eastAsia="宋体" w:hint="default"/>
        </w:rPr>
        <w:t>2017</w:t>
      </w:r>
      <w:r>
        <w:rPr/>
        <w:t>年版）》正式印发，对医院信息</w:t>
      </w:r>
    </w:p>
    <w:p>
      <w:pPr>
        <w:pStyle w:val="BodyText"/>
        <w:spacing w:line="240" w:lineRule="auto" w:before="54"/>
        <w:ind w:right="0"/>
        <w:jc w:val="left"/>
      </w:pPr>
      <w:r>
        <w:rPr/>
        <w:t>平台和全民健康信息平台的建设提出更新要求，要求医院进一步推动医疗信息的互联互通和大数据应用。</w:t>
      </w:r>
    </w:p>
    <w:p>
      <w:pPr>
        <w:spacing w:line="240" w:lineRule="auto" w:before="10"/>
        <w:rPr>
          <w:rFonts w:ascii="宋体" w:hAnsi="宋体" w:cs="宋体" w:eastAsia="宋体" w:hint="default"/>
          <w:sz w:val="17"/>
          <w:szCs w:val="17"/>
        </w:rPr>
      </w:pPr>
    </w:p>
    <w:p>
      <w:pPr>
        <w:pStyle w:val="BodyText"/>
        <w:spacing w:line="477" w:lineRule="auto"/>
        <w:ind w:right="192" w:firstLine="360"/>
        <w:jc w:val="left"/>
      </w:pPr>
      <w:r>
        <w:rPr>
          <w:rFonts w:ascii="宋体" w:hAnsi="宋体" w:cs="宋体" w:eastAsia="宋体" w:hint="default"/>
        </w:rPr>
        <w:t>2017</w:t>
      </w:r>
      <w:r>
        <w:rPr/>
        <w:t>年</w:t>
      </w:r>
      <w:r>
        <w:rPr>
          <w:rFonts w:ascii="宋体" w:hAnsi="宋体" w:cs="宋体" w:eastAsia="宋体" w:hint="default"/>
        </w:rPr>
        <w:t>6</w:t>
      </w:r>
      <w:r>
        <w:rPr/>
        <w:t>月</w:t>
      </w:r>
      <w:r>
        <w:rPr>
          <w:spacing w:val="-18"/>
        </w:rPr>
        <w:t> </w:t>
      </w:r>
      <w:r>
        <w:rPr/>
        <w:t>国务院办公厅印发《国务院办公厅关于进一步深化基本医疗保险支付方式改革的指导意见》，指出</w:t>
      </w:r>
      <w:r>
        <w:rPr>
          <w:rFonts w:ascii="宋体" w:hAnsi="宋体" w:cs="宋体" w:eastAsia="宋体" w:hint="default"/>
        </w:rPr>
        <w:t>2017</w:t>
      </w:r>
      <w:r>
        <w:rPr/>
        <w:t>年起，全 </w:t>
      </w:r>
      <w:r>
        <w:rPr>
          <w:spacing w:val="-1"/>
        </w:rPr>
        <w:t>面推行以按病种付费为主的多元复合式医保支付方式。到</w:t>
      </w:r>
      <w:r>
        <w:rPr>
          <w:rFonts w:ascii="宋体" w:hAnsi="宋体" w:cs="宋体" w:eastAsia="宋体" w:hint="default"/>
          <w:spacing w:val="-1"/>
        </w:rPr>
        <w:t>2020</w:t>
      </w:r>
      <w:r>
        <w:rPr>
          <w:spacing w:val="-1"/>
        </w:rPr>
        <w:t>年，医保支付方式改革覆盖所有医疗机构及医疗服务，按项目付费</w:t>
      </w:r>
    </w:p>
    <w:p>
      <w:pPr>
        <w:spacing w:after="0" w:line="477" w:lineRule="auto"/>
        <w:jc w:val="left"/>
        <w:sectPr>
          <w:pgSz w:w="11910" w:h="16840"/>
          <w:pgMar w:header="877" w:footer="1186" w:top="1100" w:bottom="1380" w:left="980" w:right="500"/>
        </w:sectPr>
      </w:pPr>
    </w:p>
    <w:p>
      <w:pPr>
        <w:spacing w:line="240" w:lineRule="auto" w:before="12"/>
        <w:rPr>
          <w:rFonts w:ascii="宋体" w:hAnsi="宋体" w:cs="宋体" w:eastAsia="宋体" w:hint="default"/>
          <w:sz w:val="27"/>
          <w:szCs w:val="27"/>
        </w:rPr>
      </w:pPr>
    </w:p>
    <w:p>
      <w:pPr>
        <w:pStyle w:val="BodyText"/>
        <w:spacing w:line="477" w:lineRule="auto" w:before="44"/>
        <w:ind w:left="513" w:right="134" w:hanging="361"/>
        <w:jc w:val="left"/>
      </w:pPr>
      <w:r>
        <w:rPr/>
        <w:t>占比明显下降。 </w:t>
      </w:r>
      <w:r>
        <w:rPr>
          <w:rFonts w:ascii="宋体" w:hAnsi="宋体" w:cs="宋体" w:eastAsia="宋体" w:hint="default"/>
        </w:rPr>
        <w:t>IDC</w:t>
      </w:r>
      <w:r>
        <w:rPr/>
        <w:t>报告《下一代医院核心管理信息系统》指出：医疗信息化经过二十年发展，目前正处于从支持基本医疗服务向支持核心</w:t>
      </w:r>
    </w:p>
    <w:p>
      <w:pPr>
        <w:pStyle w:val="BodyText"/>
        <w:spacing w:line="477" w:lineRule="auto" w:before="54"/>
        <w:ind w:right="141"/>
        <w:jc w:val="both"/>
      </w:pPr>
      <w:r>
        <w:rPr>
          <w:spacing w:val="-1"/>
        </w:rPr>
        <w:t>诊疗流程升级的转换阶段，正在向着促进医疗管理水平提升、促进诊疗水平提升、促进医疗价值提升的方向跨越。现阶段，医院</w:t>
      </w:r>
      <w:r>
        <w:rPr>
          <w:spacing w:val="-47"/>
        </w:rPr>
        <w:t> </w:t>
      </w:r>
      <w:r>
        <w:rPr>
          <w:spacing w:val="-47"/>
        </w:rPr>
      </w:r>
      <w:r>
        <w:rPr/>
        <w:t>已经初步建成了</w:t>
      </w:r>
      <w:r>
        <w:rPr>
          <w:rFonts w:ascii="宋体" w:hAnsi="宋体" w:cs="宋体" w:eastAsia="宋体" w:hint="default"/>
        </w:rPr>
        <w:t>HIS</w:t>
      </w:r>
      <w:r>
        <w:rPr/>
        <w:t>、</w:t>
      </w:r>
      <w:r>
        <w:rPr>
          <w:rFonts w:ascii="宋体" w:hAnsi="宋体" w:cs="宋体" w:eastAsia="宋体" w:hint="default"/>
        </w:rPr>
        <w:t>PACS</w:t>
      </w:r>
      <w:r>
        <w:rPr/>
        <w:t>、 </w:t>
      </w:r>
      <w:r>
        <w:rPr>
          <w:rFonts w:ascii="宋体" w:hAnsi="宋体" w:cs="宋体" w:eastAsia="宋体" w:hint="default"/>
        </w:rPr>
        <w:t>LIS</w:t>
      </w:r>
      <w:r>
        <w:rPr/>
        <w:t>、</w:t>
      </w:r>
      <w:r>
        <w:rPr>
          <w:spacing w:val="-24"/>
        </w:rPr>
        <w:t> </w:t>
      </w:r>
      <w:r>
        <w:rPr>
          <w:rFonts w:ascii="宋体" w:hAnsi="宋体" w:cs="宋体" w:eastAsia="宋体" w:hint="default"/>
        </w:rPr>
        <w:t>ICU</w:t>
      </w:r>
      <w:r>
        <w:rPr/>
        <w:t>、</w:t>
      </w:r>
      <w:r>
        <w:rPr>
          <w:rFonts w:ascii="宋体" w:hAnsi="宋体" w:cs="宋体" w:eastAsia="宋体" w:hint="default"/>
        </w:rPr>
        <w:t>EMR</w:t>
      </w:r>
      <w:r>
        <w:rPr/>
        <w:t>、心电、手麻等信息系统，这些系统较好地支持医院基本诊疗流程。但是这些系统 </w:t>
      </w:r>
      <w:r>
        <w:rPr>
          <w:spacing w:val="-1"/>
        </w:rPr>
        <w:t>对于核心诊疗流程的支持方面是分散的，虽然最近几年中建成了医院集成平台，但是集成的思路更多的是数据集成和交换，而系</w:t>
      </w:r>
      <w:r>
        <w:rPr>
          <w:spacing w:val="-49"/>
        </w:rPr>
        <w:t> </w:t>
      </w:r>
      <w:r>
        <w:rPr>
          <w:spacing w:val="-49"/>
        </w:rPr>
      </w:r>
      <w:r>
        <w:rPr>
          <w:spacing w:val="-1"/>
        </w:rPr>
        <w:t>统所支持的诊疗流程仍然是零散的，难以支持在核心诊疗业务方面实现医疗管理的目标。同时医院管理部门苦于收集不到完整和</w:t>
      </w:r>
      <w:r>
        <w:rPr>
          <w:spacing w:val="-48"/>
        </w:rPr>
        <w:t> </w:t>
      </w:r>
      <w:r>
        <w:rPr>
          <w:spacing w:val="-48"/>
        </w:rPr>
      </w:r>
      <w:r>
        <w:rPr/>
        <w:t>规范的数据；此外医院各部门也在呼唤高水平的医院集成平台、</w:t>
      </w:r>
      <w:r>
        <w:rPr>
          <w:rFonts w:ascii="宋体" w:hAnsi="宋体" w:cs="宋体" w:eastAsia="宋体" w:hint="default"/>
        </w:rPr>
        <w:t>HRP</w:t>
      </w:r>
      <w:r>
        <w:rPr/>
        <w:t>系统等信息系统建设。</w:t>
      </w:r>
    </w:p>
    <w:p>
      <w:pPr>
        <w:pStyle w:val="BodyText"/>
        <w:spacing w:line="477" w:lineRule="auto" w:before="55"/>
        <w:ind w:right="145" w:firstLine="360"/>
        <w:jc w:val="both"/>
      </w:pPr>
      <w:r>
        <w:rPr>
          <w:spacing w:val="-1"/>
        </w:rPr>
        <w:t>可以看出医疗信息化的发展进入了一个新的阶段，在政府的推动和政策引导下，医院对核心诊疗业务支撑的需求牵引下，医</w:t>
      </w:r>
      <w:r>
        <w:rPr/>
        <w:t> 疗信息化建设和探索将进入医疗业务的深水区，新的更高要求的需求将保持医疗</w:t>
      </w:r>
      <w:r>
        <w:rPr>
          <w:rFonts w:ascii="宋体" w:hAnsi="宋体" w:cs="宋体" w:eastAsia="宋体" w:hint="default"/>
        </w:rPr>
        <w:t>IT</w:t>
      </w:r>
      <w:r>
        <w:rPr/>
        <w:t>市场的蓬勃发展，未来市场空间可期。</w:t>
      </w:r>
    </w:p>
    <w:p>
      <w:pPr>
        <w:spacing w:line="240" w:lineRule="auto" w:before="2"/>
        <w:rPr>
          <w:rFonts w:ascii="宋体" w:hAnsi="宋体" w:cs="宋体" w:eastAsia="宋体" w:hint="default"/>
          <w:sz w:val="24"/>
          <w:szCs w:val="24"/>
        </w:rPr>
      </w:pPr>
    </w:p>
    <w:p>
      <w:pPr>
        <w:pStyle w:val="Heading7"/>
        <w:spacing w:line="240" w:lineRule="auto"/>
        <w:ind w:right="134"/>
        <w:jc w:val="left"/>
        <w:rPr>
          <w:b w:val="0"/>
          <w:bCs w:val="0"/>
        </w:rPr>
      </w:pPr>
      <w:r>
        <w:rPr/>
        <w:t>区域云平台与智慧城市将蓬勃发展</w:t>
      </w:r>
      <w:r>
        <w:rPr>
          <w:b w:val="0"/>
          <w:bCs w:val="0"/>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9"/>
          <w:szCs w:val="19"/>
        </w:rPr>
      </w:pPr>
    </w:p>
    <w:p>
      <w:pPr>
        <w:pStyle w:val="BodyText"/>
        <w:spacing w:line="477" w:lineRule="auto"/>
        <w:ind w:left="513" w:right="134"/>
        <w:jc w:val="left"/>
      </w:pPr>
      <w:r>
        <w:rPr/>
        <w:t>国家政策一再强调要推进分级诊疗、加强医养护一体化建设、提高精准扶贫水平，将助力城市级智慧云医疗市场腾飞。 </w:t>
      </w:r>
      <w:r>
        <w:rPr>
          <w:rFonts w:ascii="宋体" w:hAnsi="宋体" w:cs="宋体" w:eastAsia="宋体" w:hint="default"/>
        </w:rPr>
        <w:t>2017</w:t>
      </w:r>
      <w:r>
        <w:rPr/>
        <w:t>年</w:t>
      </w:r>
      <w:r>
        <w:rPr>
          <w:rFonts w:ascii="宋体" w:hAnsi="宋体" w:cs="宋体" w:eastAsia="宋体" w:hint="default"/>
        </w:rPr>
        <w:t>4</w:t>
      </w:r>
      <w:r>
        <w:rPr/>
        <w:t>月，国务院办公厅印发《关于推进医疗联合体建设和发展的指导意见》。《指导意见》强调要推动分级诊疗，调整</w:t>
      </w:r>
    </w:p>
    <w:p>
      <w:pPr>
        <w:pStyle w:val="BodyText"/>
        <w:spacing w:line="477" w:lineRule="auto" w:before="54"/>
        <w:ind w:right="146"/>
        <w:jc w:val="both"/>
      </w:pPr>
      <w:r>
        <w:rPr/>
        <w:t>优化医疗资源结构布局，总结和推荐了四种典型模式：</w:t>
      </w:r>
      <w:r>
        <w:rPr>
          <w:rFonts w:ascii="宋体" w:hAnsi="宋体" w:cs="宋体" w:eastAsia="宋体" w:hint="default"/>
        </w:rPr>
        <w:t>1</w:t>
      </w:r>
      <w:r>
        <w:rPr/>
        <w:t>）在城市主要组建医疗集团；</w:t>
      </w:r>
      <w:r>
        <w:rPr>
          <w:rFonts w:ascii="宋体" w:hAnsi="宋体" w:cs="宋体" w:eastAsia="宋体" w:hint="default"/>
        </w:rPr>
        <w:t>2</w:t>
      </w:r>
      <w:r>
        <w:rPr/>
        <w:t>）在县域主要组建医疗共同体；</w:t>
      </w:r>
      <w:r>
        <w:rPr>
          <w:rFonts w:ascii="宋体" w:hAnsi="宋体" w:cs="宋体" w:eastAsia="宋体" w:hint="default"/>
        </w:rPr>
        <w:t>3</w:t>
      </w:r>
      <w:r>
        <w:rPr/>
        <w:t>）跨区</w:t>
      </w:r>
      <w:r>
        <w:rPr>
          <w:spacing w:val="-23"/>
        </w:rPr>
        <w:t> </w:t>
      </w:r>
      <w:r>
        <w:rPr>
          <w:spacing w:val="-23"/>
        </w:rPr>
      </w:r>
      <w:r>
        <w:rPr/>
        <w:t>域组建专科联盟；</w:t>
      </w:r>
      <w:r>
        <w:rPr>
          <w:rFonts w:ascii="宋体" w:hAnsi="宋体" w:cs="宋体" w:eastAsia="宋体" w:hint="default"/>
        </w:rPr>
        <w:t>4</w:t>
      </w:r>
      <w:r>
        <w:rPr/>
        <w:t>）在边远贫困地区发展远程医疗协作网。</w:t>
      </w:r>
    </w:p>
    <w:p>
      <w:pPr>
        <w:pStyle w:val="BodyText"/>
        <w:spacing w:line="477" w:lineRule="auto" w:before="54"/>
        <w:ind w:right="141" w:firstLine="360"/>
        <w:jc w:val="both"/>
      </w:pPr>
      <w:r>
        <w:rPr>
          <w:spacing w:val="-1"/>
        </w:rPr>
        <w:t>目前，医疗卫生行业中，医疗服务和卫生服务相对独立。面对日益严重的老龄化问题，城市级智慧云医疗平台需要做到诊疗</w:t>
      </w:r>
      <w:r>
        <w:rPr/>
        <w:t> 数据在区域内的不错、不漏、实时互联互通和医养护的进一步融合。</w:t>
      </w:r>
    </w:p>
    <w:p>
      <w:pPr>
        <w:pStyle w:val="BodyText"/>
        <w:spacing w:line="477" w:lineRule="auto" w:before="54"/>
        <w:ind w:right="144" w:firstLine="360"/>
        <w:jc w:val="both"/>
      </w:pPr>
      <w:r>
        <w:rPr>
          <w:spacing w:val="-1"/>
        </w:rPr>
        <w:t>“新医改”的一个基本原则是“公益性”，针对中西部欠发达地区，国家出台了一些列信息化建设的专项内容以提高精准扶</w:t>
      </w:r>
      <w:r>
        <w:rPr/>
        <w:t> 贫水平，比如；医院建设、区域健康信息平台、家医签约和健康服务等。</w:t>
      </w:r>
    </w:p>
    <w:p>
      <w:pPr>
        <w:spacing w:line="240" w:lineRule="auto" w:before="2"/>
        <w:rPr>
          <w:rFonts w:ascii="宋体" w:hAnsi="宋体" w:cs="宋体" w:eastAsia="宋体" w:hint="default"/>
          <w:sz w:val="24"/>
          <w:szCs w:val="24"/>
        </w:rPr>
      </w:pPr>
    </w:p>
    <w:p>
      <w:pPr>
        <w:pStyle w:val="Heading7"/>
        <w:spacing w:line="240" w:lineRule="auto"/>
        <w:ind w:right="134"/>
        <w:jc w:val="left"/>
        <w:rPr>
          <w:b w:val="0"/>
          <w:bCs w:val="0"/>
        </w:rPr>
      </w:pPr>
      <w:r>
        <w:rPr/>
        <w:t>（二）公司未来发展战略</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9"/>
          <w:szCs w:val="19"/>
        </w:rPr>
      </w:pPr>
    </w:p>
    <w:p>
      <w:pPr>
        <w:pStyle w:val="Heading7"/>
        <w:spacing w:line="240" w:lineRule="auto"/>
        <w:ind w:right="134"/>
        <w:jc w:val="left"/>
        <w:rPr>
          <w:b w:val="0"/>
          <w:bCs w:val="0"/>
        </w:rPr>
      </w:pPr>
      <w:r>
        <w:rPr/>
        <w:t>持续深化智慧医院整体解决方案</w:t>
      </w:r>
      <w:r>
        <w:rPr>
          <w:b w:val="0"/>
          <w:bCs w:val="0"/>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9"/>
          <w:szCs w:val="19"/>
        </w:rPr>
      </w:pPr>
    </w:p>
    <w:p>
      <w:pPr>
        <w:pStyle w:val="BodyText"/>
        <w:spacing w:line="477" w:lineRule="auto"/>
        <w:ind w:right="144" w:firstLine="360"/>
        <w:jc w:val="both"/>
      </w:pPr>
      <w:r>
        <w:rPr>
          <w:spacing w:val="-1"/>
        </w:rPr>
        <w:t>智慧医院的建设，其核心包含了以电子病历为核心的临床医疗信息系统，以人财物为核心的运营管理信息系统，以医院基础</w:t>
      </w:r>
      <w:r>
        <w:rPr/>
        <w:t> </w:t>
      </w:r>
      <w:r>
        <w:rPr>
          <w:spacing w:val="-1"/>
        </w:rPr>
        <w:t>设施为主的智能建筑信息系统，以及将上述三类系统根据场景特色、业务流程、管理需求进行集成融合、互联互通的信息集成平</w:t>
      </w:r>
      <w:r>
        <w:rPr>
          <w:spacing w:val="-49"/>
        </w:rPr>
        <w:t> </w:t>
      </w:r>
      <w:r>
        <w:rPr>
          <w:spacing w:val="-49"/>
        </w:rPr>
      </w:r>
      <w:r>
        <w:rPr/>
        <w:t>台和医院数据中心。</w:t>
      </w:r>
    </w:p>
    <w:p>
      <w:pPr>
        <w:pStyle w:val="BodyText"/>
        <w:spacing w:line="477" w:lineRule="auto" w:before="54"/>
        <w:ind w:right="143" w:firstLine="360"/>
        <w:jc w:val="both"/>
      </w:pPr>
      <w:r>
        <w:rPr>
          <w:spacing w:val="-1"/>
        </w:rPr>
        <w:t>公司将持续深化电子病历系统功能，并围绕电子病历深化移动端和互联网端应用，如引入语言识别技术、知识库技术，让电</w:t>
      </w:r>
      <w:r>
        <w:rPr/>
        <w:t> </w:t>
      </w:r>
      <w:r>
        <w:rPr>
          <w:spacing w:val="-1"/>
        </w:rPr>
        <w:t>子病历系统更加便捷、智能；</w:t>
      </w:r>
      <w:r>
        <w:rPr>
          <w:rFonts w:ascii="宋体" w:hAnsi="宋体" w:cs="宋体" w:eastAsia="宋体" w:hint="default"/>
          <w:spacing w:val="-1"/>
        </w:rPr>
        <w:t>2018</w:t>
      </w:r>
      <w:r>
        <w:rPr>
          <w:spacing w:val="-1"/>
        </w:rPr>
        <w:t>年度，公司将发布全新构建的采用语言识别、支持运行与智能终端的移动版电子病历文书编辑</w:t>
      </w:r>
      <w:r>
        <w:rPr>
          <w:spacing w:val="-49"/>
        </w:rPr>
        <w:t> </w:t>
      </w:r>
      <w:r>
        <w:rPr>
          <w:spacing w:val="-49"/>
        </w:rPr>
      </w:r>
      <w:r>
        <w:rPr>
          <w:spacing w:val="-1"/>
        </w:rPr>
        <w:t>器和病历文书质控系统。该系统具备了高度的可配置化的特点，病历文书质控模块可以与第三方系统进行集成，为临床使用提供</w:t>
      </w:r>
      <w:r>
        <w:rPr>
          <w:spacing w:val="-49"/>
        </w:rPr>
        <w:t> </w:t>
      </w:r>
      <w:r>
        <w:rPr>
          <w:spacing w:val="-49"/>
        </w:rPr>
      </w:r>
      <w:r>
        <w:rPr/>
        <w:t>多样化、精确化的规范性和准确性指导。</w:t>
      </w:r>
    </w:p>
    <w:p>
      <w:pPr>
        <w:spacing w:after="0" w:line="477" w:lineRule="auto"/>
        <w:jc w:val="both"/>
        <w:sectPr>
          <w:pgSz w:w="11910" w:h="16840"/>
          <w:pgMar w:header="877" w:footer="1186" w:top="1100" w:bottom="1380" w:left="980" w:right="560"/>
        </w:sectPr>
      </w:pPr>
    </w:p>
    <w:p>
      <w:pPr>
        <w:spacing w:line="240" w:lineRule="auto" w:before="12"/>
        <w:rPr>
          <w:rFonts w:ascii="宋体" w:hAnsi="宋体" w:cs="宋体" w:eastAsia="宋体" w:hint="default"/>
          <w:sz w:val="27"/>
          <w:szCs w:val="27"/>
        </w:rPr>
      </w:pPr>
    </w:p>
    <w:p>
      <w:pPr>
        <w:pStyle w:val="BodyText"/>
        <w:spacing w:line="477" w:lineRule="auto" w:before="44"/>
        <w:ind w:right="203" w:firstLine="360"/>
        <w:jc w:val="both"/>
      </w:pPr>
      <w:r>
        <w:rPr>
          <w:spacing w:val="-1"/>
        </w:rPr>
        <w:t>同时，包含了上述电子病历系统的新一代医院信息系统，已经成功在“种子”客户医院分院区上线运行。</w:t>
      </w:r>
      <w:r>
        <w:rPr>
          <w:rFonts w:ascii="宋体" w:hAnsi="宋体" w:cs="宋体" w:eastAsia="宋体" w:hint="default"/>
          <w:spacing w:val="-1"/>
        </w:rPr>
        <w:t>2018</w:t>
      </w:r>
      <w:r>
        <w:rPr>
          <w:spacing w:val="-1"/>
        </w:rPr>
        <w:t>年，公司将继</w:t>
      </w:r>
      <w:r>
        <w:rPr/>
        <w:t> </w:t>
      </w:r>
      <w:r>
        <w:rPr>
          <w:spacing w:val="-1"/>
        </w:rPr>
        <w:t>续在“种子”客户医院主院区实现系统切换，打造新一代医院系统应用样板医院。此外公司将通过试点样板医院的适用性优化与</w:t>
      </w:r>
      <w:r>
        <w:rPr>
          <w:spacing w:val="-49"/>
        </w:rPr>
        <w:t> </w:t>
      </w:r>
      <w:r>
        <w:rPr>
          <w:spacing w:val="-49"/>
        </w:rPr>
      </w:r>
      <w:r>
        <w:rPr>
          <w:spacing w:val="-1"/>
        </w:rPr>
        <w:t>不断迭代进一步成熟产品，制定出一套实施标准与实施规范，同时培养出一支高效的实施团队，为之后的全面市场推广与复制打</w:t>
      </w:r>
      <w:r>
        <w:rPr>
          <w:spacing w:val="-49"/>
        </w:rPr>
        <w:t> </w:t>
      </w:r>
      <w:r>
        <w:rPr>
          <w:spacing w:val="-49"/>
        </w:rPr>
      </w:r>
      <w:r>
        <w:rPr/>
        <w:t>好基础。</w:t>
      </w:r>
    </w:p>
    <w:p>
      <w:pPr>
        <w:pStyle w:val="BodyText"/>
        <w:spacing w:line="477" w:lineRule="auto" w:before="54"/>
        <w:ind w:right="204" w:firstLine="360"/>
        <w:jc w:val="both"/>
      </w:pPr>
      <w:r>
        <w:rPr>
          <w:rFonts w:ascii="宋体" w:hAnsi="宋体" w:cs="宋体" w:eastAsia="宋体" w:hint="default"/>
          <w:spacing w:val="-1"/>
        </w:rPr>
        <w:t>HRP</w:t>
      </w:r>
      <w:r>
        <w:rPr>
          <w:spacing w:val="-1"/>
        </w:rPr>
        <w:t>（医院资源管理系统）方面，公司将进一步总结优化基于</w:t>
      </w:r>
      <w:r>
        <w:rPr>
          <w:rFonts w:ascii="宋体" w:hAnsi="宋体" w:cs="宋体" w:eastAsia="宋体" w:hint="default"/>
          <w:spacing w:val="-1"/>
        </w:rPr>
        <w:t>SAP</w:t>
      </w:r>
      <w:r>
        <w:rPr>
          <w:spacing w:val="-1"/>
        </w:rPr>
        <w:t>（企业管理解决方案）技术的整体解决方案，总结提炼在湘</w:t>
      </w:r>
      <w:r>
        <w:rPr/>
        <w:t> </w:t>
      </w:r>
      <w:r>
        <w:rPr>
          <w:spacing w:val="-1"/>
        </w:rPr>
        <w:t>雅医院、湘雅二院的专家经验和项目经验，提升其快速复制的能力；信息集成平台和数据中心方面，公司将进一步探索大数据分</w:t>
      </w:r>
      <w:r>
        <w:rPr>
          <w:spacing w:val="-49"/>
        </w:rPr>
        <w:t> </w:t>
      </w:r>
      <w:r>
        <w:rPr>
          <w:spacing w:val="-49"/>
        </w:rPr>
      </w:r>
      <w:r>
        <w:rPr>
          <w:spacing w:val="-1"/>
        </w:rPr>
        <w:t>析技术，基于医院已有积累的大数据逐步开展大数据应用，帮助医院挖掘现有电子病历中的数据，为医院科研、临床辅助决策提</w:t>
      </w:r>
      <w:r>
        <w:rPr>
          <w:spacing w:val="-48"/>
        </w:rPr>
        <w:t> </w:t>
      </w:r>
      <w:r>
        <w:rPr>
          <w:spacing w:val="-48"/>
        </w:rPr>
      </w:r>
      <w:r>
        <w:rPr>
          <w:spacing w:val="-1"/>
        </w:rPr>
        <w:t>供更好的工具和服务，如面向高血压、糖尿病等慢性病领域，在健康内联性分析、比较效果研究、临床决策支持、医疗数据透明</w:t>
      </w:r>
      <w:r>
        <w:rPr>
          <w:spacing w:val="-52"/>
        </w:rPr>
        <w:t> </w:t>
      </w:r>
      <w:r>
        <w:rPr>
          <w:spacing w:val="-52"/>
        </w:rPr>
      </w:r>
      <w:r>
        <w:rPr/>
        <w:t>度、群体疾病趋势分析方面构建大数据模型，开始进行产品化尝试。</w:t>
      </w:r>
    </w:p>
    <w:p>
      <w:pPr>
        <w:spacing w:line="240" w:lineRule="auto" w:before="2"/>
        <w:rPr>
          <w:rFonts w:ascii="宋体" w:hAnsi="宋体" w:cs="宋体" w:eastAsia="宋体" w:hint="default"/>
          <w:sz w:val="24"/>
          <w:szCs w:val="24"/>
        </w:rPr>
      </w:pPr>
    </w:p>
    <w:p>
      <w:pPr>
        <w:pStyle w:val="Heading7"/>
        <w:spacing w:line="240" w:lineRule="auto"/>
        <w:ind w:right="0"/>
        <w:jc w:val="left"/>
        <w:rPr>
          <w:b w:val="0"/>
          <w:bCs w:val="0"/>
        </w:rPr>
      </w:pPr>
      <w:r>
        <w:rPr/>
        <w:t>迭代发展城市级智慧医疗解决方案</w:t>
      </w:r>
      <w:r>
        <w:rPr>
          <w:b w:val="0"/>
          <w:bCs w:val="0"/>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9"/>
          <w:szCs w:val="19"/>
        </w:rPr>
      </w:pPr>
    </w:p>
    <w:p>
      <w:pPr>
        <w:pStyle w:val="BodyText"/>
        <w:spacing w:line="477" w:lineRule="auto"/>
        <w:ind w:right="117" w:firstLine="360"/>
        <w:jc w:val="both"/>
      </w:pPr>
      <w:r>
        <w:rPr/>
        <w:t>智慧健康城市建设是医疗机构信息化建设的自然延伸和扩展，需要融入更多的医疗、医保、医药等专业监管能力，同时需要 </w:t>
      </w:r>
      <w:r>
        <w:rPr>
          <w:spacing w:val="-2"/>
        </w:rPr>
        <w:t>将医院的智慧场景化业务从医院内部放大到城市范围，结合云医院和云医疗业务的探索，初步形成智慧健康城市的完整解决方案。</w:t>
      </w:r>
    </w:p>
    <w:p>
      <w:pPr>
        <w:pStyle w:val="BodyText"/>
        <w:spacing w:line="477" w:lineRule="auto" w:before="54"/>
        <w:ind w:right="204" w:firstLine="360"/>
        <w:jc w:val="both"/>
      </w:pPr>
      <w:r>
        <w:rPr/>
        <w:t>智慧健康城市的建设重点是民生工程和费用控制，具体包括：（</w:t>
      </w:r>
      <w:r>
        <w:rPr>
          <w:rFonts w:ascii="宋体" w:hAnsi="宋体" w:cs="宋体" w:eastAsia="宋体" w:hint="default"/>
        </w:rPr>
        <w:t>1</w:t>
      </w:r>
      <w:r>
        <w:rPr/>
        <w:t>）“智慧健康城市”平台建设：实现跨医疗机构及区域的 数据交换及个人医疗健康档案数据与电子病历数据的融合。（</w:t>
      </w:r>
      <w:r>
        <w:rPr>
          <w:rFonts w:ascii="宋体" w:hAnsi="宋体" w:cs="宋体" w:eastAsia="宋体" w:hint="default"/>
        </w:rPr>
        <w:t>2</w:t>
      </w:r>
      <w:r>
        <w:rPr/>
        <w:t>）创新惠民服务：包括健康门户、移动终端应用、预约挂号、报</w:t>
      </w:r>
      <w:r>
        <w:rPr>
          <w:spacing w:val="-20"/>
        </w:rPr>
        <w:t> </w:t>
      </w:r>
      <w:r>
        <w:rPr>
          <w:spacing w:val="-20"/>
        </w:rPr>
      </w:r>
      <w:r>
        <w:rPr/>
        <w:t>告查询、医患互动、综合支付、信用就医等服务。（</w:t>
      </w:r>
      <w:r>
        <w:rPr>
          <w:rFonts w:ascii="宋体" w:hAnsi="宋体" w:cs="宋体" w:eastAsia="宋体" w:hint="default"/>
        </w:rPr>
        <w:t>3</w:t>
      </w:r>
      <w:r>
        <w:rPr/>
        <w:t>）分级诊疗和区域业务协同服务，包括：区域临检服务、区域影像诊断服</w:t>
      </w:r>
      <w:r>
        <w:rPr>
          <w:spacing w:val="-25"/>
        </w:rPr>
        <w:t> </w:t>
      </w:r>
      <w:r>
        <w:rPr>
          <w:spacing w:val="-25"/>
        </w:rPr>
      </w:r>
      <w:r>
        <w:rPr/>
        <w:t>务；提升远程医疗，实现分级诊疗模式，以及相应的医联体、医共体建设。（</w:t>
      </w:r>
      <w:r>
        <w:rPr>
          <w:rFonts w:ascii="宋体" w:hAnsi="宋体" w:cs="宋体" w:eastAsia="宋体" w:hint="default"/>
        </w:rPr>
        <w:t>4</w:t>
      </w:r>
      <w:r>
        <w:rPr/>
        <w:t>）增强综合监管能力和三医联动：政府及时获得</w:t>
      </w:r>
      <w:r>
        <w:rPr>
          <w:spacing w:val="-23"/>
        </w:rPr>
        <w:t> </w:t>
      </w:r>
      <w:r>
        <w:rPr>
          <w:spacing w:val="-23"/>
        </w:rPr>
      </w:r>
      <w:r>
        <w:rPr/>
        <w:t>宏观管理所需的实时数据支持</w:t>
      </w:r>
      <w:r>
        <w:rPr>
          <w:rFonts w:ascii="宋体" w:hAnsi="宋体" w:cs="宋体" w:eastAsia="宋体" w:hint="default"/>
        </w:rPr>
        <w:t>,</w:t>
      </w:r>
      <w:r>
        <w:rPr/>
        <w:t>以辅助其决策，高效开展业务监管、疫情监测、应急联动等能力；并实现和医保、医药的有效联</w:t>
      </w:r>
      <w:r>
        <w:rPr>
          <w:spacing w:val="-26"/>
        </w:rPr>
        <w:t> </w:t>
      </w:r>
      <w:r>
        <w:rPr>
          <w:spacing w:val="-26"/>
        </w:rPr>
      </w:r>
      <w:r>
        <w:rPr>
          <w:spacing w:val="-1"/>
        </w:rPr>
        <w:t>动。（</w:t>
      </w:r>
      <w:r>
        <w:rPr>
          <w:rFonts w:ascii="宋体" w:hAnsi="宋体" w:cs="宋体" w:eastAsia="宋体" w:hint="default"/>
          <w:spacing w:val="-1"/>
        </w:rPr>
        <w:t>5</w:t>
      </w:r>
      <w:r>
        <w:rPr>
          <w:spacing w:val="-1"/>
        </w:rPr>
        <w:t>）医院信息化的升级换代，以及基层卫生机构信息化建设升级改造。（</w:t>
      </w:r>
      <w:r>
        <w:rPr>
          <w:rFonts w:ascii="宋体" w:hAnsi="宋体" w:cs="宋体" w:eastAsia="宋体" w:hint="default"/>
          <w:spacing w:val="-1"/>
        </w:rPr>
        <w:t>6</w:t>
      </w:r>
      <w:r>
        <w:rPr>
          <w:spacing w:val="-1"/>
        </w:rPr>
        <w:t>）创新健康服务：依托云计算和大数据分析等技</w:t>
      </w:r>
      <w:r>
        <w:rPr>
          <w:spacing w:val="-53"/>
        </w:rPr>
        <w:t> </w:t>
      </w:r>
      <w:r>
        <w:rPr>
          <w:spacing w:val="-53"/>
        </w:rPr>
      </w:r>
      <w:r>
        <w:rPr/>
        <w:t>术，将院内服务延伸到院外，从线下到线上；随着数据的规范和积累，开展大数据挖掘和应用服务等。</w:t>
      </w:r>
    </w:p>
    <w:p>
      <w:pPr>
        <w:pStyle w:val="BodyText"/>
        <w:spacing w:line="477" w:lineRule="auto" w:before="54"/>
        <w:ind w:right="204" w:firstLine="360"/>
        <w:jc w:val="both"/>
      </w:pPr>
      <w:r>
        <w:rPr>
          <w:spacing w:val="-4"/>
        </w:rPr>
        <w:t>在市场和方案逐步成熟的过程中，</w:t>
      </w:r>
      <w:r>
        <w:rPr>
          <w:rFonts w:ascii="宋体" w:hAnsi="宋体" w:cs="宋体" w:eastAsia="宋体" w:hint="default"/>
          <w:spacing w:val="-4"/>
        </w:rPr>
        <w:t>2018</w:t>
      </w:r>
      <w:r>
        <w:rPr>
          <w:spacing w:val="-4"/>
        </w:rPr>
        <w:t>年公司将进一步加强组织和能力建设，主要包括：</w:t>
      </w:r>
      <w:r>
        <w:rPr>
          <w:rFonts w:ascii="宋体" w:hAnsi="宋体" w:cs="宋体" w:eastAsia="宋体" w:hint="default"/>
          <w:spacing w:val="-4"/>
        </w:rPr>
        <w:t>1</w:t>
      </w:r>
      <w:r>
        <w:rPr>
          <w:spacing w:val="-4"/>
        </w:rPr>
        <w:t>）聚焦的经营团队；</w:t>
      </w:r>
      <w:r>
        <w:rPr>
          <w:rFonts w:ascii="宋体" w:hAnsi="宋体" w:cs="宋体" w:eastAsia="宋体" w:hint="default"/>
          <w:spacing w:val="-4"/>
        </w:rPr>
        <w:t>2</w:t>
      </w:r>
      <w:r>
        <w:rPr>
          <w:spacing w:val="-4"/>
        </w:rPr>
        <w:t>）渠道拓展；</w:t>
      </w:r>
      <w:r>
        <w:rPr/>
        <w:t> </w:t>
      </w:r>
      <w:r>
        <w:rPr>
          <w:rFonts w:ascii="宋体" w:hAnsi="宋体" w:cs="宋体" w:eastAsia="宋体" w:hint="default"/>
        </w:rPr>
        <w:t>3</w:t>
      </w:r>
      <w:r>
        <w:rPr/>
        <w:t>）试点示范和市场宣传；</w:t>
      </w:r>
      <w:r>
        <w:rPr>
          <w:rFonts w:ascii="宋体" w:hAnsi="宋体" w:cs="宋体" w:eastAsia="宋体" w:hint="default"/>
        </w:rPr>
        <w:t>4</w:t>
      </w:r>
      <w:r>
        <w:rPr/>
        <w:t>）进一步的政策跟踪和研究。</w:t>
      </w:r>
      <w:r>
        <w:rPr>
          <w:rFonts w:ascii="宋体" w:hAnsi="宋体" w:cs="宋体" w:eastAsia="宋体" w:hint="default"/>
        </w:rPr>
        <w:t>5</w:t>
      </w:r>
      <w:r>
        <w:rPr/>
        <w:t>）开放的平台体系和合作文化。</w:t>
      </w:r>
    </w:p>
    <w:p>
      <w:pPr>
        <w:spacing w:line="240" w:lineRule="auto" w:before="2"/>
        <w:rPr>
          <w:rFonts w:ascii="宋体" w:hAnsi="宋体" w:cs="宋体" w:eastAsia="宋体" w:hint="default"/>
          <w:sz w:val="24"/>
          <w:szCs w:val="24"/>
        </w:rPr>
      </w:pPr>
    </w:p>
    <w:p>
      <w:pPr>
        <w:pStyle w:val="Heading7"/>
        <w:spacing w:line="240" w:lineRule="auto"/>
        <w:ind w:right="0"/>
        <w:jc w:val="left"/>
        <w:rPr>
          <w:b w:val="0"/>
          <w:bCs w:val="0"/>
        </w:rPr>
      </w:pPr>
      <w:r>
        <w:rPr/>
        <w:t>加强增值服务拓展</w:t>
      </w:r>
      <w:r>
        <w:rPr>
          <w:b w:val="0"/>
          <w:bCs w:val="0"/>
        </w:rPr>
      </w: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9"/>
          <w:szCs w:val="19"/>
        </w:rPr>
      </w:pPr>
    </w:p>
    <w:p>
      <w:pPr>
        <w:pStyle w:val="BodyText"/>
        <w:spacing w:line="477" w:lineRule="auto"/>
        <w:ind w:right="204" w:firstLine="360"/>
        <w:jc w:val="both"/>
      </w:pPr>
      <w:r>
        <w:rPr>
          <w:spacing w:val="-1"/>
        </w:rPr>
        <w:t>和仁科技在发展过程中积累了大量优质客户，特别是大型“三甲”医院。一方面，医院信息化建设日新月异，信息化建设是</w:t>
      </w:r>
      <w:r>
        <w:rPr/>
        <w:t> </w:t>
      </w:r>
      <w:r>
        <w:rPr>
          <w:spacing w:val="-1"/>
        </w:rPr>
        <w:t>个持续的过程；另一方面，公司的新产品和原有产品的升级换代与原来的产品是紧密耦合的，实施难度小。针对这些老客户的二</w:t>
      </w:r>
      <w:r>
        <w:rPr>
          <w:spacing w:val="-50"/>
        </w:rPr>
        <w:t> </w:t>
      </w:r>
      <w:r>
        <w:rPr>
          <w:spacing w:val="-50"/>
        </w:rPr>
      </w:r>
      <w:r>
        <w:rPr/>
        <w:t>次营销，既是必要的，也是可行的。</w:t>
      </w:r>
    </w:p>
    <w:p>
      <w:pPr>
        <w:pStyle w:val="BodyText"/>
        <w:spacing w:line="477" w:lineRule="auto" w:before="54"/>
        <w:ind w:right="204" w:firstLine="360"/>
        <w:jc w:val="both"/>
      </w:pPr>
      <w:r>
        <w:rPr>
          <w:spacing w:val="-4"/>
        </w:rPr>
        <w:t>未来公司将依托运维服务建立的纽带，进行积极的新产品和产品升级服务推介；凭借提供咨询规划、设计、建设、系统集成、</w:t>
      </w:r>
      <w:r>
        <w:rPr/>
        <w:t> </w:t>
      </w:r>
      <w:r>
        <w:rPr>
          <w:spacing w:val="-1"/>
        </w:rPr>
        <w:t>数据整合应用等一体化管家式服务，通过长期的驻场技术服务团队，跟客户医院形成长期稳固的合作伙伴关系，形成一批增值服</w:t>
      </w:r>
    </w:p>
    <w:p>
      <w:pPr>
        <w:spacing w:after="0" w:line="477" w:lineRule="auto"/>
        <w:jc w:val="both"/>
        <w:sectPr>
          <w:pgSz w:w="11910" w:h="16840"/>
          <w:pgMar w:header="877" w:footer="1186" w:top="1100" w:bottom="1380" w:left="980" w:right="500"/>
        </w:sectPr>
      </w:pPr>
    </w:p>
    <w:p>
      <w:pPr>
        <w:spacing w:line="240" w:lineRule="auto" w:before="12"/>
        <w:rPr>
          <w:rFonts w:ascii="宋体" w:hAnsi="宋体" w:cs="宋体" w:eastAsia="宋体" w:hint="default"/>
          <w:sz w:val="27"/>
          <w:szCs w:val="27"/>
        </w:rPr>
      </w:pPr>
    </w:p>
    <w:p>
      <w:pPr>
        <w:pStyle w:val="BodyText"/>
        <w:spacing w:line="240" w:lineRule="auto" w:before="44"/>
        <w:ind w:right="0"/>
        <w:jc w:val="both"/>
      </w:pPr>
      <w:r>
        <w:rPr/>
        <w:t>务费的客户。</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7"/>
        <w:spacing w:line="240" w:lineRule="auto"/>
        <w:ind w:right="0"/>
        <w:jc w:val="left"/>
        <w:rPr>
          <w:b w:val="0"/>
          <w:bCs w:val="0"/>
        </w:rPr>
      </w:pPr>
      <w:r>
        <w:rPr/>
        <w:t>（三）未来发展规划</w:t>
      </w:r>
      <w:r>
        <w:rPr>
          <w:b w:val="0"/>
          <w:bCs w:val="0"/>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9"/>
          <w:szCs w:val="19"/>
        </w:rPr>
      </w:pPr>
    </w:p>
    <w:p>
      <w:pPr>
        <w:pStyle w:val="Heading7"/>
        <w:spacing w:line="240" w:lineRule="auto"/>
        <w:ind w:right="0"/>
        <w:jc w:val="left"/>
        <w:rPr>
          <w:b w:val="0"/>
          <w:bCs w:val="0"/>
        </w:rPr>
      </w:pPr>
      <w:r>
        <w:rPr/>
        <w:t>产品与业务模式发展计划</w:t>
      </w:r>
      <w:r>
        <w:rPr>
          <w:b w:val="0"/>
          <w:bCs w:val="0"/>
        </w:rPr>
      </w: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9"/>
          <w:szCs w:val="19"/>
        </w:rPr>
      </w:pPr>
    </w:p>
    <w:p>
      <w:pPr>
        <w:pStyle w:val="BodyText"/>
        <w:spacing w:line="477" w:lineRule="auto"/>
        <w:ind w:right="181" w:firstLine="360"/>
        <w:jc w:val="both"/>
      </w:pPr>
      <w:r>
        <w:rPr>
          <w:spacing w:val="-1"/>
        </w:rPr>
        <w:t>报告期间，公司基于移动互联网技术，最新研发的一体化新一代医院核心业务系统，已经在种子客户医院分院实施落地，下</w:t>
      </w:r>
      <w:r>
        <w:rPr/>
        <w:t> 一步公司将加强新一代医院管理信息系统、医院资源管理系统（</w:t>
      </w:r>
      <w:r>
        <w:rPr>
          <w:rFonts w:ascii="宋体" w:hAnsi="宋体" w:cs="宋体" w:eastAsia="宋体" w:hint="default"/>
        </w:rPr>
        <w:t>HRP</w:t>
      </w:r>
      <w:r>
        <w:rPr/>
        <w:t>）、集成平台、临床数据中心、智慧云医院平台等核心系统</w:t>
      </w:r>
      <w:r>
        <w:rPr>
          <w:spacing w:val="-20"/>
        </w:rPr>
        <w:t> </w:t>
      </w:r>
      <w:r>
        <w:rPr>
          <w:spacing w:val="-20"/>
        </w:rPr>
      </w:r>
      <w:r>
        <w:rPr>
          <w:spacing w:val="-1"/>
        </w:rPr>
        <w:t>的持续优化，完成上述系统与外围系统的集成整合，形成完备的数字化医院整体解决方案；针对专科医院、县级医院，以及基层</w:t>
      </w:r>
      <w:r>
        <w:rPr>
          <w:spacing w:val="-51"/>
        </w:rPr>
        <w:t> </w:t>
      </w:r>
      <w:r>
        <w:rPr>
          <w:spacing w:val="-51"/>
        </w:rPr>
      </w:r>
      <w:r>
        <w:rPr/>
        <w:t>医疗机构进行有针对性的产品开发，通过云版</w:t>
      </w:r>
      <w:r>
        <w:rPr>
          <w:rFonts w:ascii="宋体" w:hAnsi="宋体" w:cs="宋体" w:eastAsia="宋体" w:hint="default"/>
        </w:rPr>
        <w:t>HIS</w:t>
      </w:r>
      <w:r>
        <w:rPr/>
        <w:t>系统，专科电子病历的开发，丰富公司产品结构，提高客户覆盖能力。</w:t>
      </w:r>
    </w:p>
    <w:p>
      <w:pPr>
        <w:pStyle w:val="BodyText"/>
        <w:spacing w:line="477" w:lineRule="auto" w:before="54"/>
        <w:ind w:right="185" w:firstLine="360"/>
        <w:jc w:val="both"/>
      </w:pPr>
      <w:r>
        <w:rPr>
          <w:spacing w:val="-1"/>
        </w:rPr>
        <w:t>公司将以全面的信息化手段做支撑，以流程化、高效化、专业化的团队为核心，为医疗机构提供各种技术与咨询服务。通过</w:t>
      </w:r>
      <w:r>
        <w:rPr/>
        <w:t> 服务进一步保持公司产品的稳定运行，逐渐实现公司盈利模式的多样化。</w:t>
      </w:r>
    </w:p>
    <w:p>
      <w:pPr>
        <w:spacing w:line="240" w:lineRule="auto" w:before="2"/>
        <w:rPr>
          <w:rFonts w:ascii="宋体" w:hAnsi="宋体" w:cs="宋体" w:eastAsia="宋体" w:hint="default"/>
          <w:sz w:val="24"/>
          <w:szCs w:val="24"/>
        </w:rPr>
      </w:pPr>
    </w:p>
    <w:p>
      <w:pPr>
        <w:pStyle w:val="Heading7"/>
        <w:spacing w:line="240" w:lineRule="auto"/>
        <w:ind w:right="0"/>
        <w:jc w:val="left"/>
        <w:rPr>
          <w:b w:val="0"/>
          <w:bCs w:val="0"/>
        </w:rPr>
      </w:pPr>
      <w:r>
        <w:rPr/>
        <w:t>业务拓展计划</w:t>
      </w:r>
      <w:r>
        <w:rPr>
          <w:b w:val="0"/>
          <w:bCs w:val="0"/>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9"/>
          <w:szCs w:val="19"/>
        </w:rPr>
      </w:pPr>
    </w:p>
    <w:p>
      <w:pPr>
        <w:pStyle w:val="BodyText"/>
        <w:spacing w:line="477" w:lineRule="auto"/>
        <w:ind w:right="182" w:firstLine="360"/>
        <w:jc w:val="both"/>
      </w:pPr>
      <w:r>
        <w:rPr>
          <w:spacing w:val="-4"/>
        </w:rPr>
        <w:t>公司将加强营销网络建设和营销投入。首先，在全国各地庞大的新建医院目标市场中，以数字化场景应用系统这一特有优势，</w:t>
      </w:r>
      <w:r>
        <w:rPr/>
        <w:t> </w:t>
      </w:r>
      <w:r>
        <w:rPr>
          <w:spacing w:val="-1"/>
        </w:rPr>
        <w:t>为客户提供一揽子、高效、便捷、高质量的产品和服务；对于一些标杆意义的客户，以临床为核心、业务流程优化为目标，凭借</w:t>
      </w:r>
      <w:r>
        <w:rPr>
          <w:spacing w:val="-55"/>
        </w:rPr>
        <w:t> </w:t>
      </w:r>
      <w:r>
        <w:rPr>
          <w:spacing w:val="-55"/>
        </w:rPr>
      </w:r>
      <w:r>
        <w:rPr>
          <w:spacing w:val="-1"/>
        </w:rPr>
        <w:t>公司多年高水平医疗信息化建设经验，帮助医院提升临床信息化应用水平，支撑医院通过相关行业评级；针对城市级客户，公司</w:t>
      </w:r>
      <w:r>
        <w:rPr>
          <w:spacing w:val="-47"/>
        </w:rPr>
        <w:t> </w:t>
      </w:r>
      <w:r>
        <w:rPr>
          <w:spacing w:val="-47"/>
        </w:rPr>
      </w:r>
      <w:r>
        <w:rPr/>
        <w:t>将尝试拓展智慧健康城市业务，实现跨机构的临床数据和业务的融合，信息惠民、惠医、惠政，积极响应国家医改新政。</w:t>
      </w:r>
    </w:p>
    <w:p>
      <w:pPr>
        <w:pStyle w:val="BodyText"/>
        <w:spacing w:line="477" w:lineRule="auto" w:before="54"/>
        <w:ind w:right="184" w:firstLine="360"/>
        <w:jc w:val="both"/>
      </w:pPr>
      <w:r>
        <w:rPr>
          <w:spacing w:val="-1"/>
        </w:rPr>
        <w:t>随着公司医院信息化整体解决方案内涵不断扩展，公司将加大新建医院市场的扩展力度，借助公司在医疗机构信息系统应用</w:t>
      </w:r>
      <w:r>
        <w:rPr/>
        <w:t> </w:t>
      </w:r>
      <w:r>
        <w:rPr>
          <w:spacing w:val="-1"/>
        </w:rPr>
        <w:t>领域的优势，为新建医院提供包括信息系统规划设计、软硬件一体化配置、整体系统集成调试、系统维保在内的医疗信息系统整</w:t>
      </w:r>
      <w:r>
        <w:rPr>
          <w:spacing w:val="-49"/>
        </w:rPr>
        <w:t> </w:t>
      </w:r>
      <w:r>
        <w:rPr>
          <w:spacing w:val="-49"/>
        </w:rPr>
      </w:r>
      <w:r>
        <w:rPr/>
        <w:t>体交付服务。</w:t>
      </w:r>
    </w:p>
    <w:p>
      <w:pPr>
        <w:spacing w:line="240" w:lineRule="auto" w:before="2"/>
        <w:rPr>
          <w:rFonts w:ascii="宋体" w:hAnsi="宋体" w:cs="宋体" w:eastAsia="宋体" w:hint="default"/>
          <w:sz w:val="24"/>
          <w:szCs w:val="24"/>
        </w:rPr>
      </w:pPr>
    </w:p>
    <w:p>
      <w:pPr>
        <w:pStyle w:val="Heading7"/>
        <w:spacing w:line="240" w:lineRule="auto"/>
        <w:ind w:right="0"/>
        <w:jc w:val="left"/>
        <w:rPr>
          <w:b w:val="0"/>
          <w:bCs w:val="0"/>
        </w:rPr>
      </w:pPr>
      <w:r>
        <w:rPr/>
        <w:t>技术创新与研发计划</w:t>
      </w:r>
      <w:r>
        <w:rPr>
          <w:b w:val="0"/>
          <w:bCs w:val="0"/>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9"/>
          <w:szCs w:val="19"/>
        </w:rPr>
      </w:pPr>
    </w:p>
    <w:p>
      <w:pPr>
        <w:pStyle w:val="BodyText"/>
        <w:spacing w:line="477" w:lineRule="auto"/>
        <w:ind w:left="513" w:right="0"/>
        <w:jc w:val="left"/>
      </w:pPr>
      <w:r>
        <w:rPr/>
        <w:t>（</w:t>
      </w:r>
      <w:r>
        <w:rPr>
          <w:rFonts w:ascii="宋体" w:hAnsi="宋体" w:cs="宋体" w:eastAsia="宋体" w:hint="default"/>
        </w:rPr>
        <w:t>1</w:t>
      </w:r>
      <w:r>
        <w:rPr/>
        <w:t>）加强通用研发平台和研发模块化建设 </w:t>
      </w:r>
      <w:r>
        <w:rPr>
          <w:spacing w:val="-1"/>
        </w:rPr>
        <w:t>公司将在已有的软件模块、核心系统、</w:t>
      </w:r>
      <w:r>
        <w:rPr>
          <w:rFonts w:ascii="宋体" w:hAnsi="宋体" w:cs="宋体" w:eastAsia="宋体" w:hint="default"/>
          <w:spacing w:val="-1"/>
        </w:rPr>
        <w:t>JAVA</w:t>
      </w:r>
      <w:r>
        <w:rPr>
          <w:spacing w:val="-1"/>
        </w:rPr>
        <w:t>技术体系、</w:t>
      </w:r>
      <w:r>
        <w:rPr>
          <w:rFonts w:ascii="宋体" w:hAnsi="宋体" w:cs="宋体" w:eastAsia="宋体" w:hint="default"/>
          <w:spacing w:val="-1"/>
        </w:rPr>
        <w:t>.NET</w:t>
      </w:r>
      <w:r>
        <w:rPr>
          <w:spacing w:val="-1"/>
        </w:rPr>
        <w:t>技术体系、延伸应用等技术平台的基础上，进一步加强各研发平</w:t>
      </w:r>
    </w:p>
    <w:p>
      <w:pPr>
        <w:pStyle w:val="BodyText"/>
        <w:spacing w:line="477" w:lineRule="auto" w:before="54"/>
        <w:ind w:right="181"/>
        <w:jc w:val="both"/>
      </w:pPr>
      <w:r>
        <w:rPr>
          <w:spacing w:val="-4"/>
        </w:rPr>
        <w:t>台研发深度，以及各平台间的通用数据交换，增强平台内功能模块的可扩展性和可替代性，实现技术开发和产品开发的相对分离，</w:t>
      </w:r>
      <w:r>
        <w:rPr>
          <w:spacing w:val="-57"/>
        </w:rPr>
        <w:t> </w:t>
      </w:r>
      <w:r>
        <w:rPr>
          <w:spacing w:val="-57"/>
        </w:rPr>
      </w:r>
      <w:r>
        <w:rPr>
          <w:spacing w:val="-1"/>
        </w:rPr>
        <w:t>增强技术通用性，缩短现场客户个性化开发周期。同时，公司将进一步加强研发工作的系统文档管理，强化知识积累和经验共享</w:t>
      </w:r>
      <w:r>
        <w:rPr>
          <w:spacing w:val="-47"/>
        </w:rPr>
        <w:t> </w:t>
      </w:r>
      <w:r>
        <w:rPr>
          <w:spacing w:val="-47"/>
        </w:rPr>
      </w:r>
      <w:r>
        <w:rPr/>
        <w:t>机制。</w:t>
      </w:r>
    </w:p>
    <w:p>
      <w:pPr>
        <w:pStyle w:val="BodyText"/>
        <w:spacing w:line="477" w:lineRule="auto" w:before="54"/>
        <w:ind w:left="513" w:right="0"/>
        <w:jc w:val="left"/>
      </w:pPr>
      <w:r>
        <w:rPr/>
        <w:t>（</w:t>
      </w:r>
      <w:r>
        <w:rPr>
          <w:rFonts w:ascii="宋体" w:hAnsi="宋体" w:cs="宋体" w:eastAsia="宋体" w:hint="default"/>
        </w:rPr>
        <w:t>2</w:t>
      </w:r>
      <w:r>
        <w:rPr/>
        <w:t>）优化研发流程 公司将进一步梳理和优化研发组织流程，提升研发效率，增加研发流程的可控性，主要工作包括：提升研发组织功能建设、</w:t>
      </w:r>
    </w:p>
    <w:p>
      <w:pPr>
        <w:pStyle w:val="BodyText"/>
        <w:spacing w:line="240" w:lineRule="auto" w:before="54"/>
        <w:ind w:right="0"/>
        <w:jc w:val="both"/>
      </w:pPr>
      <w:r>
        <w:rPr/>
        <w:t>产品立项决策管理、研发团队建设、研发内部管理信息化建设，继续优化研发与市场信息反馈机制，在市场需求与公司研发规划</w:t>
      </w:r>
    </w:p>
    <w:p>
      <w:pPr>
        <w:spacing w:after="0" w:line="240" w:lineRule="auto"/>
        <w:jc w:val="both"/>
        <w:sectPr>
          <w:pgSz w:w="11910" w:h="16840"/>
          <w:pgMar w:header="877" w:footer="1186" w:top="1100" w:bottom="1380" w:left="980" w:right="520"/>
        </w:sectPr>
      </w:pPr>
    </w:p>
    <w:p>
      <w:pPr>
        <w:spacing w:line="240" w:lineRule="auto" w:before="12"/>
        <w:rPr>
          <w:rFonts w:ascii="宋体" w:hAnsi="宋体" w:cs="宋体" w:eastAsia="宋体" w:hint="default"/>
          <w:sz w:val="27"/>
          <w:szCs w:val="27"/>
        </w:rPr>
      </w:pPr>
    </w:p>
    <w:p>
      <w:pPr>
        <w:pStyle w:val="BodyText"/>
        <w:spacing w:line="240" w:lineRule="auto" w:before="44"/>
        <w:ind w:right="0"/>
        <w:jc w:val="both"/>
      </w:pPr>
      <w:r>
        <w:rPr/>
        <w:t>之间形成高效、及时的互动平台。</w:t>
      </w:r>
    </w:p>
    <w:p>
      <w:pPr>
        <w:spacing w:line="240" w:lineRule="auto" w:before="10"/>
        <w:rPr>
          <w:rFonts w:ascii="宋体" w:hAnsi="宋体" w:cs="宋体" w:eastAsia="宋体" w:hint="default"/>
          <w:sz w:val="17"/>
          <w:szCs w:val="17"/>
        </w:rPr>
      </w:pPr>
    </w:p>
    <w:p>
      <w:pPr>
        <w:pStyle w:val="BodyText"/>
        <w:spacing w:line="477" w:lineRule="auto"/>
        <w:ind w:left="513" w:right="0"/>
        <w:jc w:val="left"/>
      </w:pPr>
      <w:r>
        <w:rPr/>
        <w:t>（</w:t>
      </w:r>
      <w:r>
        <w:rPr>
          <w:rFonts w:ascii="宋体" w:hAnsi="宋体" w:cs="宋体" w:eastAsia="宋体" w:hint="default"/>
        </w:rPr>
        <w:t>3</w:t>
      </w:r>
      <w:r>
        <w:rPr/>
        <w:t>）研发投入与技术储备计划 </w:t>
      </w:r>
      <w:r>
        <w:rPr>
          <w:spacing w:val="-1"/>
        </w:rPr>
        <w:t>公司将重点跟踪研究大数据、云计算、物联网、移动通信、生物识别、机器学习、人工智能、区块链等前沿信息技术，结合</w:t>
      </w:r>
    </w:p>
    <w:p>
      <w:pPr>
        <w:pStyle w:val="BodyText"/>
        <w:spacing w:line="477" w:lineRule="auto" w:before="54"/>
        <w:ind w:right="186"/>
        <w:jc w:val="both"/>
      </w:pPr>
      <w:r>
        <w:rPr>
          <w:spacing w:val="-1"/>
        </w:rPr>
        <w:t>公司现有软件产品体系，探索上述技术与医疗机构业务流程的融合，推进先进信息技术在公司软件产品与解决方案上的应用，不</w:t>
      </w:r>
      <w:r>
        <w:rPr>
          <w:spacing w:val="-49"/>
        </w:rPr>
        <w:t> </w:t>
      </w:r>
      <w:r>
        <w:rPr>
          <w:spacing w:val="-49"/>
        </w:rPr>
      </w:r>
      <w:r>
        <w:rPr/>
        <w:t>断提升公司医疗信息整体解决方案的应用深度与广度。</w:t>
      </w:r>
    </w:p>
    <w:p>
      <w:pPr>
        <w:pStyle w:val="BodyText"/>
        <w:spacing w:line="477" w:lineRule="auto" w:before="54"/>
        <w:ind w:left="513" w:right="0"/>
        <w:jc w:val="left"/>
      </w:pPr>
      <w:r>
        <w:rPr/>
        <w:t>（</w:t>
      </w:r>
      <w:r>
        <w:rPr>
          <w:rFonts w:ascii="宋体" w:hAnsi="宋体" w:cs="宋体" w:eastAsia="宋体" w:hint="default"/>
        </w:rPr>
        <w:t>4</w:t>
      </w:r>
      <w:r>
        <w:rPr/>
        <w:t>）研发团队建设 </w:t>
      </w:r>
      <w:r>
        <w:rPr>
          <w:spacing w:val="-1"/>
        </w:rPr>
        <w:t>公司将不断完善产品研发机制，以市场需求确定研发方向，以产品预研机制控制风险，以技术能力和需求分析能力保障产品</w:t>
      </w:r>
    </w:p>
    <w:p>
      <w:pPr>
        <w:pStyle w:val="BodyText"/>
        <w:spacing w:line="477" w:lineRule="auto" w:before="55"/>
        <w:ind w:right="183"/>
        <w:jc w:val="both"/>
      </w:pPr>
      <w:r>
        <w:rPr>
          <w:spacing w:val="-1"/>
        </w:rPr>
        <w:t>的市场竞争力。公司将从制度建设入手，着重建立针对研发人员的有效激励机制、技术交流机制、内部培训制度，建设学习型组</w:t>
      </w:r>
      <w:r>
        <w:rPr>
          <w:spacing w:val="-49"/>
        </w:rPr>
        <w:t> </w:t>
      </w:r>
      <w:r>
        <w:rPr>
          <w:spacing w:val="-49"/>
        </w:rPr>
      </w:r>
      <w:r>
        <w:rPr>
          <w:spacing w:val="-1"/>
        </w:rPr>
        <w:t>织。公司鼓励研发人员提高自身综合素质，倡导研发创新并鼓励研发人员以个人名义申请职务发明专利，在公司内部形成鼓励创</w:t>
      </w:r>
      <w:r>
        <w:rPr>
          <w:spacing w:val="-49"/>
        </w:rPr>
        <w:t> </w:t>
      </w:r>
      <w:r>
        <w:rPr>
          <w:spacing w:val="-49"/>
        </w:rPr>
      </w:r>
      <w:r>
        <w:rPr/>
        <w:t>新、奖励创新的良好氛围。同时公司将持续关注行业内有潜力的研发骨干，以引进合适技术骨干，充实研发团队。</w:t>
      </w:r>
    </w:p>
    <w:p>
      <w:pPr>
        <w:spacing w:line="240" w:lineRule="auto" w:before="2"/>
        <w:rPr>
          <w:rFonts w:ascii="宋体" w:hAnsi="宋体" w:cs="宋体" w:eastAsia="宋体" w:hint="default"/>
          <w:sz w:val="24"/>
          <w:szCs w:val="24"/>
        </w:rPr>
      </w:pPr>
    </w:p>
    <w:p>
      <w:pPr>
        <w:pStyle w:val="Heading7"/>
        <w:spacing w:line="240" w:lineRule="auto"/>
        <w:ind w:right="0"/>
        <w:jc w:val="left"/>
        <w:rPr>
          <w:b w:val="0"/>
          <w:bCs w:val="0"/>
        </w:rPr>
      </w:pPr>
      <w:r>
        <w:rPr/>
        <w:t>管理提升计划</w:t>
      </w:r>
      <w:r>
        <w:rPr>
          <w:b w:val="0"/>
          <w:bCs w:val="0"/>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9"/>
          <w:szCs w:val="19"/>
        </w:rPr>
      </w:pPr>
    </w:p>
    <w:p>
      <w:pPr>
        <w:pStyle w:val="BodyText"/>
        <w:spacing w:line="240" w:lineRule="auto"/>
        <w:ind w:left="513" w:right="0"/>
        <w:jc w:val="left"/>
      </w:pPr>
      <w:r>
        <w:rPr/>
        <w:t>为适应业务规模扩张对提高公司管理水平的需求，公司计划重点在以下三个方面提升管理水平：</w:t>
      </w:r>
    </w:p>
    <w:p>
      <w:pPr>
        <w:spacing w:line="240" w:lineRule="auto" w:before="10"/>
        <w:rPr>
          <w:rFonts w:ascii="宋体" w:hAnsi="宋体" w:cs="宋体" w:eastAsia="宋体" w:hint="default"/>
          <w:sz w:val="17"/>
          <w:szCs w:val="17"/>
        </w:rPr>
      </w:pPr>
    </w:p>
    <w:p>
      <w:pPr>
        <w:pStyle w:val="BodyText"/>
        <w:spacing w:line="477" w:lineRule="auto"/>
        <w:ind w:left="513" w:right="0"/>
        <w:jc w:val="left"/>
      </w:pPr>
      <w:r>
        <w:rPr/>
        <w:t>（</w:t>
      </w:r>
      <w:r>
        <w:rPr>
          <w:rFonts w:ascii="宋体" w:hAnsi="宋体" w:cs="宋体" w:eastAsia="宋体" w:hint="default"/>
        </w:rPr>
        <w:t>1</w:t>
      </w:r>
      <w:r>
        <w:rPr/>
        <w:t>）公司治理结构提升计划 </w:t>
      </w:r>
      <w:r>
        <w:rPr>
          <w:spacing w:val="-1"/>
        </w:rPr>
        <w:t>公司将进一步完善法人治理结构，建立科学有效的决策机制和内部管理机制，实现决策科学化、运行规范化。随着公司的不</w:t>
      </w:r>
    </w:p>
    <w:p>
      <w:pPr>
        <w:pStyle w:val="BodyText"/>
        <w:spacing w:line="240" w:lineRule="auto" w:before="54"/>
        <w:ind w:right="0"/>
        <w:jc w:val="both"/>
      </w:pPr>
      <w:r>
        <w:rPr/>
        <w:t>断发展，各项投资活动的实施，公司将适时调整组织机构设置，建立起科学、合理、高效的管理模式。</w:t>
      </w:r>
    </w:p>
    <w:p>
      <w:pPr>
        <w:spacing w:line="240" w:lineRule="auto" w:before="10"/>
        <w:rPr>
          <w:rFonts w:ascii="宋体" w:hAnsi="宋体" w:cs="宋体" w:eastAsia="宋体" w:hint="default"/>
          <w:sz w:val="17"/>
          <w:szCs w:val="17"/>
        </w:rPr>
      </w:pPr>
    </w:p>
    <w:p>
      <w:pPr>
        <w:pStyle w:val="BodyText"/>
        <w:spacing w:line="477" w:lineRule="auto"/>
        <w:ind w:left="513" w:right="0"/>
        <w:jc w:val="left"/>
      </w:pPr>
      <w:r>
        <w:rPr/>
        <w:t>（</w:t>
      </w:r>
      <w:r>
        <w:rPr>
          <w:rFonts w:ascii="宋体" w:hAnsi="宋体" w:cs="宋体" w:eastAsia="宋体" w:hint="default"/>
        </w:rPr>
        <w:t>2</w:t>
      </w:r>
      <w:r>
        <w:rPr/>
        <w:t>）供应链系统建设计划 </w:t>
      </w:r>
      <w:r>
        <w:rPr>
          <w:spacing w:val="-1"/>
        </w:rPr>
        <w:t>公司将在现有的质量控制体系基础上，进一步优化流程，提高效率，持续改善服务品质。同时，根据公司智慧医疗整体解决</w:t>
      </w:r>
    </w:p>
    <w:p>
      <w:pPr>
        <w:pStyle w:val="BodyText"/>
        <w:spacing w:line="240" w:lineRule="auto" w:before="54"/>
        <w:ind w:right="0"/>
        <w:jc w:val="both"/>
      </w:pPr>
      <w:r>
        <w:rPr/>
        <w:t>方案项目现场管理需求，建立供应商协作计划和物料管控计划，完善财务系统与项目现场的信息共享。</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w:t>
      </w:r>
      <w:r>
        <w:rPr>
          <w:rFonts w:ascii="宋体" w:hAnsi="宋体" w:cs="宋体" w:eastAsia="宋体" w:hint="default"/>
        </w:rPr>
        <w:t>3</w:t>
      </w:r>
      <w:r>
        <w:rPr/>
        <w:t>）信息化建设计划</w:t>
      </w:r>
    </w:p>
    <w:p>
      <w:pPr>
        <w:spacing w:line="240" w:lineRule="auto" w:before="10"/>
        <w:rPr>
          <w:rFonts w:ascii="宋体" w:hAnsi="宋体" w:cs="宋体" w:eastAsia="宋体" w:hint="default"/>
          <w:sz w:val="17"/>
          <w:szCs w:val="17"/>
        </w:rPr>
      </w:pPr>
    </w:p>
    <w:p>
      <w:pPr>
        <w:pStyle w:val="BodyText"/>
        <w:spacing w:line="477" w:lineRule="auto"/>
        <w:ind w:right="0" w:firstLine="360"/>
        <w:jc w:val="left"/>
      </w:pPr>
      <w:r>
        <w:rPr/>
        <w:t>公司计划对现有 </w:t>
      </w:r>
      <w:r>
        <w:rPr>
          <w:rFonts w:ascii="宋体" w:hAnsi="宋体" w:cs="宋体" w:eastAsia="宋体" w:hint="default"/>
        </w:rPr>
        <w:t>ERP</w:t>
      </w:r>
      <w:r>
        <w:rPr>
          <w:rFonts w:ascii="宋体" w:hAnsi="宋体" w:cs="宋体" w:eastAsia="宋体" w:hint="default"/>
          <w:spacing w:val="57"/>
        </w:rPr>
        <w:t> </w:t>
      </w:r>
      <w:r>
        <w:rPr/>
        <w:t>信息系统进行升级扩容，提高研发、项目实施、质量控制等核心业务环节的信息化管理水平，强化对 </w:t>
      </w:r>
      <w:r>
        <w:rPr>
          <w:spacing w:val="-4"/>
        </w:rPr>
        <w:t>采购管理、现场库存管理、精细化实施管理、研发动态信息跟踪管理等关键控制节点的管理，将信息化应用贯穿于业务每一环节。</w:t>
      </w:r>
    </w:p>
    <w:p>
      <w:pPr>
        <w:spacing w:line="240" w:lineRule="auto" w:before="2"/>
        <w:rPr>
          <w:rFonts w:ascii="宋体" w:hAnsi="宋体" w:cs="宋体" w:eastAsia="宋体" w:hint="default"/>
          <w:sz w:val="24"/>
          <w:szCs w:val="24"/>
        </w:rPr>
      </w:pPr>
    </w:p>
    <w:p>
      <w:pPr>
        <w:pStyle w:val="Heading7"/>
        <w:spacing w:line="240" w:lineRule="auto"/>
        <w:ind w:right="0"/>
        <w:jc w:val="left"/>
        <w:rPr>
          <w:b w:val="0"/>
          <w:bCs w:val="0"/>
        </w:rPr>
      </w:pPr>
      <w:r>
        <w:rPr/>
        <w:t>人力资源发展计划</w:t>
      </w:r>
      <w:r>
        <w:rPr>
          <w:b w:val="0"/>
          <w:bCs w:val="0"/>
        </w:rPr>
      </w: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9"/>
          <w:szCs w:val="19"/>
        </w:rPr>
      </w:pPr>
    </w:p>
    <w:p>
      <w:pPr>
        <w:pStyle w:val="BodyText"/>
        <w:spacing w:line="477" w:lineRule="auto"/>
        <w:ind w:right="0" w:firstLine="360"/>
        <w:jc w:val="left"/>
      </w:pPr>
      <w:r>
        <w:rPr/>
        <w:t>作为软件企业，人力资源是公司业务发展的核心要素。公司将加大人力资源的开发和配置力度，完善人才培养、引进机制， 建立一支诚信、高效的团队，遵循“以人为本”的人才策略，为公司的总体发展战略提供人力资源保障。</w:t>
      </w:r>
    </w:p>
    <w:p>
      <w:pPr>
        <w:pStyle w:val="BodyText"/>
        <w:spacing w:line="477" w:lineRule="auto" w:before="54"/>
        <w:ind w:right="0" w:firstLine="360"/>
        <w:jc w:val="left"/>
      </w:pPr>
      <w:r>
        <w:rPr>
          <w:spacing w:val="-4"/>
        </w:rPr>
        <w:t>加强人力资源规划战略，建立支持公司中长期战略发展的“战略人才储备”机制，保障关键职位的人才引进和储备，确保一、</w:t>
      </w:r>
      <w:r>
        <w:rPr/>
        <w:t> 二线用人需求。</w:t>
      </w:r>
    </w:p>
    <w:p>
      <w:pPr>
        <w:pStyle w:val="BodyText"/>
        <w:spacing w:line="240" w:lineRule="auto" w:before="54"/>
        <w:ind w:left="513" w:right="0"/>
        <w:jc w:val="left"/>
      </w:pPr>
      <w:r>
        <w:rPr/>
        <w:t>加强对员工的职业培训，构建学习型组织，以专业培训和综合素质培训为核心，对公司员工进行系统的培训。加强中高层管</w:t>
      </w:r>
    </w:p>
    <w:p>
      <w:pPr>
        <w:spacing w:after="0" w:line="240" w:lineRule="auto"/>
        <w:jc w:val="left"/>
        <w:sectPr>
          <w:pgSz w:w="11910" w:h="16840"/>
          <w:pgMar w:header="877" w:footer="1186" w:top="1100" w:bottom="1380" w:left="980" w:right="520"/>
        </w:sectPr>
      </w:pPr>
    </w:p>
    <w:p>
      <w:pPr>
        <w:spacing w:line="240" w:lineRule="auto" w:before="12"/>
        <w:rPr>
          <w:rFonts w:ascii="宋体" w:hAnsi="宋体" w:cs="宋体" w:eastAsia="宋体" w:hint="default"/>
          <w:sz w:val="27"/>
          <w:szCs w:val="27"/>
        </w:rPr>
      </w:pPr>
    </w:p>
    <w:p>
      <w:pPr>
        <w:pStyle w:val="BodyText"/>
        <w:spacing w:line="240" w:lineRule="auto" w:before="44"/>
        <w:ind w:right="134"/>
        <w:jc w:val="left"/>
      </w:pPr>
      <w:r>
        <w:rPr/>
        <w:t>理人员的现代化管理技能培训，适当时机引进专业培训机构开展高端培训。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right="134"/>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34"/>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9"/>
              <w:jc w:val="both"/>
              <w:rPr>
                <w:rFonts w:ascii="宋体" w:hAnsi="宋体" w:cs="宋体" w:eastAsia="宋体" w:hint="default"/>
                <w:sz w:val="18"/>
                <w:szCs w:val="18"/>
              </w:rPr>
            </w:pPr>
            <w:r>
              <w:rPr>
                <w:rFonts w:ascii="宋体" w:hAnsi="宋体" w:cs="宋体" w:eastAsia="宋体" w:hint="default"/>
                <w:sz w:val="18"/>
                <w:szCs w:val="18"/>
              </w:rPr>
              <w:t>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日披露于巨潮 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）的 投资者关系活动记录表</w:t>
            </w:r>
          </w:p>
        </w:tc>
      </w:tr>
    </w:tbl>
    <w:p>
      <w:pPr>
        <w:spacing w:after="0" w:line="300" w:lineRule="auto"/>
        <w:jc w:val="both"/>
        <w:rPr>
          <w:rFonts w:ascii="宋体" w:hAnsi="宋体" w:cs="宋体" w:eastAsia="宋体" w:hint="default"/>
          <w:sz w:val="18"/>
          <w:szCs w:val="18"/>
        </w:rPr>
        <w:sectPr>
          <w:pgSz w:w="11910" w:h="16840"/>
          <w:pgMar w:header="877" w:footer="1186" w:top="1100" w:bottom="1380" w:left="98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554"/>
        <w:jc w:val="center"/>
        <w:rPr>
          <w:b w:val="0"/>
          <w:bCs w:val="0"/>
        </w:rPr>
      </w:pPr>
      <w:bookmarkStart w:name="_bookmark3" w:id="4"/>
      <w:bookmarkEnd w:id="4"/>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right="2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公司报告期利润分配预案及资本公积金转增股本预案与公司章程和分红管理办法等的相关规定一致</w:t>
      </w:r>
    </w:p>
    <w:p>
      <w:pPr>
        <w:pStyle w:val="BodyText"/>
        <w:spacing w:line="348" w:lineRule="auto" w:before="43"/>
        <w:ind w:right="32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p>
      <w:pPr>
        <w:spacing w:line="240" w:lineRule="auto" w:before="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0.60</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83,220,000</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4,993,200.00</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177,293,242.59</w:t>
            </w:r>
          </w:p>
        </w:tc>
      </w:tr>
      <w:tr>
        <w:trPr>
          <w:trHeight w:val="404"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经天健会计师事务所（特殊普通合伙）审计，公司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32,904,573.34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元，根据《公司章程》规定，按照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年度母公司实现净利润的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3,048,546.63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日，公司累计未分配利润</w:t>
            </w:r>
          </w:p>
          <w:p>
            <w:pPr>
              <w:pStyle w:val="TableParagraph"/>
              <w:spacing w:line="240" w:lineRule="auto" w:before="63"/>
              <w:ind w:left="24" w:right="-5"/>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177,293,242.59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元。经统筹考虑公司资金使用情况，</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年利润分配预案为：以公司最新总股本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83,220,000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w:t>
            </w:r>
          </w:p>
          <w:p>
            <w:pPr>
              <w:pStyle w:val="TableParagraph"/>
              <w:spacing w:line="300" w:lineRule="auto" w:before="63"/>
              <w:ind w:left="24" w:right="37"/>
              <w:jc w:val="left"/>
              <w:rPr>
                <w:rFonts w:ascii="宋体" w:hAnsi="宋体" w:cs="宋体" w:eastAsia="宋体" w:hint="default"/>
                <w:sz w:val="18"/>
                <w:szCs w:val="18"/>
              </w:rPr>
            </w:pPr>
            <w:r>
              <w:rPr>
                <w:rFonts w:ascii="宋体" w:hAnsi="宋体" w:cs="宋体" w:eastAsia="宋体" w:hint="default"/>
                <w:sz w:val="18"/>
                <w:szCs w:val="18"/>
              </w:rPr>
              <w:t>向全体股东每</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股派发现金红利</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元（含税）。不送红股，不以资本公积转增股本。若利润分配方案实施完毕前，公司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总股本发生变化，将按照分配总额不变的原则进行调整。</w:t>
            </w:r>
          </w:p>
        </w:tc>
      </w:tr>
    </w:tbl>
    <w:p>
      <w:pPr>
        <w:pStyle w:val="BodyText"/>
        <w:spacing w:line="338" w:lineRule="auto" w:before="49"/>
        <w:ind w:left="573" w:right="142" w:hanging="421"/>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宋体" w:hAnsi="宋体" w:cs="宋体" w:eastAsia="宋体" w:hint="default"/>
          <w:spacing w:val="-1"/>
        </w:rPr>
        <w:t>2016</w:t>
      </w:r>
      <w:r>
        <w:rPr>
          <w:spacing w:val="-1"/>
        </w:rPr>
        <w:t>年利润分配方案：根据</w:t>
      </w:r>
      <w:r>
        <w:rPr>
          <w:rFonts w:ascii="宋体" w:hAnsi="宋体" w:cs="宋体" w:eastAsia="宋体" w:hint="default"/>
          <w:spacing w:val="-1"/>
        </w:rPr>
        <w:t>2017</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25</w:t>
      </w:r>
      <w:r>
        <w:rPr>
          <w:spacing w:val="-1"/>
        </w:rPr>
        <w:t>日公司第二届董事会第二次会议审议通过的</w:t>
      </w:r>
      <w:r>
        <w:rPr>
          <w:rFonts w:ascii="宋体" w:hAnsi="宋体" w:cs="宋体" w:eastAsia="宋体" w:hint="default"/>
          <w:spacing w:val="-1"/>
        </w:rPr>
        <w:t>2016</w:t>
      </w:r>
      <w:r>
        <w:rPr>
          <w:spacing w:val="-1"/>
        </w:rPr>
        <w:t>年利润分配预案，公司按母公</w:t>
      </w:r>
    </w:p>
    <w:p>
      <w:pPr>
        <w:pStyle w:val="BodyText"/>
        <w:spacing w:line="316" w:lineRule="auto" w:before="2"/>
        <w:ind w:right="144"/>
        <w:jc w:val="left"/>
      </w:pPr>
      <w:r>
        <w:rPr/>
        <w:t>司</w:t>
      </w:r>
      <w:r>
        <w:rPr>
          <w:rFonts w:ascii="宋体" w:hAnsi="宋体" w:cs="宋体" w:eastAsia="宋体" w:hint="default"/>
        </w:rPr>
        <w:t>2016</w:t>
      </w:r>
      <w:r>
        <w:rPr/>
        <w:t>年度实现净利润的</w:t>
      </w:r>
      <w:r>
        <w:rPr>
          <w:rFonts w:ascii="宋体" w:hAnsi="宋体" w:cs="宋体" w:eastAsia="宋体" w:hint="default"/>
        </w:rPr>
        <w:t>10%</w:t>
      </w:r>
      <w:r>
        <w:rPr/>
        <w:t>提取法定盈余公积，以公司</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80,000,000</w:t>
      </w:r>
      <w:r>
        <w:rPr/>
        <w:t>股为基数，向全体股东每</w:t>
      </w:r>
      <w:r>
        <w:rPr>
          <w:rFonts w:ascii="宋体" w:hAnsi="宋体" w:cs="宋体" w:eastAsia="宋体" w:hint="default"/>
        </w:rPr>
        <w:t>10</w:t>
      </w:r>
      <w:r>
        <w:rPr/>
        <w:t>股派 发现金红利人民币</w:t>
      </w:r>
      <w:r>
        <w:rPr>
          <w:rFonts w:ascii="宋体" w:hAnsi="宋体" w:cs="宋体" w:eastAsia="宋体" w:hint="default"/>
        </w:rPr>
        <w:t>1.00</w:t>
      </w:r>
      <w:r>
        <w:rPr/>
        <w:t>元（含税）；不送红股，不以资本公积转增股本。</w:t>
      </w:r>
    </w:p>
    <w:p>
      <w:pPr>
        <w:pStyle w:val="BodyText"/>
        <w:spacing w:line="316" w:lineRule="auto" w:before="19"/>
        <w:ind w:right="148" w:firstLine="420"/>
        <w:jc w:val="both"/>
      </w:pPr>
      <w:r>
        <w:rPr>
          <w:rFonts w:ascii="宋体" w:hAnsi="宋体" w:cs="宋体" w:eastAsia="宋体" w:hint="default"/>
          <w:spacing w:val="-4"/>
        </w:rPr>
        <w:t>2017</w:t>
      </w:r>
      <w:r>
        <w:rPr>
          <w:spacing w:val="-4"/>
        </w:rPr>
        <w:t>年利润分配预案：以公司最新总股本</w:t>
      </w:r>
      <w:r>
        <w:rPr>
          <w:rFonts w:ascii="宋体" w:hAnsi="宋体" w:cs="宋体" w:eastAsia="宋体" w:hint="default"/>
          <w:spacing w:val="-4"/>
        </w:rPr>
        <w:t>83,220,000</w:t>
      </w:r>
      <w:r>
        <w:rPr>
          <w:spacing w:val="-4"/>
        </w:rPr>
        <w:t>股为基数，向全体股东每</w:t>
      </w:r>
      <w:r>
        <w:rPr>
          <w:rFonts w:ascii="宋体" w:hAnsi="宋体" w:cs="宋体" w:eastAsia="宋体" w:hint="default"/>
          <w:spacing w:val="-4"/>
        </w:rPr>
        <w:t>10</w:t>
      </w:r>
      <w:r>
        <w:rPr>
          <w:spacing w:val="-4"/>
        </w:rPr>
        <w:t>股派发现金红利人民币</w:t>
      </w:r>
      <w:r>
        <w:rPr>
          <w:rFonts w:ascii="宋体" w:hAnsi="宋体" w:cs="宋体" w:eastAsia="宋体" w:hint="default"/>
          <w:spacing w:val="-4"/>
        </w:rPr>
        <w:t>0.6</w:t>
      </w:r>
      <w:r>
        <w:rPr>
          <w:spacing w:val="-4"/>
        </w:rPr>
        <w:t>元（含税）；</w:t>
      </w:r>
      <w:r>
        <w:rPr/>
        <w:t> </w:t>
      </w:r>
      <w:r>
        <w:rPr>
          <w:spacing w:val="-2"/>
        </w:rPr>
        <w:t>不送红股，不以资本公积转增股本。若利润分配方案实施完毕前，公司总股本发生变化，将按照分配总额不变的原则进行调</w:t>
      </w:r>
      <w:r>
        <w:rPr>
          <w:spacing w:val="-64"/>
        </w:rPr>
        <w:t> </w:t>
      </w:r>
      <w:r>
        <w:rPr>
          <w:spacing w:val="-64"/>
        </w:rPr>
      </w:r>
      <w:r>
        <w:rPr/>
        <w:t>整。上述利润分配预案尚待股东大会审议批准。</w:t>
      </w:r>
    </w:p>
    <w:p>
      <w:pPr>
        <w:spacing w:line="240" w:lineRule="auto" w:before="0"/>
        <w:rPr>
          <w:rFonts w:ascii="宋体" w:hAnsi="宋体" w:cs="宋体" w:eastAsia="宋体" w:hint="default"/>
          <w:sz w:val="25"/>
          <w:szCs w:val="25"/>
        </w:rPr>
      </w:pPr>
    </w:p>
    <w:p>
      <w:pPr>
        <w:pStyle w:val="BodyText"/>
        <w:spacing w:line="240" w:lineRule="auto" w:before="44"/>
        <w:ind w:right="0"/>
        <w:jc w:val="left"/>
      </w:pPr>
      <w:r>
        <w:rPr/>
        <w:t>公司近三年（包括本报告期）普通股现金分红情况表</w:t>
      </w:r>
    </w:p>
    <w:p>
      <w:pPr>
        <w:pStyle w:val="BodyText"/>
        <w:spacing w:line="240" w:lineRule="auto" w:before="115"/>
        <w:ind w:left="0" w:right="151"/>
        <w:jc w:val="right"/>
      </w:pPr>
      <w:r>
        <w:rPr/>
        <w:t>单位：元</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0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6"/>
              <w:ind w:left="71" w:right="71"/>
              <w:jc w:val="left"/>
              <w:rPr>
                <w:rFonts w:ascii="宋体" w:hAnsi="宋体" w:cs="宋体" w:eastAsia="宋体" w:hint="default"/>
                <w:sz w:val="18"/>
                <w:szCs w:val="18"/>
              </w:rPr>
            </w:pPr>
            <w:r>
              <w:rPr>
                <w:rFonts w:ascii="宋体" w:hAnsi="宋体" w:cs="宋体" w:eastAsia="宋体" w:hint="default"/>
                <w:sz w:val="18"/>
                <w:szCs w:val="18"/>
              </w:rPr>
              <w:t>分红年度合并报表 中归属于上市公司</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6"/>
              <w:ind w:left="71" w:right="72"/>
              <w:jc w:val="left"/>
              <w:rPr>
                <w:rFonts w:ascii="宋体" w:hAnsi="宋体" w:cs="宋体" w:eastAsia="宋体" w:hint="default"/>
                <w:sz w:val="18"/>
                <w:szCs w:val="18"/>
              </w:rPr>
            </w:pPr>
            <w:r>
              <w:rPr>
                <w:rFonts w:ascii="宋体" w:hAnsi="宋体" w:cs="宋体" w:eastAsia="宋体" w:hint="default"/>
                <w:sz w:val="18"/>
                <w:szCs w:val="18"/>
              </w:rPr>
              <w:t>占合并报表中归属 于上市公司普通股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bl>
    <w:p>
      <w:pPr>
        <w:spacing w:after="0" w:line="316" w:lineRule="auto"/>
        <w:jc w:val="left"/>
        <w:rPr>
          <w:rFonts w:ascii="宋体" w:hAnsi="宋体" w:cs="宋体" w:eastAsia="宋体" w:hint="default"/>
          <w:sz w:val="18"/>
          <w:szCs w:val="18"/>
        </w:rPr>
        <w:sectPr>
          <w:headerReference w:type="default" r:id="rId18"/>
          <w:footerReference w:type="default" r:id="rId19"/>
          <w:pgSz w:w="11910" w:h="16840"/>
          <w:pgMar w:header="877" w:footer="1186" w:top="1100" w:bottom="1380" w:left="980" w:right="980"/>
          <w:pgNumType w:start="36"/>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574"/>
        <w:gridCol w:w="1605"/>
        <w:gridCol w:w="1594"/>
        <w:gridCol w:w="1596"/>
        <w:gridCol w:w="1594"/>
        <w:gridCol w:w="1594"/>
      </w:tblGrid>
      <w:tr>
        <w:trPr>
          <w:trHeight w:val="675"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703" w:right="71" w:hanging="632"/>
              <w:jc w:val="left"/>
              <w:rPr>
                <w:rFonts w:ascii="宋体" w:hAnsi="宋体" w:cs="宋体" w:eastAsia="宋体" w:hint="default"/>
                <w:sz w:val="18"/>
                <w:szCs w:val="18"/>
              </w:rPr>
            </w:pPr>
            <w:r>
              <w:rPr>
                <w:rFonts w:ascii="宋体" w:hAnsi="宋体" w:cs="宋体" w:eastAsia="宋体" w:hint="default"/>
                <w:sz w:val="18"/>
                <w:szCs w:val="18"/>
              </w:rPr>
              <w:t>普通股股东的净利 润</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703" w:right="72" w:hanging="632"/>
              <w:jc w:val="left"/>
              <w:rPr>
                <w:rFonts w:ascii="宋体" w:hAnsi="宋体" w:cs="宋体" w:eastAsia="宋体" w:hint="default"/>
                <w:sz w:val="18"/>
                <w:szCs w:val="18"/>
              </w:rPr>
            </w:pPr>
            <w:r>
              <w:rPr>
                <w:rFonts w:ascii="宋体" w:hAnsi="宋体" w:cs="宋体" w:eastAsia="宋体" w:hint="default"/>
                <w:sz w:val="18"/>
                <w:szCs w:val="18"/>
              </w:rPr>
              <w:t>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4,993,200.00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32,904,573.34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52,070,995.55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51,728,004.13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5"/>
        <w:spacing w:line="259"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617" w:hRule="exact"/>
        </w:trPr>
        <w:tc>
          <w:tcPr>
            <w:tcW w:w="2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19"/>
              <w:ind w:left="16" w:right="17"/>
              <w:jc w:val="left"/>
              <w:rPr>
                <w:rFonts w:ascii="宋体" w:hAnsi="宋体" w:cs="宋体" w:eastAsia="宋体" w:hint="default"/>
                <w:sz w:val="18"/>
                <w:szCs w:val="18"/>
              </w:rPr>
            </w:pPr>
            <w:r>
              <w:rPr>
                <w:rFonts w:ascii="宋体" w:hAnsi="宋体" w:cs="宋体" w:eastAsia="宋体" w:hint="default"/>
                <w:sz w:val="18"/>
                <w:szCs w:val="18"/>
              </w:rPr>
              <w:t>杭州磐鸿投 资管理合伙 </w:t>
            </w:r>
            <w:r>
              <w:rPr>
                <w:rFonts w:ascii="宋体" w:hAnsi="宋体" w:cs="宋体" w:eastAsia="宋体" w:hint="default"/>
                <w:spacing w:val="-3"/>
                <w:sz w:val="18"/>
                <w:szCs w:val="18"/>
              </w:rPr>
              <w:t>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杭州磐源</w:t>
            </w:r>
            <w:r>
              <w:rPr>
                <w:rFonts w:ascii="宋体" w:hAnsi="宋体" w:cs="宋体" w:eastAsia="宋体" w:hint="default"/>
                <w:spacing w:val="-87"/>
                <w:sz w:val="18"/>
                <w:szCs w:val="18"/>
              </w:rPr>
              <w:t> </w:t>
            </w:r>
            <w:r>
              <w:rPr>
                <w:rFonts w:ascii="宋体" w:hAnsi="宋体" w:cs="宋体" w:eastAsia="宋体" w:hint="default"/>
                <w:sz w:val="18"/>
                <w:szCs w:val="18"/>
              </w:rPr>
              <w:t>投资有限公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杨波</w:t>
            </w:r>
            <w:r>
              <w:rPr>
                <w:rFonts w:ascii="Times New Roman" w:hAnsi="Times New Roman" w:cs="Times New Roman" w:eastAsia="Times New Roman" w:hint="default"/>
                <w:sz w:val="18"/>
                <w:szCs w:val="18"/>
              </w:rPr>
              <w:t>;</w:t>
            </w:r>
            <w:r>
              <w:rPr>
                <w:rFonts w:ascii="宋体" w:hAnsi="宋体" w:cs="宋体" w:eastAsia="宋体" w:hint="default"/>
                <w:sz w:val="18"/>
                <w:szCs w:val="18"/>
              </w:rPr>
              <w:t>杨一 兵</w:t>
            </w:r>
            <w:r>
              <w:rPr>
                <w:rFonts w:ascii="Times New Roman" w:hAnsi="Times New Roman" w:cs="Times New Roman" w:eastAsia="Times New Roman" w:hint="default"/>
                <w:sz w:val="18"/>
                <w:szCs w:val="18"/>
              </w:rPr>
              <w:t>;</w:t>
            </w:r>
            <w:r>
              <w:rPr>
                <w:rFonts w:ascii="宋体" w:hAnsi="宋体" w:cs="宋体" w:eastAsia="宋体" w:hint="default"/>
                <w:sz w:val="18"/>
                <w:szCs w:val="18"/>
              </w:rPr>
              <w:t>杨依敏</w:t>
            </w:r>
            <w:r>
              <w:rPr>
                <w:rFonts w:ascii="Times New Roman" w:hAnsi="Times New Roman" w:cs="Times New Roman" w:eastAsia="Times New Roman" w:hint="default"/>
                <w:sz w:val="18"/>
                <w:szCs w:val="18"/>
              </w:rPr>
              <w:t>;</w:t>
            </w:r>
            <w:r>
              <w:rPr>
                <w:rFonts w:ascii="宋体" w:hAnsi="宋体" w:cs="宋体" w:eastAsia="宋体" w:hint="default"/>
                <w:sz w:val="18"/>
                <w:szCs w:val="18"/>
              </w:rPr>
              <w:t>郑 香叶</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自公司股票 上市之日起 三十六个月 </w:t>
            </w:r>
            <w:r>
              <w:rPr>
                <w:rFonts w:ascii="宋体" w:hAnsi="宋体" w:cs="宋体" w:eastAsia="宋体" w:hint="default"/>
                <w:spacing w:val="-2"/>
                <w:sz w:val="18"/>
                <w:szCs w:val="18"/>
              </w:rPr>
              <w:t>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者委托他人 管理其直接 或间接持有 的公司本次 发行前已发 </w:t>
            </w:r>
            <w:r>
              <w:rPr>
                <w:rFonts w:ascii="宋体" w:hAnsi="宋体" w:cs="宋体" w:eastAsia="宋体" w:hint="default"/>
                <w:spacing w:val="-2"/>
                <w:sz w:val="18"/>
                <w:szCs w:val="18"/>
              </w:rPr>
              <w:t>行的股份，也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不由公司回 购其直接或 间接持有的 公司本次发 行前已发行 的股份</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4"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1070" w:hRule="exact"/>
        </w:trPr>
        <w:tc>
          <w:tcPr>
            <w:tcW w:w="2837" w:type="dxa"/>
            <w:vMerge w:val="restart"/>
            <w:tcBorders>
              <w:top w:val="nil" w:sz="6" w:space="0" w:color="auto"/>
              <w:left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254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北京盛景财 富投资管理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傅 烈勇</w:t>
            </w:r>
            <w:r>
              <w:rPr>
                <w:rFonts w:ascii="Times New Roman" w:hAnsi="Times New Roman" w:cs="Times New Roman" w:eastAsia="Times New Roman" w:hint="default"/>
                <w:sz w:val="18"/>
                <w:szCs w:val="18"/>
              </w:rPr>
              <w:t>;</w:t>
            </w:r>
            <w:r>
              <w:rPr>
                <w:rFonts w:ascii="宋体" w:hAnsi="宋体" w:cs="宋体" w:eastAsia="宋体" w:hint="default"/>
                <w:sz w:val="18"/>
                <w:szCs w:val="18"/>
              </w:rPr>
              <w:t>昆山雷 石雨花股权 投资合伙企 业（有限合 </w:t>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青岛金石</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自公司股票 上市之日起 十二个月内， 不转让或者 委托他人管 理本人直接 或间接持有 的公司本次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23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灏汭投资有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武汉 雷石瑞丰股 权投资合伙 </w:t>
            </w:r>
            <w:r>
              <w:rPr>
                <w:rFonts w:ascii="宋体" w:hAnsi="宋体" w:cs="宋体" w:eastAsia="宋体" w:hint="default"/>
                <w:spacing w:val="-3"/>
                <w:sz w:val="18"/>
                <w:szCs w:val="18"/>
              </w:rPr>
              <w:t>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伙）</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发行前已发 </w:t>
            </w:r>
            <w:r>
              <w:rPr>
                <w:rFonts w:ascii="宋体" w:hAnsi="宋体" w:cs="宋体" w:eastAsia="宋体" w:hint="default"/>
                <w:spacing w:val="-2"/>
                <w:sz w:val="18"/>
                <w:szCs w:val="18"/>
              </w:rPr>
              <w:t>行的股份，也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不由公司回 购其间接持 有的公司本 次发行前已 发行的股份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159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0" w:lineRule="auto"/>
              <w:ind w:left="23" w:right="86"/>
              <w:jc w:val="both"/>
              <w:rPr>
                <w:rFonts w:ascii="宋体" w:hAnsi="宋体" w:cs="宋体" w:eastAsia="宋体" w:hint="default"/>
                <w:sz w:val="18"/>
                <w:szCs w:val="18"/>
              </w:rPr>
            </w:pPr>
            <w:r>
              <w:rPr>
                <w:rFonts w:ascii="宋体" w:hAnsi="宋体" w:cs="宋体" w:eastAsia="宋体" w:hint="default"/>
                <w:sz w:val="18"/>
                <w:szCs w:val="18"/>
              </w:rPr>
              <w:t>曹健</w:t>
            </w:r>
            <w:r>
              <w:rPr>
                <w:rFonts w:ascii="Times New Roman" w:hAnsi="Times New Roman" w:cs="Times New Roman" w:eastAsia="Times New Roman" w:hint="default"/>
                <w:sz w:val="18"/>
                <w:szCs w:val="18"/>
              </w:rPr>
              <w:t>;</w:t>
            </w:r>
            <w:r>
              <w:rPr>
                <w:rFonts w:ascii="宋体" w:hAnsi="宋体" w:cs="宋体" w:eastAsia="宋体" w:hint="default"/>
                <w:sz w:val="18"/>
                <w:szCs w:val="18"/>
              </w:rPr>
              <w:t>冯忆文</w:t>
            </w:r>
            <w:r>
              <w:rPr>
                <w:rFonts w:ascii="Times New Roman" w:hAnsi="Times New Roman" w:cs="Times New Roman" w:eastAsia="Times New Roman" w:hint="default"/>
                <w:sz w:val="18"/>
                <w:szCs w:val="18"/>
              </w:rPr>
              <w:t>; </w:t>
            </w:r>
            <w:r>
              <w:rPr>
                <w:rFonts w:ascii="宋体" w:hAnsi="宋体" w:cs="宋体" w:eastAsia="宋体" w:hint="default"/>
                <w:sz w:val="18"/>
                <w:szCs w:val="18"/>
              </w:rPr>
              <w:t>傅烈勇</w:t>
            </w:r>
            <w:r>
              <w:rPr>
                <w:rFonts w:ascii="Times New Roman" w:hAnsi="Times New Roman" w:cs="Times New Roman" w:eastAsia="Times New Roman" w:hint="default"/>
                <w:sz w:val="18"/>
                <w:szCs w:val="18"/>
              </w:rPr>
              <w:t>;</w:t>
            </w:r>
            <w:r>
              <w:rPr>
                <w:rFonts w:ascii="宋体" w:hAnsi="宋体" w:cs="宋体" w:eastAsia="宋体" w:hint="default"/>
                <w:sz w:val="18"/>
                <w:szCs w:val="18"/>
              </w:rPr>
              <w:t>沈红</w:t>
            </w:r>
            <w:r>
              <w:rPr>
                <w:rFonts w:ascii="Times New Roman" w:hAnsi="Times New Roman" w:cs="Times New Roman" w:eastAsia="Times New Roman" w:hint="default"/>
                <w:sz w:val="18"/>
                <w:szCs w:val="18"/>
              </w:rPr>
              <w:t>; </w:t>
            </w:r>
            <w:r>
              <w:rPr>
                <w:rFonts w:ascii="宋体" w:hAnsi="宋体" w:cs="宋体" w:eastAsia="宋体" w:hint="default"/>
                <w:sz w:val="18"/>
                <w:szCs w:val="18"/>
              </w:rPr>
              <w:t>夏红</w:t>
            </w:r>
            <w:r>
              <w:rPr>
                <w:rFonts w:ascii="Times New Roman" w:hAnsi="Times New Roman" w:cs="Times New Roman" w:eastAsia="Times New Roman" w:hint="default"/>
                <w:sz w:val="18"/>
                <w:szCs w:val="18"/>
              </w:rPr>
              <w:t>;</w:t>
            </w:r>
            <w:r>
              <w:rPr>
                <w:rFonts w:ascii="宋体" w:hAnsi="宋体" w:cs="宋体" w:eastAsia="宋体" w:hint="default"/>
                <w:sz w:val="18"/>
                <w:szCs w:val="18"/>
              </w:rPr>
              <w:t>杨波</w:t>
            </w:r>
            <w:r>
              <w:rPr>
                <w:rFonts w:ascii="Times New Roman" w:hAnsi="Times New Roman" w:cs="Times New Roman" w:eastAsia="Times New Roman" w:hint="default"/>
                <w:sz w:val="18"/>
                <w:szCs w:val="18"/>
              </w:rPr>
              <w:t>;</w:t>
            </w:r>
            <w:r>
              <w:rPr>
                <w:rFonts w:ascii="宋体" w:hAnsi="宋体" w:cs="宋体" w:eastAsia="宋体" w:hint="default"/>
                <w:sz w:val="18"/>
                <w:szCs w:val="18"/>
              </w:rPr>
              <w:t>杨 一兵</w:t>
            </w:r>
            <w:r>
              <w:rPr>
                <w:rFonts w:ascii="Times New Roman" w:hAnsi="Times New Roman" w:cs="Times New Roman" w:eastAsia="Times New Roman" w:hint="default"/>
                <w:sz w:val="18"/>
                <w:szCs w:val="18"/>
              </w:rPr>
              <w:t>;</w:t>
            </w:r>
            <w:r>
              <w:rPr>
                <w:rFonts w:ascii="宋体" w:hAnsi="宋体" w:cs="宋体" w:eastAsia="宋体" w:hint="default"/>
                <w:sz w:val="18"/>
                <w:szCs w:val="18"/>
              </w:rPr>
              <w:t>张雪峰</w:t>
            </w:r>
            <w:r>
              <w:rPr>
                <w:rFonts w:ascii="Times New Roman" w:hAnsi="Times New Roman" w:cs="Times New Roman" w:eastAsia="Times New Roman" w:hint="default"/>
                <w:sz w:val="18"/>
                <w:szCs w:val="18"/>
              </w:rPr>
              <w:t>; </w:t>
            </w:r>
            <w:r>
              <w:rPr>
                <w:rFonts w:ascii="宋体" w:hAnsi="宋体" w:cs="宋体" w:eastAsia="宋体" w:hint="default"/>
                <w:sz w:val="18"/>
                <w:szCs w:val="18"/>
              </w:rPr>
              <w:t>章逸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9"/>
              <w:ind w:left="26"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在控股股东 增持股份措 </w:t>
            </w:r>
            <w:r>
              <w:rPr>
                <w:rFonts w:ascii="宋体" w:hAnsi="宋体" w:cs="宋体" w:eastAsia="宋体" w:hint="default"/>
                <w:spacing w:val="-2"/>
                <w:sz w:val="18"/>
                <w:szCs w:val="18"/>
              </w:rPr>
              <w:t>施、公司回购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股份措施实 </w:t>
            </w:r>
            <w:r>
              <w:rPr>
                <w:rFonts w:ascii="宋体" w:hAnsi="宋体" w:cs="宋体" w:eastAsia="宋体" w:hint="default"/>
                <w:spacing w:val="-2"/>
                <w:sz w:val="18"/>
                <w:szCs w:val="18"/>
              </w:rPr>
              <w:t>施后，仍出现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公司股票连 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 低于公司最 近一期末每 股净资产的 </w:t>
            </w:r>
            <w:r>
              <w:rPr>
                <w:rFonts w:ascii="宋体" w:hAnsi="宋体" w:cs="宋体" w:eastAsia="宋体" w:hint="default"/>
                <w:spacing w:val="-2"/>
                <w:sz w:val="18"/>
                <w:szCs w:val="18"/>
              </w:rPr>
              <w:t>情形，公司董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人员应于出 现上述情形 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w:t>
            </w:r>
            <w:r>
              <w:rPr>
                <w:rFonts w:ascii="宋体" w:hAnsi="宋体" w:cs="宋体" w:eastAsia="宋体" w:hint="default"/>
                <w:spacing w:val="-2"/>
                <w:sz w:val="18"/>
                <w:szCs w:val="18"/>
              </w:rPr>
              <w:t>日内（如期间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N </w:t>
            </w:r>
            <w:r>
              <w:rPr>
                <w:rFonts w:ascii="宋体" w:hAnsi="宋体" w:cs="宋体" w:eastAsia="宋体" w:hint="default"/>
                <w:sz w:val="18"/>
                <w:szCs w:val="18"/>
              </w:rPr>
              <w:t>个交 易日限制董 </w:t>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人员买卖股</w:t>
            </w:r>
          </w:p>
          <w:p>
            <w:pPr>
              <w:pStyle w:val="TableParagraph"/>
              <w:spacing w:line="316" w:lineRule="auto" w:before="20"/>
              <w:ind w:left="23" w:right="10"/>
              <w:jc w:val="left"/>
              <w:rPr>
                <w:rFonts w:ascii="宋体" w:hAnsi="宋体" w:cs="宋体" w:eastAsia="宋体" w:hint="default"/>
                <w:sz w:val="18"/>
                <w:szCs w:val="18"/>
              </w:rPr>
            </w:pPr>
            <w:r>
              <w:rPr>
                <w:rFonts w:ascii="宋体" w:hAnsi="宋体" w:cs="宋体" w:eastAsia="宋体" w:hint="default"/>
                <w:sz w:val="18"/>
                <w:szCs w:val="18"/>
              </w:rPr>
              <w:t>票，则董事、 高级管理人 员应于出现 上述情形之 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20+N </w:t>
            </w:r>
            <w:r>
              <w:rPr>
                <w:rFonts w:ascii="宋体" w:hAnsi="宋体" w:cs="宋体" w:eastAsia="宋体" w:hint="default"/>
                <w:sz w:val="18"/>
                <w:szCs w:val="18"/>
              </w:rPr>
              <w:t>个 </w:t>
            </w:r>
            <w:r>
              <w:rPr>
                <w:rFonts w:ascii="宋体" w:hAnsi="宋体" w:cs="宋体" w:eastAsia="宋体" w:hint="default"/>
                <w:spacing w:val="-16"/>
                <w:sz w:val="18"/>
                <w:szCs w:val="18"/>
              </w:rPr>
              <w:t>交易日内），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向公司送达 增持通知书， 增持通知书 应包括增持 股份数量、增</w:t>
            </w:r>
            <w:r>
              <w:rPr>
                <w:rFonts w:ascii="宋体" w:hAnsi="宋体" w:cs="宋体" w:eastAsia="宋体" w:hint="default"/>
                <w:sz w:val="18"/>
                <w:szCs w:val="18"/>
              </w:rPr>
              <w:t> 持价格确定 方式、增持期 限、增持目标 及其他有关 增持的内容，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1284"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其累计增持 资金额不低 于其上一年 度自公司处 取得的税后 工资总额的 </w:t>
            </w:r>
            <w:r>
              <w:rPr>
                <w:rFonts w:ascii="Times New Roman" w:hAnsi="Times New Roman" w:cs="Times New Roman" w:eastAsia="Times New Roman" w:hint="default"/>
                <w:sz w:val="18"/>
                <w:szCs w:val="18"/>
              </w:rPr>
              <w:t>30%</w:t>
            </w:r>
            <w:r>
              <w:rPr>
                <w:rFonts w:ascii="宋体" w:hAnsi="宋体" w:cs="宋体" w:eastAsia="宋体" w:hint="default"/>
                <w:sz w:val="18"/>
                <w:szCs w:val="18"/>
              </w:rPr>
              <w:t>，但公司 股票收盘价 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易日高于最 近一期经审 计的每股净 资产，则董 </w:t>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人员可中止 实施增持计 </w:t>
            </w:r>
            <w:r>
              <w:rPr>
                <w:rFonts w:ascii="宋体" w:hAnsi="宋体" w:cs="宋体" w:eastAsia="宋体" w:hint="default"/>
                <w:spacing w:val="-2"/>
                <w:sz w:val="18"/>
                <w:szCs w:val="18"/>
              </w:rPr>
              <w:t>划。公司股票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上市后每年 度，公司董 </w:t>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人员因</w:t>
            </w:r>
            <w:r>
              <w:rPr>
                <w:rFonts w:ascii="Times New Roman" w:hAnsi="Times New Roman" w:cs="Times New Roman" w:eastAsia="Times New Roman" w:hint="default"/>
                <w:sz w:val="18"/>
                <w:szCs w:val="18"/>
              </w:rPr>
              <w:t>"</w:t>
            </w:r>
            <w:r>
              <w:rPr>
                <w:rFonts w:ascii="宋体" w:hAnsi="宋体" w:cs="宋体" w:eastAsia="宋体" w:hint="default"/>
                <w:sz w:val="18"/>
                <w:szCs w:val="18"/>
              </w:rPr>
              <w:t>触发 稳定股价义 务</w:t>
            </w:r>
            <w:r>
              <w:rPr>
                <w:rFonts w:ascii="Times New Roman" w:hAnsi="Times New Roman" w:cs="Times New Roman" w:eastAsia="Times New Roman" w:hint="default"/>
                <w:sz w:val="18"/>
                <w:szCs w:val="18"/>
              </w:rPr>
              <w:t>"</w:t>
            </w:r>
            <w:r>
              <w:rPr>
                <w:rFonts w:ascii="宋体" w:hAnsi="宋体" w:cs="宋体" w:eastAsia="宋体" w:hint="default"/>
                <w:sz w:val="18"/>
                <w:szCs w:val="18"/>
              </w:rPr>
              <w:t>而增持公 司股票的累 计投入金额 不超过其上 一年度自公 司处取得的 税后工资总 额的</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60%</w:t>
            </w:r>
            <w:r>
              <w:rPr>
                <w:rFonts w:ascii="宋体" w:hAnsi="宋体" w:cs="宋体" w:eastAsia="宋体" w:hint="default"/>
                <w:spacing w:val="-10"/>
                <w:sz w:val="18"/>
                <w:szCs w:val="18"/>
              </w:rPr>
              <w:t>。公</w:t>
            </w:r>
            <w:r>
              <w:rPr>
                <w:rFonts w:ascii="宋体" w:hAnsi="宋体" w:cs="宋体" w:eastAsia="宋体" w:hint="default"/>
                <w:spacing w:val="-24"/>
                <w:sz w:val="18"/>
                <w:szCs w:val="18"/>
              </w:rPr>
              <w:t> </w:t>
            </w:r>
            <w:r>
              <w:rPr>
                <w:rFonts w:ascii="宋体" w:hAnsi="宋体" w:cs="宋体" w:eastAsia="宋体" w:hint="default"/>
                <w:spacing w:val="-2"/>
                <w:sz w:val="18"/>
                <w:szCs w:val="18"/>
              </w:rPr>
              <w:t>司董事、高级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管理人员因 其他原因自 愿增持公司 </w:t>
            </w:r>
            <w:r>
              <w:rPr>
                <w:rFonts w:ascii="宋体" w:hAnsi="宋体" w:cs="宋体" w:eastAsia="宋体" w:hint="default"/>
                <w:spacing w:val="-2"/>
                <w:sz w:val="18"/>
                <w:szCs w:val="18"/>
              </w:rPr>
              <w:t>股票的，不受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本条款限制</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4"/>
              <w:ind w:left="23" w:right="17"/>
              <w:jc w:val="left"/>
              <w:rPr>
                <w:rFonts w:ascii="宋体" w:hAnsi="宋体" w:cs="宋体" w:eastAsia="宋体" w:hint="default"/>
                <w:sz w:val="18"/>
                <w:szCs w:val="18"/>
              </w:rPr>
            </w:pPr>
            <w:r>
              <w:rPr>
                <w:rFonts w:ascii="宋体" w:hAnsi="宋体" w:cs="宋体" w:eastAsia="宋体" w:hint="default"/>
                <w:sz w:val="18"/>
                <w:szCs w:val="18"/>
              </w:rPr>
              <w:t>杭州磐鸿投 资管理合伙 </w:t>
            </w:r>
            <w:r>
              <w:rPr>
                <w:rFonts w:ascii="宋体" w:hAnsi="宋体" w:cs="宋体" w:eastAsia="宋体" w:hint="default"/>
                <w:spacing w:val="-3"/>
                <w:sz w:val="18"/>
                <w:szCs w:val="18"/>
              </w:rPr>
              <w:t>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杭州磐源</w:t>
            </w:r>
            <w:r>
              <w:rPr>
                <w:rFonts w:ascii="宋体" w:hAnsi="宋体" w:cs="宋体" w:eastAsia="宋体" w:hint="default"/>
                <w:spacing w:val="-87"/>
                <w:sz w:val="18"/>
                <w:szCs w:val="18"/>
              </w:rPr>
              <w:t> </w:t>
            </w:r>
            <w:r>
              <w:rPr>
                <w:rFonts w:ascii="宋体" w:hAnsi="宋体" w:cs="宋体" w:eastAsia="宋体" w:hint="default"/>
                <w:sz w:val="18"/>
                <w:szCs w:val="18"/>
              </w:rPr>
              <w:t>投资有限公 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公司控股股 东磐源投资、 实际控制人 杨一兵及杨 波、公司股东 磐鸿投资、公 司董事及高 级管理人员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傅烈勇承诺，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接持有的公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司股票在锁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定期届满后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两年内减持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的，其减持价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格不低于本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次发行并上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市时公司股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票的发行价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（如发行人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发生分红、派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息、送股、资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本公积金转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增股本等除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权除息事项，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须按照有关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规定做复权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7"/>
              <w:jc w:val="center"/>
              <w:rPr>
                <w:rFonts w:ascii="宋体" w:hAnsi="宋体" w:cs="宋体" w:eastAsia="宋体" w:hint="default"/>
                <w:sz w:val="18"/>
                <w:szCs w:val="18"/>
              </w:rPr>
            </w:pPr>
            <w:r>
              <w:rPr>
                <w:rFonts w:ascii="宋体" w:hAnsi="宋体" w:cs="宋体" w:eastAsia="宋体" w:hint="default"/>
                <w:sz w:val="18"/>
                <w:szCs w:val="18"/>
              </w:rPr>
              <w:t>处理</w:t>
            </w:r>
            <w:r>
              <w:rPr>
                <w:rFonts w:ascii="宋体" w:hAnsi="宋体" w:cs="宋体" w:eastAsia="宋体" w:hint="default"/>
                <w:spacing w:val="-92"/>
                <w:sz w:val="18"/>
                <w:szCs w:val="18"/>
              </w:rPr>
              <w:t>）</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内如公司股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交易日的收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盘价均低于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发行价，或者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期末（如该日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不是交易日，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则该日后第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一个交易日）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收盘价低于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发行价，其直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票的锁定期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限将自动延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诺股份锁定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期满后两年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8"/>
              <w:jc w:val="center"/>
              <w:rPr>
                <w:rFonts w:ascii="Times New Roman" w:hAnsi="Times New Roman" w:cs="Times New Roman" w:eastAsia="Times New Roman" w:hint="default"/>
                <w:sz w:val="18"/>
                <w:szCs w:val="18"/>
              </w:rPr>
            </w:pPr>
            <w:r>
              <w:rPr>
                <w:rFonts w:ascii="宋体" w:hAnsi="宋体" w:cs="宋体" w:eastAsia="宋体" w:hint="default"/>
                <w:sz w:val="18"/>
                <w:szCs w:val="18"/>
              </w:rPr>
              <w:t>内，其每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个月内转让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的股份将不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超过其直接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7852"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或间接持有 公司股份总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，并 将提前三个 交易日公告 减持计划，在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个月内完 成。减持价格 不低于发行 人首次公开 发行价格（如 因派发现金 红利、送股、 转增股本、增 发新股等原 因进行除权、 除息的，须按 照有关规定 做复权处 </w:t>
            </w:r>
            <w:r>
              <w:rPr>
                <w:rFonts w:ascii="宋体" w:hAnsi="宋体" w:cs="宋体" w:eastAsia="宋体" w:hint="default"/>
                <w:spacing w:val="-16"/>
                <w:sz w:val="18"/>
                <w:szCs w:val="18"/>
              </w:rPr>
              <w:t>理）。减持股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份时将遵守 相关法律法 规及深圳证 券交易所规 则等要求</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4" w:lineRule="auto"/>
              <w:ind w:left="23" w:right="137"/>
              <w:jc w:val="both"/>
              <w:rPr>
                <w:rFonts w:ascii="宋体" w:hAnsi="宋体" w:cs="宋体" w:eastAsia="宋体" w:hint="default"/>
                <w:sz w:val="18"/>
                <w:szCs w:val="18"/>
              </w:rPr>
            </w:pPr>
            <w:r>
              <w:rPr>
                <w:rFonts w:ascii="宋体" w:hAnsi="宋体" w:cs="宋体" w:eastAsia="宋体" w:hint="default"/>
                <w:sz w:val="18"/>
                <w:szCs w:val="18"/>
              </w:rPr>
              <w:t>青岛金石灏 汭投资有限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武汉雷 石瑞丰股权 投资合伙企 业（有限合 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承诺股份锁 定期满后两 </w:t>
            </w:r>
            <w:r>
              <w:rPr>
                <w:rFonts w:ascii="宋体" w:hAnsi="宋体" w:cs="宋体" w:eastAsia="宋体" w:hint="default"/>
                <w:spacing w:val="-2"/>
                <w:sz w:val="18"/>
                <w:szCs w:val="18"/>
              </w:rPr>
              <w:t>年内，其减持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比例最高可 至其持有公 司股份总数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，并 将提前三个 交易日公告 </w:t>
            </w:r>
            <w:r>
              <w:rPr>
                <w:rFonts w:ascii="宋体" w:hAnsi="宋体" w:cs="宋体" w:eastAsia="宋体" w:hint="default"/>
                <w:spacing w:val="-2"/>
                <w:sz w:val="18"/>
                <w:szCs w:val="18"/>
              </w:rPr>
              <w:t>减持计划，在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个月内完 </w:t>
            </w:r>
            <w:r>
              <w:rPr>
                <w:rFonts w:ascii="宋体" w:hAnsi="宋体" w:cs="宋体" w:eastAsia="宋体" w:hint="default"/>
                <w:spacing w:val="-2"/>
                <w:sz w:val="18"/>
                <w:szCs w:val="18"/>
              </w:rPr>
              <w:t>成。减持价格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不低于发行 人最近一期 经审计后的 每股净资产</w:t>
            </w:r>
          </w:p>
          <w:p>
            <w:pPr>
              <w:pStyle w:val="TableParagraph"/>
              <w:spacing w:line="319"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（如因派发 </w:t>
            </w:r>
            <w:r>
              <w:rPr>
                <w:rFonts w:ascii="宋体" w:hAnsi="宋体" w:cs="宋体" w:eastAsia="宋体" w:hint="default"/>
                <w:spacing w:val="-2"/>
                <w:sz w:val="18"/>
                <w:szCs w:val="18"/>
              </w:rPr>
              <w:t>现金红利、送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股、转增股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79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2"/>
                <w:sz w:val="18"/>
                <w:szCs w:val="18"/>
              </w:rPr>
              <w:t>本、增发新股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等原因进行 除权、除息 </w:t>
            </w:r>
            <w:r>
              <w:rPr>
                <w:rFonts w:ascii="宋体" w:hAnsi="宋体" w:cs="宋体" w:eastAsia="宋体" w:hint="default"/>
                <w:spacing w:val="-2"/>
                <w:sz w:val="18"/>
                <w:szCs w:val="18"/>
              </w:rPr>
              <w:t>的，须按照有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关规定做复 </w:t>
            </w:r>
            <w:r>
              <w:rPr>
                <w:rFonts w:ascii="宋体" w:hAnsi="宋体" w:cs="宋体" w:eastAsia="宋体" w:hint="default"/>
                <w:spacing w:val="-16"/>
                <w:sz w:val="18"/>
                <w:szCs w:val="18"/>
              </w:rPr>
              <w:t>权处理）。减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持股份时将 遵守相关法 律法规及深 圳证券交易 所规则等要 求</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03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浙江和仁科 技股份有限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6" w:right="191"/>
              <w:jc w:val="left"/>
              <w:rPr>
                <w:rFonts w:ascii="宋体" w:hAnsi="宋体" w:cs="宋体" w:eastAsia="宋体" w:hint="default"/>
                <w:sz w:val="18"/>
                <w:szCs w:val="18"/>
              </w:rPr>
            </w:pPr>
            <w:r>
              <w:rPr>
                <w:rFonts w:ascii="宋体" w:hAnsi="宋体" w:cs="宋体" w:eastAsia="宋体" w:hint="default"/>
                <w:sz w:val="18"/>
                <w:szCs w:val="18"/>
              </w:rPr>
              <w:t>股份回购承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如公司控股 股东于触发 稳定股价义 务之日起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 未向公司送 达增持通知 书或未按披 露的增持计 划实施，公司 董事会应于 确认前述事 项之日起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 公告回购公 司股份的预 案，回购预案 包括但不限 于回购股份 数量、回购价 格区间、回购 资金来源、回 购对公司股 价及公司经 营的影响等 内容。公司应 于触发回购 义务起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 内以不少于 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万元的资金 回购公司股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003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份，但股票收 盘价连续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个交易日高 于最近一期 经审计的每 股净资产，则 公司可中止 回购股份计 划。公司股票 上市后每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个月内，公司 因</w:t>
            </w:r>
            <w:r>
              <w:rPr>
                <w:rFonts w:ascii="Times New Roman" w:hAnsi="Times New Roman" w:cs="Times New Roman" w:eastAsia="Times New Roman" w:hint="default"/>
                <w:sz w:val="18"/>
                <w:szCs w:val="18"/>
              </w:rPr>
              <w:t>"</w:t>
            </w:r>
            <w:r>
              <w:rPr>
                <w:rFonts w:ascii="宋体" w:hAnsi="宋体" w:cs="宋体" w:eastAsia="宋体" w:hint="default"/>
                <w:sz w:val="18"/>
                <w:szCs w:val="18"/>
              </w:rPr>
              <w:t>触发稳定 股价义务</w:t>
            </w:r>
            <w:r>
              <w:rPr>
                <w:rFonts w:ascii="Times New Roman" w:hAnsi="Times New Roman" w:cs="Times New Roman" w:eastAsia="Times New Roman" w:hint="default"/>
                <w:sz w:val="18"/>
                <w:szCs w:val="18"/>
              </w:rPr>
              <w:t>"</w:t>
            </w:r>
            <w:r>
              <w:rPr>
                <w:rFonts w:ascii="宋体" w:hAnsi="宋体" w:cs="宋体" w:eastAsia="宋体" w:hint="default"/>
                <w:sz w:val="18"/>
                <w:szCs w:val="18"/>
              </w:rPr>
              <w:t>而 回购公司股 票的累计投 入金额不超 过人民币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用于回购股 份的资金从 回购当年起 分配给公司 控股股东的 分红款项中 扣除，直至收 回回购股份 的全部资金。 如控股股东 已履行增持 义务，则公司 不再实施回 购股份措施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浙江和仁科 技股份有限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（一）利润分 配政策的宗 旨和原则公 司实行连续、 稳定的利润 分配政策，公 司利润分配 应重视对投 资者的合理 投资回报并 兼顾公司的 可持续发展，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343.48999pt;margin-top:72.47998pt;width:79.95pt;height:686.55pt;mso-position-horizontal-relative:page;mso-position-vertical-relative:page;z-index:-8031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362"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6"/>
                      <w:szCs w:val="26"/>
                    </w:rPr>
                  </w:pPr>
                </w:p>
                <w:p>
                  <w:pPr>
                    <w:pStyle w:val="BodyText"/>
                    <w:spacing w:line="240" w:lineRule="auto"/>
                    <w:ind w:left="0" w:right="0"/>
                    <w:jc w:val="left"/>
                  </w:pPr>
                  <w:r>
                    <w:rPr/>
                    <w:t>（二）</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并坚持如下</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原则：</w:t>
            </w:r>
            <w:r>
              <w:rPr>
                <w:rFonts w:ascii="Times New Roman" w:hAnsi="Times New Roman" w:cs="Times New Roman" w:eastAsia="Times New Roman" w:hint="default"/>
                <w:sz w:val="18"/>
                <w:szCs w:val="18"/>
              </w:rPr>
              <w:t>1</w:t>
            </w:r>
            <w:r>
              <w:rPr>
                <w:rFonts w:ascii="宋体" w:hAnsi="宋体" w:cs="宋体" w:eastAsia="宋体" w:hint="default"/>
                <w:sz w:val="18"/>
                <w:szCs w:val="18"/>
              </w:rPr>
              <w:t>、按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法定顺序分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w:t>
            </w:r>
            <w:r>
              <w:rPr>
                <w:rFonts w:ascii="Times New Roman" w:hAnsi="Times New Roman" w:cs="Times New Roman" w:eastAsia="Times New Roman" w:hint="default"/>
                <w:sz w:val="18"/>
                <w:szCs w:val="18"/>
              </w:rPr>
              <w:t>2</w:t>
            </w:r>
            <w:r>
              <w:rPr>
                <w:rFonts w:ascii="宋体" w:hAnsi="宋体" w:cs="宋体" w:eastAsia="宋体" w:hint="default"/>
                <w:sz w:val="18"/>
                <w:szCs w:val="18"/>
              </w:rPr>
              <w:t>、存在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未弥补亏损，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不得向股东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分配利润；</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同股同权、同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股同利；</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不得参与分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配利润；</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优先采取现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金分红的利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润分配方式；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、充分听取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和考虑中小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股东的意见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和要求。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利润分配政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策公司可以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采取现金、股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票或现金与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股票相结合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的方式分配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配不得超过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累计可分配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利润的范围，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不得损害公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司持续经营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能力。公司可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以进行中期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现金分红。公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司主要采取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现金分红的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股利分配政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策，即公司当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年度实现盈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利，在依法提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取法定公积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金、任意公积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金后进行现</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金分红；若公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司营收增长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快速，并且董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事会认为公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与公司股本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规模不匹配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时，可以在满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足上述现金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股利分配之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余，提出并实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施股票股利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分配预案。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配的条件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现金分红的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比例：在满足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公司正常生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产经营的资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金需求情况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下，如公司外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部经营环境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和经营状况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未发生重大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不利变化，公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司每年以现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金形式分配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的利润应当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不少于当年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实现的可分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配利润的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、在满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足公司正常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生产经营的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资金需求情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况下，公司实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施差异化现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金分红政策：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展阶段属成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熟期且无重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大资本支出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安排的，进行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利润分配时，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现金分红在</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本次利润分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配中所占比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例最低应达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5"/>
              <w:jc w:val="center"/>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80</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公司发展阶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段属成熟期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且有重大资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本支出安排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的，进行利润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分配时，现金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分红在本次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利润分配中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所占比例应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49"/>
              <w:jc w:val="center"/>
              <w:rPr>
                <w:rFonts w:ascii="宋体" w:hAnsi="宋体" w:cs="宋体" w:eastAsia="宋体" w:hint="default"/>
                <w:sz w:val="18"/>
                <w:szCs w:val="18"/>
              </w:rPr>
            </w:pPr>
            <w:r>
              <w:rPr>
                <w:rFonts w:ascii="宋体" w:hAnsi="宋体" w:cs="宋体" w:eastAsia="宋体" w:hint="default"/>
                <w:sz w:val="18"/>
                <w:szCs w:val="18"/>
              </w:rPr>
              <w:t>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展阶段属成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长期且有重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大资本支出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安排的，进行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利润分配时，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现金分红在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本次利润分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配中所占比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例最低应达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发展阶段不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易区分但有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重大资本支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出安排的，可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以按照前款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规定处理。股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东大会授权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董事会每年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在综合考虑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公司所处行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业特点、发展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阶段、自身经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营模式、盈利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水平以及是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否有重大资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产支出安排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等因素，根据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上述原则提</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7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1"/>
              <w:jc w:val="left"/>
              <w:rPr>
                <w:rFonts w:ascii="宋体" w:hAnsi="宋体" w:cs="宋体" w:eastAsia="宋体" w:hint="default"/>
                <w:sz w:val="18"/>
                <w:szCs w:val="18"/>
              </w:rPr>
            </w:pPr>
            <w:r>
              <w:rPr>
                <w:rFonts w:ascii="宋体" w:hAnsi="宋体" w:cs="宋体" w:eastAsia="宋体" w:hint="default"/>
                <w:sz w:val="18"/>
                <w:szCs w:val="18"/>
              </w:rPr>
              <w:t>出当年利润 分配方案。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9"/>
              <w:ind w:left="23" w:right="17"/>
              <w:jc w:val="left"/>
              <w:rPr>
                <w:rFonts w:ascii="宋体" w:hAnsi="宋体" w:cs="宋体" w:eastAsia="宋体" w:hint="default"/>
                <w:sz w:val="18"/>
                <w:szCs w:val="18"/>
              </w:rPr>
            </w:pPr>
            <w:r>
              <w:rPr>
                <w:rFonts w:ascii="宋体" w:hAnsi="宋体" w:cs="宋体" w:eastAsia="宋体" w:hint="default"/>
                <w:sz w:val="18"/>
                <w:szCs w:val="18"/>
              </w:rPr>
              <w:t>杭州磐鸿投 资管理合伙 </w:t>
            </w:r>
            <w:r>
              <w:rPr>
                <w:rFonts w:ascii="宋体" w:hAnsi="宋体" w:cs="宋体" w:eastAsia="宋体" w:hint="default"/>
                <w:spacing w:val="-3"/>
                <w:sz w:val="18"/>
                <w:szCs w:val="18"/>
              </w:rPr>
              <w:t>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杭州磐源</w:t>
            </w:r>
            <w:r>
              <w:rPr>
                <w:rFonts w:ascii="宋体" w:hAnsi="宋体" w:cs="宋体" w:eastAsia="宋体" w:hint="default"/>
                <w:spacing w:val="-87"/>
                <w:sz w:val="18"/>
                <w:szCs w:val="18"/>
              </w:rPr>
              <w:t> </w:t>
            </w:r>
            <w:r>
              <w:rPr>
                <w:rFonts w:ascii="宋体" w:hAnsi="宋体" w:cs="宋体" w:eastAsia="宋体" w:hint="default"/>
                <w:sz w:val="18"/>
                <w:szCs w:val="18"/>
              </w:rPr>
              <w:t>投资有限公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杨波</w:t>
            </w:r>
            <w:r>
              <w:rPr>
                <w:rFonts w:ascii="Times New Roman" w:hAnsi="Times New Roman" w:cs="Times New Roman" w:eastAsia="Times New Roman" w:hint="default"/>
                <w:sz w:val="18"/>
                <w:szCs w:val="18"/>
              </w:rPr>
              <w:t>;</w:t>
            </w:r>
            <w:r>
              <w:rPr>
                <w:rFonts w:ascii="宋体" w:hAnsi="宋体" w:cs="宋体" w:eastAsia="宋体" w:hint="default"/>
                <w:sz w:val="18"/>
                <w:szCs w:val="18"/>
              </w:rPr>
              <w:t>杨一 兵</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、承诺方及 </w:t>
            </w:r>
            <w:r>
              <w:rPr>
                <w:rFonts w:ascii="宋体" w:hAnsi="宋体" w:cs="宋体" w:eastAsia="宋体" w:hint="default"/>
                <w:spacing w:val="-2"/>
                <w:sz w:val="18"/>
                <w:szCs w:val="18"/>
              </w:rPr>
              <w:t>其控股、参股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企业不以任 何形式从事 或参与对公 司主营业务 构成或可能 构成直接或 间接竞争关 </w:t>
            </w:r>
            <w:r>
              <w:rPr>
                <w:rFonts w:ascii="宋体" w:hAnsi="宋体" w:cs="宋体" w:eastAsia="宋体" w:hint="default"/>
                <w:spacing w:val="-2"/>
                <w:sz w:val="18"/>
                <w:szCs w:val="18"/>
              </w:rPr>
              <w:t>系的业务，即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不在任何时 </w:t>
            </w:r>
            <w:r>
              <w:rPr>
                <w:rFonts w:ascii="宋体" w:hAnsi="宋体" w:cs="宋体" w:eastAsia="宋体" w:hint="default"/>
                <w:spacing w:val="-2"/>
                <w:sz w:val="18"/>
                <w:szCs w:val="18"/>
              </w:rPr>
              <w:t>间、任何地方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以任何方式</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（包括但不 限于投资、收 购、合营、联 营、承包、租 赁经营或其 他拥有股份、 权益方式）从 事对公司主 营业务构成 或可能构成 直接或间接 竞争关系的 业务；</w:t>
            </w:r>
            <w:r>
              <w:rPr>
                <w:rFonts w:ascii="Times New Roman" w:hAnsi="Times New Roman" w:cs="Times New Roman" w:eastAsia="Times New Roman" w:hint="default"/>
                <w:sz w:val="18"/>
                <w:szCs w:val="18"/>
              </w:rPr>
              <w:t>2</w:t>
            </w:r>
            <w:r>
              <w:rPr>
                <w:rFonts w:ascii="宋体" w:hAnsi="宋体" w:cs="宋体" w:eastAsia="宋体" w:hint="default"/>
                <w:sz w:val="18"/>
                <w:szCs w:val="18"/>
              </w:rPr>
              <w:t>、承 诺方及其控 股、参股企业 知悉其拟开 展的某项业 务中存在对 公司主营业 务构成或可 能构成直接 或间接竞争 的情形，承诺 方及其控股、 参股企业将 立即并毫无 保留的将该 项业务情况 书面通知公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910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司，同时尽力 促使公司对 该项业务拥 有优先权，除 非公司明确 表示放弃该 项业务；</w:t>
            </w:r>
            <w:r>
              <w:rPr>
                <w:rFonts w:ascii="Times New Roman" w:hAnsi="Times New Roman" w:cs="Times New Roman" w:eastAsia="Times New Roman" w:hint="default"/>
                <w:sz w:val="18"/>
                <w:szCs w:val="18"/>
              </w:rPr>
              <w:t>3</w:t>
            </w:r>
            <w:r>
              <w:rPr>
                <w:rFonts w:ascii="宋体" w:hAnsi="宋体" w:cs="宋体" w:eastAsia="宋体" w:hint="default"/>
                <w:sz w:val="18"/>
                <w:szCs w:val="18"/>
              </w:rPr>
              <w:t>、 如出现承诺 方及其控股、 参股企业从 事、参与或投 资与公司主 营业务构成 或可能构成 直接或间接 竞争关系的 业务或项目 的情形，公司 有权要求承 诺方及其控 股、参股企业 停止上述竞 争业务，或停 止投资相关 企业或项目， 并有权优先 收购相关业 务或项目资 产、投资权益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4" w:lineRule="auto"/>
              <w:ind w:left="23" w:right="187"/>
              <w:jc w:val="left"/>
              <w:rPr>
                <w:rFonts w:ascii="宋体" w:hAnsi="宋体" w:cs="宋体" w:eastAsia="宋体" w:hint="default"/>
                <w:sz w:val="18"/>
                <w:szCs w:val="18"/>
              </w:rPr>
            </w:pPr>
            <w:r>
              <w:rPr>
                <w:rFonts w:ascii="宋体" w:hAnsi="宋体" w:cs="宋体" w:eastAsia="宋体" w:hint="default"/>
                <w:sz w:val="18"/>
                <w:szCs w:val="18"/>
              </w:rPr>
              <w:t>杭州磐源投 资有限公司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公司股票发 行上市后三 年内出现公 司股票连续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 的收盘价低 于最近一期 每股净资产 </w:t>
            </w:r>
            <w:r>
              <w:rPr>
                <w:rFonts w:ascii="宋体" w:hAnsi="宋体" w:cs="宋体" w:eastAsia="宋体" w:hint="default"/>
                <w:spacing w:val="-2"/>
                <w:sz w:val="18"/>
                <w:szCs w:val="18"/>
              </w:rPr>
              <w:t>的情况，且满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足监管机构 </w:t>
            </w:r>
            <w:r>
              <w:rPr>
                <w:rFonts w:ascii="宋体" w:hAnsi="宋体" w:cs="宋体" w:eastAsia="宋体" w:hint="default"/>
                <w:spacing w:val="-2"/>
                <w:sz w:val="18"/>
                <w:szCs w:val="18"/>
              </w:rPr>
              <w:t>对于回购、增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持公司股份 等行为的规 </w:t>
            </w:r>
            <w:r>
              <w:rPr>
                <w:rFonts w:ascii="宋体" w:hAnsi="宋体" w:cs="宋体" w:eastAsia="宋体" w:hint="default"/>
                <w:spacing w:val="-2"/>
                <w:sz w:val="18"/>
                <w:szCs w:val="18"/>
              </w:rPr>
              <w:t>定，则触发公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司公司控股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股东履行稳</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定公司股价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的义务（以下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触发稳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定股价义务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w w:val="9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。于触发稳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定股价义务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交易日内，通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以稳定公司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股价，并向公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司送达增持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公司股票书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面通知，增持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通知书应包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括增持股份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数量、增持价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格、增持期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限、增持目标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及其他有关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增持的内容。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东应于触发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稳定股价义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月内以不少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于人民币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金增持股份，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但股票收盘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交易日高于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最近一期经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审计的每股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净资产，则控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股股东可中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止实施增持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票上市后每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12"/>
                <w:sz w:val="18"/>
                <w:szCs w:val="18"/>
              </w:rPr>
              <w:t>个月内，公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w:t>
            </w:r>
            <w:r>
              <w:rPr>
                <w:rFonts w:ascii="Times New Roman" w:hAnsi="Times New Roman" w:cs="Times New Roman" w:eastAsia="Times New Roman" w:hint="default"/>
                <w:sz w:val="18"/>
                <w:szCs w:val="18"/>
              </w:rPr>
              <w:t>"</w:t>
            </w:r>
            <w:r>
              <w:rPr>
                <w:rFonts w:ascii="宋体" w:hAnsi="宋体" w:cs="宋体" w:eastAsia="宋体" w:hint="default"/>
                <w:sz w:val="18"/>
                <w:szCs w:val="18"/>
              </w:rPr>
              <w:t>触发稳定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826"/>
        <w:gridCol w:w="1135"/>
        <w:gridCol w:w="1128"/>
        <w:gridCol w:w="1126"/>
        <w:gridCol w:w="1126"/>
        <w:gridCol w:w="1121"/>
        <w:gridCol w:w="1106"/>
      </w:tblGrid>
      <w:tr>
        <w:trPr>
          <w:trHeight w:val="3483"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股价义务</w:t>
            </w:r>
            <w:r>
              <w:rPr>
                <w:rFonts w:ascii="Times New Roman" w:hAnsi="Times New Roman" w:cs="Times New Roman" w:eastAsia="Times New Roman" w:hint="default"/>
                <w:sz w:val="18"/>
                <w:szCs w:val="18"/>
              </w:rPr>
              <w:t>"</w:t>
            </w:r>
            <w:r>
              <w:rPr>
                <w:rFonts w:ascii="宋体" w:hAnsi="宋体" w:cs="宋体" w:eastAsia="宋体" w:hint="default"/>
                <w:sz w:val="18"/>
                <w:szCs w:val="18"/>
              </w:rPr>
              <w:t>而 增持公司股 票的累计投 入金额不超 过人民币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控股股东因 其他原因自 愿增持公司 </w:t>
            </w:r>
            <w:r>
              <w:rPr>
                <w:rFonts w:ascii="宋体" w:hAnsi="宋体" w:cs="宋体" w:eastAsia="宋体" w:hint="default"/>
                <w:spacing w:val="-2"/>
                <w:sz w:val="18"/>
                <w:szCs w:val="18"/>
              </w:rPr>
              <w:t>股票的，不受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本条款限制</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35"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0"/>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43"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0" w:firstLine="420"/>
        <w:jc w:val="left"/>
      </w:pPr>
      <w:r>
        <w:rPr>
          <w:rFonts w:ascii="Times New Roman" w:hAnsi="Times New Roman" w:cs="Times New Roman" w:eastAsia="Times New Roman" w:hint="default"/>
          <w:spacing w:val="-4"/>
        </w:rPr>
        <w:t>1.</w:t>
      </w:r>
      <w:r>
        <w:rPr>
          <w:spacing w:val="-4"/>
        </w:rPr>
        <w:t>本公司自</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28</w:t>
      </w:r>
      <w:r>
        <w:rPr>
          <w:spacing w:val="-4"/>
        </w:rPr>
        <w:t>日起执行财政部制定的《企业会计准则第</w:t>
      </w:r>
      <w:r>
        <w:rPr>
          <w:rFonts w:ascii="Times New Roman" w:hAnsi="Times New Roman" w:cs="Times New Roman" w:eastAsia="Times New Roman" w:hint="default"/>
          <w:spacing w:val="-4"/>
        </w:rPr>
        <w:t>42</w:t>
      </w:r>
      <w:r>
        <w:rPr>
          <w:spacing w:val="-4"/>
        </w:rPr>
        <w:t>号</w:t>
      </w:r>
      <w:r>
        <w:rPr>
          <w:rFonts w:ascii="Times New Roman" w:hAnsi="Times New Roman" w:cs="Times New Roman" w:eastAsia="Times New Roman" w:hint="default"/>
          <w:spacing w:val="-4"/>
        </w:rPr>
        <w:t>——</w:t>
      </w:r>
      <w:r>
        <w:rPr>
          <w:spacing w:val="-4"/>
        </w:rPr>
        <w:t>持有待售的非流动资产、处置组和终止经营》，</w:t>
      </w:r>
      <w:r>
        <w:rPr/>
        <w:t> 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日起执行经修订的《企业会计准则第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政府补助》。本次会计政策变更采用未来适用法处理。</w:t>
      </w:r>
    </w:p>
    <w:p>
      <w:pPr>
        <w:pStyle w:val="BodyText"/>
        <w:spacing w:line="240" w:lineRule="auto" w:before="13"/>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本公司编制</w:t>
      </w:r>
      <w:r>
        <w:rPr>
          <w:rFonts w:ascii="Times New Roman" w:hAnsi="Times New Roman" w:cs="Times New Roman" w:eastAsia="Times New Roman" w:hint="default"/>
        </w:rPr>
        <w:t>2017</w:t>
      </w:r>
      <w:r>
        <w:rPr/>
        <w:t>年度报表执行《财政部关于修订印发一般企业财务报表格式的通知》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，将原列</w:t>
      </w:r>
    </w:p>
    <w:p>
      <w:pPr>
        <w:spacing w:after="0" w:line="240" w:lineRule="auto"/>
        <w:jc w:val="left"/>
        <w:sectPr>
          <w:pgSz w:w="11910" w:h="16840"/>
          <w:pgMar w:header="877" w:footer="1186" w:top="1100" w:bottom="1380" w:left="980" w:right="840"/>
        </w:sectPr>
      </w:pPr>
    </w:p>
    <w:p>
      <w:pPr>
        <w:spacing w:line="240" w:lineRule="auto" w:before="11"/>
        <w:rPr>
          <w:rFonts w:ascii="宋体" w:hAnsi="宋体" w:cs="宋体" w:eastAsia="宋体" w:hint="default"/>
          <w:sz w:val="21"/>
          <w:szCs w:val="21"/>
        </w:rPr>
      </w:pPr>
    </w:p>
    <w:p>
      <w:pPr>
        <w:pStyle w:val="BodyText"/>
        <w:spacing w:line="300" w:lineRule="auto" w:before="44"/>
        <w:ind w:right="170"/>
        <w:jc w:val="both"/>
      </w:pPr>
      <w:r>
        <w:rPr/>
        <w:t>报于</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的非流动资产处置利得和损失和非货币性资产交换利得和损失变更为列报于</w:t>
      </w:r>
      <w:r>
        <w:rPr>
          <w:rFonts w:ascii="Times New Roman" w:hAnsi="Times New Roman" w:cs="Times New Roman" w:eastAsia="Times New Roman" w:hint="default"/>
        </w:rPr>
        <w:t>“</w:t>
      </w:r>
      <w:r>
        <w:rPr/>
        <w:t>资产处置收 益</w:t>
      </w:r>
      <w:r>
        <w:rPr>
          <w:rFonts w:ascii="Times New Roman" w:hAnsi="Times New Roman" w:cs="Times New Roman" w:eastAsia="Times New Roman" w:hint="default"/>
        </w:rPr>
        <w:t>”</w:t>
      </w:r>
      <w:r>
        <w:rPr/>
        <w:t>。此项会计政策变更采用追溯调整法，调减</w:t>
      </w:r>
      <w:r>
        <w:rPr>
          <w:rFonts w:ascii="Times New Roman" w:hAnsi="Times New Roman" w:cs="Times New Roman" w:eastAsia="Times New Roman" w:hint="default"/>
        </w:rPr>
        <w:t>2016</w:t>
      </w:r>
      <w:r>
        <w:rPr/>
        <w:t>年度营业外收入</w:t>
      </w:r>
      <w:r>
        <w:rPr>
          <w:rFonts w:ascii="Times New Roman" w:hAnsi="Times New Roman" w:cs="Times New Roman" w:eastAsia="Times New Roman" w:hint="default"/>
        </w:rPr>
        <w:t>56,392.22</w:t>
      </w:r>
      <w:r>
        <w:rPr/>
        <w:t>元，营业外支出</w:t>
      </w:r>
      <w:r>
        <w:rPr>
          <w:rFonts w:ascii="Times New Roman" w:hAnsi="Times New Roman" w:cs="Times New Roman" w:eastAsia="Times New Roman" w:hint="default"/>
        </w:rPr>
        <w:t>28,266.92</w:t>
      </w:r>
      <w:r>
        <w:rPr/>
        <w:t>元，调增资产处置收 益</w:t>
      </w:r>
      <w:r>
        <w:rPr>
          <w:rFonts w:ascii="Times New Roman" w:hAnsi="Times New Roman" w:cs="Times New Roman" w:eastAsia="Times New Roman" w:hint="default"/>
        </w:rPr>
        <w:t>28,125.30</w:t>
      </w:r>
      <w:r>
        <w:rPr/>
        <w:t>元。</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月投资设立控股子公司江苏和仁泰颐科技有限公司，注册资本</w:t>
      </w:r>
      <w:r>
        <w:rPr>
          <w:rFonts w:ascii="Times New Roman" w:hAnsi="Times New Roman" w:cs="Times New Roman" w:eastAsia="Times New Roman" w:hint="default"/>
        </w:rPr>
        <w:t>1000</w:t>
      </w:r>
      <w:r>
        <w:rPr/>
        <w:t>万元，公司持有</w:t>
      </w:r>
      <w:r>
        <w:rPr>
          <w:rFonts w:ascii="Times New Roman" w:hAnsi="Times New Roman" w:cs="Times New Roman" w:eastAsia="Times New Roman" w:hint="default"/>
        </w:rPr>
        <w:t>60%</w:t>
      </w:r>
      <w:r>
        <w:rPr/>
        <w:t>股权，截止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31</w:t>
      </w:r>
      <w:r>
        <w:rPr/>
        <w:t>日，本公司出资</w:t>
      </w:r>
      <w:r>
        <w:rPr>
          <w:rFonts w:ascii="Times New Roman" w:hAnsi="Times New Roman" w:cs="Times New Roman" w:eastAsia="Times New Roman" w:hint="default"/>
        </w:rPr>
        <w:t>30</w:t>
      </w:r>
      <w:r>
        <w:rPr/>
        <w:t>万元，江苏和仁公司于本报告期纳入合并报表范围。</w:t>
      </w:r>
    </w:p>
    <w:p>
      <w:pPr>
        <w:spacing w:line="240" w:lineRule="auto" w:before="2"/>
        <w:rPr>
          <w:rFonts w:ascii="宋体" w:hAnsi="宋体" w:cs="宋体" w:eastAsia="宋体" w:hint="default"/>
          <w:sz w:val="19"/>
          <w:szCs w:val="19"/>
        </w:rPr>
      </w:pPr>
    </w:p>
    <w:p>
      <w:pPr>
        <w:pStyle w:val="Heading2"/>
        <w:spacing w:line="240" w:lineRule="auto"/>
        <w:ind w:right="0"/>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程志刚、郑俭</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0"/>
        <w:jc w:val="left"/>
      </w:pPr>
      <w:r>
        <w:rPr/>
        <w:t>是否改聘会计师事务所</w:t>
      </w:r>
    </w:p>
    <w:p>
      <w:pPr>
        <w:pStyle w:val="BodyText"/>
        <w:spacing w:line="340" w:lineRule="auto" w:before="115"/>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after="0" w:line="340" w:lineRule="auto"/>
        <w:jc w:val="left"/>
        <w:sectPr>
          <w:pgSz w:w="11910" w:h="16840"/>
          <w:pgMar w:header="877" w:footer="1186" w:top="1100" w:bottom="1380" w:left="980" w:right="98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3"/>
        <w:ind w:right="149" w:firstLine="480"/>
        <w:jc w:val="both"/>
      </w:pPr>
      <w:r>
        <w:rPr>
          <w:rFonts w:ascii="宋体" w:hAnsi="宋体" w:cs="宋体" w:eastAsia="宋体" w:hint="default"/>
          <w:spacing w:val="-3"/>
        </w:rPr>
        <w:t>1</w:t>
      </w:r>
      <w:r>
        <w:rPr>
          <w:spacing w:val="-3"/>
        </w:rPr>
        <w:t>、</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13</w:t>
      </w:r>
      <w:r>
        <w:rPr>
          <w:spacing w:val="-3"/>
        </w:rPr>
        <w:t>日，公司召开第二届董事会第五次会议，审议通过了《关于公司</w:t>
      </w:r>
      <w:r>
        <w:rPr>
          <w:rFonts w:ascii="宋体" w:hAnsi="宋体" w:cs="宋体" w:eastAsia="宋体" w:hint="default"/>
          <w:spacing w:val="-3"/>
        </w:rPr>
        <w:t>2017</w:t>
      </w:r>
      <w:r>
        <w:rPr>
          <w:spacing w:val="-3"/>
        </w:rPr>
        <w:t>年限制性股票激励计划（草案）</w:t>
      </w:r>
      <w:r>
        <w:rPr/>
        <w:t> </w:t>
      </w:r>
      <w:r>
        <w:rPr>
          <w:spacing w:val="-2"/>
        </w:rPr>
        <w:t>及其摘要的议案》、《关于公司</w:t>
      </w:r>
      <w:r>
        <w:rPr>
          <w:rFonts w:ascii="宋体" w:hAnsi="宋体" w:cs="宋体" w:eastAsia="宋体" w:hint="default"/>
          <w:spacing w:val="-2"/>
        </w:rPr>
        <w:t>2017</w:t>
      </w:r>
      <w:r>
        <w:rPr>
          <w:spacing w:val="-2"/>
        </w:rPr>
        <w:t>年限制性股票激励计划实施考核管理办法的议案》、《关于提请股东大会授权董事会办</w:t>
      </w:r>
      <w:r>
        <w:rPr>
          <w:spacing w:val="-63"/>
        </w:rPr>
        <w:t> </w:t>
      </w:r>
      <w:r>
        <w:rPr>
          <w:spacing w:val="-63"/>
        </w:rPr>
      </w:r>
      <w:r>
        <w:rPr/>
        <w:t>理股权激励相关事宜的议案》，公司独立董事对本次激励计划及其他相关议案发表了独立意见。</w:t>
      </w:r>
    </w:p>
    <w:p>
      <w:pPr>
        <w:pStyle w:val="BodyText"/>
        <w:spacing w:line="319" w:lineRule="auto" w:before="19"/>
        <w:ind w:right="149" w:firstLine="480"/>
        <w:jc w:val="both"/>
      </w:pPr>
      <w:r>
        <w:rPr>
          <w:rFonts w:ascii="宋体" w:hAnsi="宋体" w:cs="宋体" w:eastAsia="宋体" w:hint="default"/>
          <w:spacing w:val="-3"/>
        </w:rPr>
        <w:t>2</w:t>
      </w:r>
      <w:r>
        <w:rPr>
          <w:spacing w:val="-3"/>
        </w:rPr>
        <w:t>、</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13</w:t>
      </w:r>
      <w:r>
        <w:rPr>
          <w:spacing w:val="-3"/>
        </w:rPr>
        <w:t>日，公司召开第二届监事会第五次会议，审议通过了《关于公司</w:t>
      </w:r>
      <w:r>
        <w:rPr>
          <w:rFonts w:ascii="宋体" w:hAnsi="宋体" w:cs="宋体" w:eastAsia="宋体" w:hint="default"/>
          <w:spacing w:val="-3"/>
        </w:rPr>
        <w:t>2017</w:t>
      </w:r>
      <w:r>
        <w:rPr>
          <w:spacing w:val="-3"/>
        </w:rPr>
        <w:t>年限制性股票激励计划（草案）</w:t>
      </w:r>
      <w:r>
        <w:rPr/>
        <w:t> </w:t>
      </w:r>
      <w:r>
        <w:rPr>
          <w:spacing w:val="-2"/>
        </w:rPr>
        <w:t>及其摘要的议案》、《关于公司</w:t>
      </w:r>
      <w:r>
        <w:rPr>
          <w:rFonts w:ascii="宋体" w:hAnsi="宋体" w:cs="宋体" w:eastAsia="宋体" w:hint="default"/>
          <w:spacing w:val="-2"/>
        </w:rPr>
        <w:t>2017</w:t>
      </w:r>
      <w:r>
        <w:rPr>
          <w:spacing w:val="-2"/>
        </w:rPr>
        <w:t>年限制性股票激励计划实施考核管理办法的议案》、《关于核实公司</w:t>
      </w:r>
      <w:r>
        <w:rPr>
          <w:rFonts w:ascii="宋体" w:hAnsi="宋体" w:cs="宋体" w:eastAsia="宋体" w:hint="default"/>
          <w:spacing w:val="-2"/>
        </w:rPr>
        <w:t>2017</w:t>
      </w:r>
      <w:r>
        <w:rPr>
          <w:spacing w:val="-2"/>
        </w:rPr>
        <w:t>年限制性股票</w:t>
      </w:r>
      <w:r>
        <w:rPr>
          <w:spacing w:val="-60"/>
        </w:rPr>
        <w:t> </w:t>
      </w:r>
      <w:r>
        <w:rPr>
          <w:spacing w:val="-60"/>
        </w:rPr>
      </w:r>
      <w:r>
        <w:rPr/>
        <w:t>激励计划激励对象名单的议案》。</w:t>
      </w:r>
    </w:p>
    <w:p>
      <w:pPr>
        <w:pStyle w:val="BodyText"/>
        <w:spacing w:line="316" w:lineRule="auto" w:before="17"/>
        <w:ind w:right="149" w:firstLine="480"/>
        <w:jc w:val="both"/>
      </w:pPr>
      <w:r>
        <w:rPr>
          <w:rFonts w:ascii="宋体" w:hAnsi="宋体" w:cs="宋体" w:eastAsia="宋体" w:hint="default"/>
        </w:rPr>
        <w:t>3</w:t>
      </w:r>
      <w:r>
        <w:rPr/>
        <w:t>、</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14</w:t>
      </w:r>
      <w:r>
        <w:rPr/>
        <w:t>日至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24</w:t>
      </w:r>
      <w:r>
        <w:rPr/>
        <w:t>日，公司对授予的激励对象名单的姓名和职务在公司内部网站上进行了公示，在 </w:t>
      </w:r>
      <w:r>
        <w:rPr>
          <w:spacing w:val="-2"/>
        </w:rPr>
        <w:t>公示期内，公司监事会未接到与激励计划拟激励对象有关的任何异议。</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日，公司监事会发表了《监事会关于公</w:t>
      </w:r>
      <w:r>
        <w:rPr>
          <w:spacing w:val="-56"/>
        </w:rPr>
        <w:t> </w:t>
      </w:r>
      <w:r>
        <w:rPr>
          <w:spacing w:val="-56"/>
        </w:rPr>
      </w:r>
      <w:r>
        <w:rPr/>
        <w:t>司</w:t>
      </w:r>
      <w:r>
        <w:rPr>
          <w:rFonts w:ascii="宋体" w:hAnsi="宋体" w:cs="宋体" w:eastAsia="宋体" w:hint="default"/>
        </w:rPr>
        <w:t>2017</w:t>
      </w:r>
      <w:r>
        <w:rPr/>
        <w:t>年限制性股票激励计划激励对象名单的审核意见及公示情况说明》。</w:t>
      </w:r>
    </w:p>
    <w:p>
      <w:pPr>
        <w:pStyle w:val="BodyText"/>
        <w:spacing w:line="316" w:lineRule="auto" w:before="19"/>
        <w:ind w:right="149" w:firstLine="480"/>
        <w:jc w:val="both"/>
      </w:pPr>
      <w:r>
        <w:rPr>
          <w:rFonts w:ascii="宋体" w:hAnsi="宋体" w:cs="宋体" w:eastAsia="宋体" w:hint="default"/>
          <w:spacing w:val="-2"/>
        </w:rPr>
        <w:t>4</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4</w:t>
      </w:r>
      <w:r>
        <w:rPr>
          <w:spacing w:val="-2"/>
        </w:rPr>
        <w:t>日，公司召开</w:t>
      </w:r>
      <w:r>
        <w:rPr>
          <w:rFonts w:ascii="宋体" w:hAnsi="宋体" w:cs="宋体" w:eastAsia="宋体" w:hint="default"/>
          <w:spacing w:val="-2"/>
        </w:rPr>
        <w:t>2017</w:t>
      </w:r>
      <w:r>
        <w:rPr>
          <w:spacing w:val="-2"/>
        </w:rPr>
        <w:t>年第二次临时股东大会，审议通过了《关于公司</w:t>
      </w:r>
      <w:r>
        <w:rPr>
          <w:rFonts w:ascii="宋体" w:hAnsi="宋体" w:cs="宋体" w:eastAsia="宋体" w:hint="default"/>
          <w:spacing w:val="-2"/>
        </w:rPr>
        <w:t>2017</w:t>
      </w:r>
      <w:r>
        <w:rPr>
          <w:spacing w:val="-2"/>
        </w:rPr>
        <w:t>年限制性股票激励计划（草案）</w:t>
      </w:r>
      <w:r>
        <w:rPr/>
        <w:t> 及其摘要的议案》、《关于公司</w:t>
      </w:r>
      <w:r>
        <w:rPr>
          <w:rFonts w:ascii="宋体" w:hAnsi="宋体" w:cs="宋体" w:eastAsia="宋体" w:hint="default"/>
        </w:rPr>
        <w:t>&lt;2017</w:t>
      </w:r>
      <w:r>
        <w:rPr/>
        <w:t>年限制性股票激励计划实施考核管理办法的议案》及《关于提请股东大会授权董事会</w:t>
      </w:r>
      <w:r>
        <w:rPr>
          <w:spacing w:val="-85"/>
        </w:rPr>
        <w:t> </w:t>
      </w:r>
      <w:r>
        <w:rPr>
          <w:spacing w:val="-85"/>
        </w:rPr>
      </w:r>
      <w:r>
        <w:rPr>
          <w:spacing w:val="-2"/>
        </w:rPr>
        <w:t>办理公司股权激励相关事宜的议案》，并披露了《关于公司</w:t>
      </w:r>
      <w:r>
        <w:rPr>
          <w:rFonts w:ascii="宋体" w:hAnsi="宋体" w:cs="宋体" w:eastAsia="宋体" w:hint="default"/>
          <w:spacing w:val="-2"/>
        </w:rPr>
        <w:t>2017</w:t>
      </w:r>
      <w:r>
        <w:rPr>
          <w:spacing w:val="-2"/>
        </w:rPr>
        <w:t>年限制性股票激励计划内幕信息知情人及激励对象买卖公司</w:t>
      </w:r>
      <w:r>
        <w:rPr>
          <w:spacing w:val="-63"/>
        </w:rPr>
        <w:t> </w:t>
      </w:r>
      <w:r>
        <w:rPr>
          <w:spacing w:val="-63"/>
        </w:rPr>
      </w:r>
      <w:r>
        <w:rPr/>
        <w:t>股票情况的自查报告》。</w:t>
      </w:r>
    </w:p>
    <w:p>
      <w:pPr>
        <w:pStyle w:val="BodyText"/>
        <w:spacing w:line="319" w:lineRule="auto" w:before="19"/>
        <w:ind w:right="152" w:firstLine="362"/>
        <w:jc w:val="both"/>
      </w:pPr>
      <w:r>
        <w:rPr>
          <w:rFonts w:ascii="宋体" w:hAnsi="宋体" w:cs="宋体" w:eastAsia="宋体" w:hint="default"/>
          <w:spacing w:val="-2"/>
        </w:rPr>
        <w:t>5</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31</w:t>
      </w:r>
      <w:r>
        <w:rPr>
          <w:spacing w:val="-2"/>
        </w:rPr>
        <w:t>日，公司召开了第二届董事会第六次会议和第二届监事会第六次会议，审议通过《关于向首次授予的激</w:t>
      </w:r>
      <w:r>
        <w:rPr/>
        <w:t> </w:t>
      </w:r>
      <w:r>
        <w:rPr>
          <w:spacing w:val="-2"/>
        </w:rPr>
        <w:t>励对象授予限制性股票的议案》，公司独立董事对相关事项发表了独立意见，监事会对本次授予限制性股票的激励对象名单</w:t>
      </w:r>
      <w:r>
        <w:rPr>
          <w:spacing w:val="-66"/>
        </w:rPr>
        <w:t> </w:t>
      </w:r>
      <w:r>
        <w:rPr>
          <w:spacing w:val="-66"/>
        </w:rPr>
      </w:r>
      <w:r>
        <w:rPr/>
        <w:t>进行了核实。</w:t>
      </w:r>
    </w:p>
    <w:p>
      <w:pPr>
        <w:pStyle w:val="BodyText"/>
        <w:spacing w:line="316" w:lineRule="auto" w:before="17"/>
        <w:ind w:right="151" w:firstLine="362"/>
        <w:jc w:val="both"/>
      </w:pPr>
      <w:r>
        <w:rPr>
          <w:rFonts w:ascii="宋体" w:hAnsi="宋体" w:cs="宋体" w:eastAsia="宋体" w:hint="default"/>
        </w:rPr>
        <w:t>6</w:t>
      </w:r>
      <w:r>
        <w:rPr/>
        <w:t>、</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9</w:t>
      </w:r>
      <w:r>
        <w:rPr/>
        <w:t>日，公司召开第二届董事会第七次会议、第二届监事会第七次会议审议通过《关于调整</w:t>
      </w:r>
      <w:r>
        <w:rPr>
          <w:rFonts w:ascii="宋体" w:hAnsi="宋体" w:cs="宋体" w:eastAsia="宋体" w:hint="default"/>
        </w:rPr>
        <w:t>2017</w:t>
      </w:r>
      <w:r>
        <w:rPr/>
        <w:t>年限制性股 </w:t>
      </w:r>
      <w:r>
        <w:rPr>
          <w:spacing w:val="-2"/>
        </w:rPr>
        <w:t>票激励计划授予名单和数量的议案》的议案，一名激励对象因个人原因放弃获授的限制性股票，其放弃的限制性股票由本次</w:t>
      </w:r>
      <w:r>
        <w:rPr>
          <w:spacing w:val="-66"/>
        </w:rPr>
        <w:t> </w:t>
      </w:r>
      <w:r>
        <w:rPr>
          <w:spacing w:val="-66"/>
        </w:rPr>
      </w:r>
      <w:r>
        <w:rPr/>
        <w:t>激励计划首次授予的其他激励对象认购，首次授予的</w:t>
      </w:r>
      <w:r>
        <w:rPr>
          <w:rFonts w:ascii="宋体" w:hAnsi="宋体" w:cs="宋体" w:eastAsia="宋体" w:hint="default"/>
        </w:rPr>
        <w:t>322</w:t>
      </w:r>
      <w:r>
        <w:rPr/>
        <w:t>万股股份不变。</w:t>
      </w:r>
    </w:p>
    <w:p>
      <w:pPr>
        <w:pStyle w:val="BodyText"/>
        <w:spacing w:line="240" w:lineRule="auto" w:before="19"/>
        <w:ind w:left="515" w:right="0"/>
        <w:jc w:val="left"/>
      </w:pPr>
      <w:r>
        <w:rPr>
          <w:rFonts w:ascii="宋体" w:hAnsi="宋体" w:cs="宋体" w:eastAsia="宋体" w:hint="default"/>
        </w:rPr>
        <w:t>7</w:t>
      </w:r>
      <w:r>
        <w:rPr/>
        <w:t>、</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16</w:t>
      </w:r>
      <w:r>
        <w:rPr/>
        <w:t>日，公司在巨潮资讯网披露了《关于限制性股票首次授予完成的公告》，公司向</w:t>
      </w:r>
      <w:r>
        <w:rPr>
          <w:rFonts w:ascii="宋体" w:hAnsi="宋体" w:cs="宋体" w:eastAsia="宋体" w:hint="default"/>
        </w:rPr>
        <w:t>36</w:t>
      </w:r>
      <w:r>
        <w:rPr/>
        <w:t>名激励对象首次授予</w:t>
      </w:r>
    </w:p>
    <w:p>
      <w:pPr>
        <w:pStyle w:val="BodyText"/>
        <w:spacing w:line="316" w:lineRule="auto" w:before="76"/>
        <w:ind w:left="515" w:right="0" w:hanging="363"/>
        <w:jc w:val="left"/>
      </w:pPr>
      <w:r>
        <w:rPr>
          <w:rFonts w:ascii="宋体" w:hAnsi="宋体" w:cs="宋体" w:eastAsia="宋体" w:hint="default"/>
        </w:rPr>
        <w:t>322</w:t>
      </w:r>
      <w:r>
        <w:rPr/>
        <w:t>万股限制性股票，首次授予限制性股票的上市日为</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21</w:t>
      </w:r>
      <w:r>
        <w:rPr/>
        <w:t>日。 </w:t>
      </w:r>
      <w:r>
        <w:rPr>
          <w:spacing w:val="-1"/>
        </w:rPr>
        <w:t>上述审议审批相关内容详见公司同日披露于巨潮资讯网（</w:t>
      </w:r>
      <w:hyperlink r:id="rId12">
        <w:r>
          <w:rPr>
            <w:rFonts w:ascii="宋体" w:hAnsi="宋体" w:cs="宋体" w:eastAsia="宋体" w:hint="default"/>
            <w:spacing w:val="-1"/>
          </w:rPr>
          <w:t>http://www.cninfo.com.cn</w:t>
        </w:r>
      </w:hyperlink>
      <w:r>
        <w:rPr>
          <w:spacing w:val="-1"/>
        </w:rPr>
        <w:t>）的相关公告。</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0"/>
        <w:jc w:val="left"/>
        <w:rPr>
          <w:b w:val="0"/>
          <w:bCs w:val="0"/>
        </w:rPr>
      </w:pPr>
      <w:r>
        <w:rPr/>
        <w:t>十五、重大关联交易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after="0" w:line="340" w:lineRule="auto"/>
        <w:jc w:val="left"/>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340" w:lineRule="auto" w:before="43"/>
        <w:ind w:right="4104"/>
        <w:jc w:val="left"/>
      </w:pPr>
      <w:r>
        <w:rPr/>
        <w:t>本报告期，公司将位于杭州市滨江区新联路</w:t>
      </w:r>
      <w:r>
        <w:rPr>
          <w:rFonts w:ascii="Times New Roman" w:hAnsi="Times New Roman" w:cs="Times New Roman" w:eastAsia="Times New Roman" w:hint="default"/>
        </w:rPr>
        <w:t>625</w:t>
      </w:r>
      <w:r>
        <w:rPr/>
        <w:t>号的部分房产用于出租。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after="0" w:line="338" w:lineRule="auto"/>
        <w:jc w:val="left"/>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186" w:top="1100" w:bottom="1380" w:left="980" w:right="98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280" w:left="980" w:right="980"/>
          <w:cols w:num="2" w:equalWidth="0">
            <w:col w:w="1953" w:space="6787"/>
            <w:col w:w="12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单项金额重大或安全性较低、流动性较差、不保本的高风险委托理财具体情况</w:t>
      </w:r>
    </w:p>
    <w:p>
      <w:pPr>
        <w:pStyle w:val="BodyText"/>
        <w:spacing w:line="338" w:lineRule="auto" w:before="117"/>
        <w:ind w:right="4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1" w:firstLine="360"/>
        <w:jc w:val="both"/>
      </w:pPr>
      <w:r>
        <w:rPr>
          <w:spacing w:val="-2"/>
        </w:rPr>
        <w:t>公司积极履行企业应尽的义务，承担社会责任。公司作为</w:t>
      </w:r>
      <w:r>
        <w:rPr>
          <w:rFonts w:ascii="MS Gothic" w:hAnsi="MS Gothic" w:cs="MS Gothic" w:eastAsia="MS Gothic" w:hint="default"/>
          <w:spacing w:val="-2"/>
        </w:rPr>
        <w:t>｡杭州市大学生</w:t>
      </w:r>
      <w:r>
        <w:rPr>
          <w:spacing w:val="-2"/>
        </w:rPr>
        <w:t>实习基地</w:t>
      </w:r>
      <w:r>
        <w:rPr>
          <w:rFonts w:ascii="MS Gothic" w:hAnsi="MS Gothic" w:cs="MS Gothic" w:eastAsia="MS Gothic" w:hint="default"/>
          <w:spacing w:val="-2"/>
        </w:rPr>
        <w:t>｡，</w:t>
      </w:r>
      <w:r>
        <w:rPr>
          <w:spacing w:val="-2"/>
        </w:rPr>
        <w:t>积极为大学生创造良好的就业实习</w:t>
      </w:r>
      <w:r>
        <w:rPr/>
        <w:t> 环境，为大学生社会实践搭建了新的服务平台，并丰富了大学生实践的内容。</w:t>
      </w:r>
    </w:p>
    <w:p>
      <w:pPr>
        <w:pStyle w:val="BodyText"/>
        <w:spacing w:line="309" w:lineRule="auto" w:before="59"/>
        <w:ind w:right="149" w:firstLine="360"/>
        <w:jc w:val="both"/>
      </w:pPr>
      <w:r>
        <w:rPr>
          <w:spacing w:val="-2"/>
        </w:rPr>
        <w:t>公司为注重职工权利的保护，秉承着以人为本的理念，始终坚持公司与员工的共同发展。将企业的发展成果惠及全体员</w:t>
      </w:r>
      <w:r>
        <w:rPr/>
        <w:t> </w:t>
      </w:r>
      <w:r>
        <w:rPr>
          <w:spacing w:val="-2"/>
        </w:rPr>
        <w:t>工</w:t>
      </w:r>
      <w:r>
        <w:rPr>
          <w:rFonts w:ascii="Times New Roman" w:hAnsi="Times New Roman" w:cs="Times New Roman" w:eastAsia="Times New Roman" w:hint="default"/>
          <w:spacing w:val="-2"/>
        </w:rPr>
        <w:t>,</w:t>
      </w:r>
      <w:r>
        <w:rPr>
          <w:spacing w:val="-2"/>
        </w:rPr>
        <w:t>为其缴纳各类社会保险</w:t>
      </w:r>
      <w:r>
        <w:rPr>
          <w:rFonts w:ascii="Times New Roman" w:hAnsi="Times New Roman" w:cs="Times New Roman" w:eastAsia="Times New Roman" w:hint="default"/>
          <w:spacing w:val="-2"/>
        </w:rPr>
        <w:t>,</w:t>
      </w:r>
      <w:r>
        <w:rPr>
          <w:spacing w:val="-2"/>
        </w:rPr>
        <w:t>构建了和谐稳定的劳资关系。积极为员工创造提升自我能力和素质的机会</w:t>
      </w:r>
      <w:r>
        <w:rPr>
          <w:rFonts w:ascii="Times New Roman" w:hAnsi="Times New Roman" w:cs="Times New Roman" w:eastAsia="Times New Roman" w:hint="default"/>
          <w:spacing w:val="-2"/>
        </w:rPr>
        <w:t>,</w:t>
      </w:r>
      <w:r>
        <w:rPr>
          <w:spacing w:val="-2"/>
        </w:rPr>
        <w:t>通过内训、外训的方式</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3"/>
        </w:rPr>
        <w:t> </w:t>
      </w:r>
      <w:r>
        <w:rPr/>
        <w:t>提高其岗位胜任力和匹配度。</w:t>
      </w:r>
    </w:p>
    <w:p>
      <w:pPr>
        <w:pStyle w:val="BodyText"/>
        <w:spacing w:line="316" w:lineRule="auto" w:before="65"/>
        <w:ind w:right="150" w:firstLine="360"/>
        <w:jc w:val="both"/>
      </w:pPr>
      <w:r>
        <w:rPr>
          <w:spacing w:val="-2"/>
        </w:rPr>
        <w:t>公司始终将依法经营作为公司运行的基本原则，注重企业经济效益与社会效益的同步共赢。公司严格遵守国家法律、法</w:t>
      </w:r>
      <w:r>
        <w:rPr/>
        <w:t> 规、政策的规定，始终依法经营，积极纳税，发展就业岗位，支持地方经济的发展。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type w:val="continuous"/>
          <w:pgSz w:w="11910" w:h="16840"/>
          <w:pgMar w:top="1100" w:bottom="2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186"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024" w:right="253"/>
        <w:jc w:val="left"/>
        <w:rPr>
          <w:b w:val="0"/>
          <w:bCs w:val="0"/>
        </w:rPr>
      </w:pPr>
      <w:bookmarkStart w:name="_bookmark4" w:id="5"/>
      <w:bookmarkEnd w:id="5"/>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212" w:right="25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212" w:right="25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985"/>
        <w:gridCol w:w="1066"/>
        <w:gridCol w:w="823"/>
        <w:gridCol w:w="521"/>
        <w:gridCol w:w="708"/>
        <w:gridCol w:w="711"/>
        <w:gridCol w:w="991"/>
        <w:gridCol w:w="994"/>
        <w:gridCol w:w="982"/>
        <w:gridCol w:w="792"/>
      </w:tblGrid>
      <w:tr>
        <w:trPr>
          <w:trHeight w:val="403" w:hRule="exact"/>
        </w:trPr>
        <w:tc>
          <w:tcPr>
            <w:tcW w:w="1985" w:type="dxa"/>
            <w:vMerge w:val="restart"/>
            <w:tcBorders>
              <w:top w:val="single" w:sz="4" w:space="0" w:color="000000"/>
              <w:left w:val="single" w:sz="4" w:space="0" w:color="000000"/>
              <w:right w:val="single" w:sz="4" w:space="0" w:color="000000"/>
            </w:tcBorders>
          </w:tcPr>
          <w:p>
            <w:pP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6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337" w:hRule="exact"/>
        </w:trPr>
        <w:tc>
          <w:tcPr>
            <w:tcW w:w="1985" w:type="dxa"/>
            <w:vMerge/>
            <w:tcBorders>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65" w:right="163"/>
              <w:jc w:val="both"/>
              <w:rPr>
                <w:rFonts w:ascii="宋体" w:hAnsi="宋体" w:cs="宋体" w:eastAsia="宋体" w:hint="default"/>
                <w:sz w:val="18"/>
                <w:szCs w:val="18"/>
              </w:rPr>
            </w:pPr>
            <w:r>
              <w:rPr>
                <w:rFonts w:ascii="宋体" w:hAnsi="宋体" w:cs="宋体" w:eastAsia="宋体" w:hint="default"/>
                <w:sz w:val="18"/>
                <w:szCs w:val="18"/>
              </w:rPr>
              <w:t>发 行 新 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0" w:right="168"/>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60,000,000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75.00%</w:t>
            </w:r>
          </w:p>
        </w:tc>
        <w:tc>
          <w:tcPr>
            <w:tcW w:w="5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-9,270,00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-9,270,00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50,730,00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63.41%</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60,000,000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75.00%</w:t>
            </w:r>
          </w:p>
        </w:tc>
        <w:tc>
          <w:tcPr>
            <w:tcW w:w="5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-9,270,00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-9,270,00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50,730,00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63.41%</w:t>
            </w: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60,000,000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75.00%</w:t>
            </w:r>
          </w:p>
        </w:tc>
        <w:tc>
          <w:tcPr>
            <w:tcW w:w="5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-9,270,00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-9,270,00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50,730,00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63.41%</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20,000,000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25.00%</w:t>
            </w:r>
          </w:p>
        </w:tc>
        <w:tc>
          <w:tcPr>
            <w:tcW w:w="5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9,270,000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9,270,000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29,270,00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36.59%</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20,000,000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25.00%</w:t>
            </w:r>
          </w:p>
        </w:tc>
        <w:tc>
          <w:tcPr>
            <w:tcW w:w="5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9,270,000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9,270,000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29,270,00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36.59%</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80,000,000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49"/>
        <w:ind w:left="212" w:right="253"/>
        <w:jc w:val="left"/>
      </w:pPr>
      <w:r>
        <w:rPr/>
        <w:t>股份变动的原因</w:t>
      </w:r>
    </w:p>
    <w:p>
      <w:pPr>
        <w:pStyle w:val="BodyText"/>
        <w:spacing w:line="338" w:lineRule="auto" w:before="117"/>
        <w:ind w:left="212"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股份变动的批准情况</w:t>
      </w:r>
    </w:p>
    <w:p>
      <w:pPr>
        <w:pStyle w:val="BodyText"/>
        <w:spacing w:line="340" w:lineRule="auto" w:before="43"/>
        <w:ind w:left="212"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40" w:lineRule="auto" w:before="39"/>
        <w:ind w:left="212" w:right="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38" w:lineRule="auto" w:before="41"/>
        <w:ind w:left="212"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3"/>
        <w:ind w:left="212" w:right="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left="212" w:right="25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12" w:right="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77" w:footer="1186" w:top="1100" w:bottom="1380" w:left="920" w:right="980"/>
        </w:sectPr>
      </w:pPr>
    </w:p>
    <w:p>
      <w:pPr>
        <w:spacing w:line="240" w:lineRule="auto" w:before="11"/>
        <w:rPr>
          <w:rFonts w:ascii="宋体" w:hAnsi="宋体" w:cs="宋体" w:eastAsia="宋体" w:hint="default"/>
          <w:sz w:val="21"/>
          <w:szCs w:val="21"/>
        </w:rPr>
      </w:pPr>
    </w:p>
    <w:p>
      <w:pPr>
        <w:pStyle w:val="BodyText"/>
        <w:spacing w:line="240" w:lineRule="auto" w:before="44"/>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杭州磐源投资有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45,030,000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首次公开发行承 诺限售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杭州磐鸿投资管 理合伙企业（有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75"/>
              <w:jc w:val="left"/>
              <w:rPr>
                <w:rFonts w:ascii="宋体" w:hAnsi="宋体" w:cs="宋体" w:eastAsia="宋体" w:hint="default"/>
                <w:sz w:val="18"/>
                <w:szCs w:val="18"/>
              </w:rPr>
            </w:pPr>
            <w:r>
              <w:rPr>
                <w:rFonts w:ascii="宋体" w:hAnsi="宋体" w:cs="宋体" w:eastAsia="宋体" w:hint="default"/>
                <w:sz w:val="18"/>
                <w:szCs w:val="18"/>
              </w:rPr>
              <w:t>首次公开发行承 诺限售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武汉雷石瑞丰股 权投资合伙企业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3,534,000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75"/>
              <w:jc w:val="left"/>
              <w:rPr>
                <w:rFonts w:ascii="宋体" w:hAnsi="宋体" w:cs="宋体" w:eastAsia="宋体" w:hint="default"/>
                <w:sz w:val="18"/>
                <w:szCs w:val="18"/>
              </w:rPr>
            </w:pPr>
            <w:r>
              <w:rPr>
                <w:rFonts w:ascii="宋体" w:hAnsi="宋体" w:cs="宋体" w:eastAsia="宋体" w:hint="default"/>
                <w:sz w:val="18"/>
                <w:szCs w:val="18"/>
              </w:rPr>
              <w:t>首次公开发行承 诺限售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青岛金石灏汭投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首次公开发行承 诺限售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昆山雷石雨花股 权投资合伙企业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1,596,000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首次公开发行承 诺限售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北京盛景财富投 资管理有限公司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首次公开发行承 诺限售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50,730,000</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4"/>
        <w:gridCol w:w="797"/>
        <w:gridCol w:w="1450"/>
        <w:gridCol w:w="1207"/>
        <w:gridCol w:w="1328"/>
        <w:gridCol w:w="1075"/>
        <w:gridCol w:w="1307"/>
        <w:gridCol w:w="1069"/>
      </w:tblGrid>
      <w:tr>
        <w:trPr>
          <w:trHeight w:val="1025"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13,264</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6" w:right="0"/>
              <w:jc w:val="left"/>
              <w:rPr>
                <w:rFonts w:ascii="Times New Roman" w:hAnsi="Times New Roman" w:cs="Times New Roman" w:eastAsia="Times New Roman" w:hint="default"/>
                <w:sz w:val="18"/>
                <w:szCs w:val="18"/>
              </w:rPr>
            </w:pPr>
            <w:r>
              <w:rPr>
                <w:rFonts w:ascii="Times New Roman"/>
                <w:sz w:val="18"/>
              </w:rPr>
              <w:t>11,638</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23" w:right="3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tc>
        <w:tc>
          <w:tcPr>
            <w:tcW w:w="107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w:t>
            </w:r>
          </w:p>
        </w:tc>
        <w:tc>
          <w:tcPr>
            <w:tcW w:w="10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449.22699pt;margin-top:72.475983pt;width:85.75pt;height:33.3pt;mso-position-horizontal-relative:page;mso-position-vertical-relative:page;z-index:-803128" type="#_x0000_t202" filled="false" stroked="false">
            <v:textbox inset="0,0,0,0">
              <w:txbxContent>
                <w:p>
                  <w:pPr>
                    <w:pStyle w:val="BodyText"/>
                    <w:spacing w:line="240" w:lineRule="auto" w:before="8"/>
                    <w:ind w:left="0" w:right="0"/>
                    <w:jc w:val="left"/>
                  </w:pPr>
                  <w:r>
                    <w:rPr/>
                    <w:t>（如有）</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335"/>
        <w:gridCol w:w="134"/>
        <w:gridCol w:w="662"/>
        <w:gridCol w:w="749"/>
        <w:gridCol w:w="750"/>
        <w:gridCol w:w="824"/>
        <w:gridCol w:w="334"/>
        <w:gridCol w:w="456"/>
        <w:gridCol w:w="828"/>
        <w:gridCol w:w="803"/>
        <w:gridCol w:w="316"/>
        <w:gridCol w:w="1028"/>
        <w:gridCol w:w="279"/>
        <w:gridCol w:w="1069"/>
      </w:tblGrid>
      <w:tr>
        <w:trPr>
          <w:trHeight w:val="358"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4" w:space="0" w:color="000000"/>
            </w:tcBorders>
          </w:tcPr>
          <w:p>
            <w:pPr/>
          </w:p>
        </w:tc>
        <w:tc>
          <w:tcPr>
            <w:tcW w:w="1499" w:type="dxa"/>
            <w:gridSpan w:val="2"/>
            <w:vMerge w:val="restart"/>
            <w:tcBorders>
              <w:top w:val="single" w:sz="4" w:space="0" w:color="000000"/>
              <w:left w:val="single" w:sz="4" w:space="0" w:color="000000"/>
              <w:right w:val="single" w:sz="4" w:space="0" w:color="000000"/>
            </w:tcBorders>
            <w:shd w:val="clear" w:color="auto" w:fill="D2D2D2"/>
          </w:tcPr>
          <w:p>
            <w:pPr/>
          </w:p>
        </w:tc>
        <w:tc>
          <w:tcPr>
            <w:tcW w:w="1158" w:type="dxa"/>
            <w:gridSpan w:val="2"/>
            <w:vMerge w:val="restart"/>
            <w:tcBorders>
              <w:top w:val="single" w:sz="4" w:space="0" w:color="000000"/>
              <w:left w:val="single" w:sz="4" w:space="0" w:color="000000"/>
              <w:right w:val="single" w:sz="10" w:space="0" w:color="D2D2D2"/>
            </w:tcBorders>
          </w:tcPr>
          <w:p>
            <w:pPr/>
          </w:p>
        </w:tc>
        <w:tc>
          <w:tcPr>
            <w:tcW w:w="1284"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18" w:type="dxa"/>
            <w:gridSpan w:val="2"/>
            <w:vMerge w:val="restart"/>
            <w:tcBorders>
              <w:top w:val="single" w:sz="4" w:space="0" w:color="000000"/>
              <w:left w:val="single" w:sz="10" w:space="0" w:color="D2D2D2"/>
              <w:right w:val="single" w:sz="13" w:space="0" w:color="D2D2D2"/>
            </w:tcBorders>
          </w:tcPr>
          <w:p>
            <w:pP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股东总数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9" w:type="dxa"/>
            <w:vMerge w:val="restart"/>
            <w:tcBorders>
              <w:top w:val="single" w:sz="4" w:space="0" w:color="000000"/>
              <w:left w:val="single" w:sz="12" w:space="0" w:color="D2D2D2"/>
              <w:right w:val="single" w:sz="4" w:space="0" w:color="000000"/>
            </w:tcBorders>
          </w:tcPr>
          <w:p>
            <w:pPr>
              <w:pStyle w:val="TableParagraph"/>
              <w:spacing w:line="665"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52.45pt;height:33.3pt;mso-position-horizontal-relative:char;mso-position-vertical-relative:line" coordorigin="0,0" coordsize="1049,666">
                  <v:group style="position:absolute;left:0;top:0;width:1049;height:666" coordorigin="0,0" coordsize="1049,666">
                    <v:shape style="position:absolute;left:0;top:0;width:1049;height:666" coordorigin="0,0" coordsize="1049,666" path="m0,665l1049,665,1049,0,0,0,0,665xe" filled="true" fillcolor="#ffffff" stroked="false">
                      <v:path arrowok="t"/>
                      <v:fill type="solid"/>
                    </v:shape>
                  </v:group>
                </v:group>
              </w:pict>
            </w:r>
            <w:r>
              <w:rPr>
                <w:rFonts w:ascii="Times New Roman" w:hAnsi="Times New Roman" w:cs="Times New Roman" w:eastAsia="Times New Roman" w:hint="default"/>
                <w:position w:val="-12"/>
                <w:sz w:val="20"/>
                <w:szCs w:val="20"/>
              </w:rPr>
            </w:r>
          </w:p>
        </w:tc>
      </w:tr>
      <w:tr>
        <w:trPr>
          <w:trHeight w:val="322"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tcPr>
          <w:p>
            <w:pPr/>
          </w:p>
        </w:tc>
        <w:tc>
          <w:tcPr>
            <w:tcW w:w="1499" w:type="dxa"/>
            <w:gridSpan w:val="2"/>
            <w:vMerge/>
            <w:tcBorders>
              <w:left w:val="single" w:sz="4" w:space="0" w:color="000000"/>
              <w:bottom w:val="single" w:sz="4" w:space="0" w:color="000000"/>
              <w:right w:val="single" w:sz="4" w:space="0" w:color="000000"/>
            </w:tcBorders>
            <w:shd w:val="clear" w:color="auto" w:fill="D2D2D2"/>
          </w:tcPr>
          <w:p>
            <w:pPr/>
          </w:p>
        </w:tc>
        <w:tc>
          <w:tcPr>
            <w:tcW w:w="1158" w:type="dxa"/>
            <w:gridSpan w:val="2"/>
            <w:vMerge/>
            <w:tcBorders>
              <w:left w:val="single" w:sz="4" w:space="0" w:color="000000"/>
              <w:bottom w:val="single" w:sz="4" w:space="0" w:color="000000"/>
              <w:right w:val="single" w:sz="10" w:space="0" w:color="D2D2D2"/>
            </w:tcBorders>
          </w:tcPr>
          <w:p>
            <w:pPr/>
          </w:p>
        </w:tc>
        <w:tc>
          <w:tcPr>
            <w:tcW w:w="128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18"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12" w:space="0" w:color="D2D2D2"/>
              <w:bottom w:val="single" w:sz="4" w:space="0" w:color="000000"/>
              <w:right w:val="single" w:sz="4" w:space="0" w:color="000000"/>
            </w:tcBorders>
          </w:tcPr>
          <w:p>
            <w:pPr/>
          </w:p>
        </w:tc>
      </w:tr>
      <w:tr>
        <w:trPr>
          <w:trHeight w:val="391"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50" w:type="dxa"/>
            <w:vMerge w:val="restart"/>
            <w:tcBorders>
              <w:top w:val="single" w:sz="4" w:space="0" w:color="000000"/>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6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2"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0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50"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828"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2692" w:type="dxa"/>
            <w:gridSpan w:val="4"/>
            <w:vMerge/>
            <w:tcBorders>
              <w:left w:val="single" w:sz="4" w:space="0" w:color="000000"/>
              <w:right w:val="single" w:sz="4" w:space="0" w:color="000000"/>
            </w:tcBorders>
            <w:shd w:val="clear" w:color="auto" w:fill="D2D2D2"/>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8"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2692"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50"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8"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13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50"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8"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1344"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1344"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杭州磐源投资有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45,030,00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pacing w:val="-1"/>
                <w:sz w:val="18"/>
              </w:rPr>
              <w:t>45,030,00</w:t>
            </w:r>
          </w:p>
          <w:p>
            <w:pPr>
              <w:pStyle w:val="TableParagraph"/>
              <w:spacing w:line="240" w:lineRule="auto" w:before="105"/>
              <w:ind w:right="64"/>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344"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4"/>
              <w:ind w:left="1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29,860,000</w:t>
            </w: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杭州磐鸿投资管 </w:t>
            </w:r>
            <w:r>
              <w:rPr>
                <w:rFonts w:ascii="宋体" w:hAnsi="宋体" w:cs="宋体" w:eastAsia="宋体" w:hint="default"/>
                <w:spacing w:val="-4"/>
                <w:sz w:val="18"/>
                <w:szCs w:val="18"/>
              </w:rPr>
              <w:t>理合伙企业（有限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5,700,000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5,700,000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武汉雷石瑞丰股 权投资合伙企业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3,534,000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3,534,000</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青岛金石灏汭投 资有限公司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2,202,031</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-797969</w:t>
            </w:r>
          </w:p>
        </w:tc>
        <w:tc>
          <w:tcPr>
            <w:tcW w:w="828"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2,202,031</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昆山雷石雨花股 权投资合伙企业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1,596,000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1,596,000</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北京盛景财富投 资管理有限公司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1,140,000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1,140,000</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熊福成</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273,808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273,808</w:t>
            </w:r>
          </w:p>
        </w:tc>
        <w:tc>
          <w:tcPr>
            <w:tcW w:w="828"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273,808</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宋弦</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256,500</w:t>
            </w:r>
          </w:p>
        </w:tc>
        <w:tc>
          <w:tcPr>
            <w:tcW w:w="828"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256,500</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全从慧</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160,000</w:t>
            </w:r>
          </w:p>
        </w:tc>
        <w:tc>
          <w:tcPr>
            <w:tcW w:w="828"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160,000</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山西信托股份有 限公司－山西信 托</w:t>
            </w:r>
            <w:r>
              <w:rPr>
                <w:rFonts w:ascii="Times New Roman" w:hAnsi="Times New Roman" w:cs="Times New Roman" w:eastAsia="Times New Roman" w:hint="default"/>
                <w:sz w:val="18"/>
                <w:szCs w:val="18"/>
              </w:rPr>
              <w:t>·</w:t>
            </w:r>
            <w:r>
              <w:rPr>
                <w:rFonts w:ascii="宋体" w:hAnsi="宋体" w:cs="宋体" w:eastAsia="宋体" w:hint="default"/>
                <w:sz w:val="18"/>
                <w:szCs w:val="18"/>
              </w:rPr>
              <w:t>晋信财赢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 结构化证券投资 集合资金信托</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144,600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144,600</w:t>
            </w:r>
          </w:p>
        </w:tc>
        <w:tc>
          <w:tcPr>
            <w:tcW w:w="828"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144,600</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8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10"/>
            <w:vMerge w:val="restart"/>
            <w:tcBorders>
              <w:top w:val="single" w:sz="4" w:space="0" w:color="000000"/>
              <w:left w:val="single" w:sz="9" w:space="0" w:color="D2D2D2"/>
              <w:right w:val="single" w:sz="4" w:space="0" w:color="000000"/>
            </w:tcBorders>
          </w:tcPr>
          <w:p>
            <w:pPr>
              <w:pStyle w:val="TableParagraph"/>
              <w:spacing w:line="300" w:lineRule="auto" w:before="49"/>
              <w:ind w:left="17"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、杭州磐源投资有限公司为实际控制人杨一兵、杨波控制的企业；杭州磐鸿投资管 理合伙企业（有限合伙）为实际控制人杨一兵控制的企业。</w:t>
            </w:r>
            <w:r>
              <w:rPr>
                <w:rFonts w:ascii="Times New Roman" w:hAnsi="Times New Roman" w:cs="Times New Roman" w:eastAsia="Times New Roman" w:hint="default"/>
                <w:sz w:val="18"/>
                <w:szCs w:val="18"/>
              </w:rPr>
              <w:t>2</w:t>
            </w:r>
            <w:r>
              <w:rPr>
                <w:rFonts w:ascii="宋体" w:hAnsi="宋体" w:cs="宋体" w:eastAsia="宋体" w:hint="default"/>
                <w:sz w:val="18"/>
                <w:szCs w:val="18"/>
              </w:rPr>
              <w:t>、杨一兵、杨波已签署</w:t>
            </w:r>
          </w:p>
          <w:p>
            <w:pPr>
              <w:pStyle w:val="TableParagraph"/>
              <w:spacing w:line="316" w:lineRule="auto" w:before="13"/>
              <w:ind w:left="17" w:right="80"/>
              <w:jc w:val="left"/>
              <w:rPr>
                <w:rFonts w:ascii="宋体" w:hAnsi="宋体" w:cs="宋体" w:eastAsia="宋体" w:hint="default"/>
                <w:sz w:val="18"/>
                <w:szCs w:val="18"/>
              </w:rPr>
            </w:pPr>
            <w:r>
              <w:rPr>
                <w:rFonts w:ascii="宋体" w:hAnsi="宋体" w:cs="宋体" w:eastAsia="宋体" w:hint="default"/>
                <w:spacing w:val="-3"/>
                <w:sz w:val="18"/>
                <w:szCs w:val="18"/>
              </w:rPr>
              <w:t>《一致行动人协议》，为一致行动人。除此之外，公司未知其余前十名股东之间是否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有关联关系或者一致行动关系。</w:t>
            </w:r>
          </w:p>
        </w:tc>
      </w:tr>
      <w:tr>
        <w:trPr>
          <w:trHeight w:val="706" w:hRule="exact"/>
        </w:trPr>
        <w:tc>
          <w:tcPr>
            <w:tcW w:w="2881"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0"/>
            <w:vMerge/>
            <w:tcBorders>
              <w:left w:val="single" w:sz="9" w:space="0" w:color="D2D2D2"/>
              <w:right w:val="single" w:sz="4" w:space="0" w:color="000000"/>
            </w:tcBorders>
          </w:tcPr>
          <w:p>
            <w:pPr/>
          </w:p>
        </w:tc>
      </w:tr>
      <w:tr>
        <w:trPr>
          <w:trHeight w:val="317" w:hRule="exact"/>
        </w:trPr>
        <w:tc>
          <w:tcPr>
            <w:tcW w:w="28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10"/>
            <w:vMerge/>
            <w:tcBorders>
              <w:left w:val="single" w:sz="9" w:space="0" w:color="D2D2D2"/>
              <w:bottom w:val="single" w:sz="4" w:space="0" w:color="000000"/>
              <w:right w:val="single" w:sz="4" w:space="0" w:color="000000"/>
            </w:tcBorders>
          </w:tcPr>
          <w:p>
            <w:pPr/>
          </w:p>
        </w:tc>
      </w:tr>
      <w:tr>
        <w:trPr>
          <w:trHeight w:val="401"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95"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69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5"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2"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4"/>
            <w:vMerge/>
            <w:tcBorders>
              <w:left w:val="single" w:sz="4" w:space="0" w:color="000000"/>
              <w:bottom w:val="nil" w:sz="6" w:space="0" w:color="auto"/>
              <w:right w:val="single" w:sz="4" w:space="0" w:color="000000"/>
            </w:tcBorders>
            <w:shd w:val="clear" w:color="auto" w:fill="D2D2D2"/>
          </w:tcPr>
          <w:p>
            <w:pPr/>
          </w:p>
        </w:tc>
        <w:tc>
          <w:tcPr>
            <w:tcW w:w="3995" w:type="dxa"/>
            <w:gridSpan w:val="6"/>
            <w:vMerge/>
            <w:tcBorders>
              <w:left w:val="single" w:sz="4" w:space="0" w:color="000000"/>
              <w:bottom w:val="nil" w:sz="6" w:space="0" w:color="auto"/>
              <w:right w:val="single" w:sz="4" w:space="0" w:color="000000"/>
            </w:tcBorders>
            <w:shd w:val="clear" w:color="auto" w:fill="D2D2D2"/>
          </w:tcPr>
          <w:p>
            <w:pPr/>
          </w:p>
        </w:tc>
        <w:tc>
          <w:tcPr>
            <w:tcW w:w="13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95"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344"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881"/>
        <w:gridCol w:w="3989"/>
        <w:gridCol w:w="1349"/>
        <w:gridCol w:w="1349"/>
      </w:tblGrid>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武汉雷石瑞丰股权投资合伙企业（有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限合伙）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3,534,000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青岛金石灏汭投资有限公司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2,202,031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2,202,031</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昆山雷石雨花股权投资合伙企业（有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限合伙）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1,596,000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北京盛景财富投资管理有限公司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1,140,000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熊福成</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273,808</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宋弦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256,500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全从慧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w:t>
            </w:r>
          </w:p>
        </w:tc>
      </w:tr>
      <w:tr>
        <w:trPr>
          <w:trHeight w:val="1027"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山西信托股份有限公司－山西信 托</w:t>
            </w:r>
            <w:r>
              <w:rPr>
                <w:rFonts w:ascii="Times New Roman" w:hAnsi="Times New Roman" w:cs="Times New Roman" w:eastAsia="Times New Roman" w:hint="default"/>
                <w:sz w:val="18"/>
                <w:szCs w:val="18"/>
              </w:rPr>
              <w:t>·</w:t>
            </w:r>
            <w:r>
              <w:rPr>
                <w:rFonts w:ascii="宋体" w:hAnsi="宋体" w:cs="宋体" w:eastAsia="宋体" w:hint="default"/>
                <w:sz w:val="18"/>
                <w:szCs w:val="18"/>
              </w:rPr>
              <w:t>晋信财赢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号结构化证券投资集 合资金信托</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周红艳</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黄东生</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131,502</w:t>
            </w:r>
          </w:p>
        </w:tc>
      </w:tr>
      <w:tr>
        <w:trPr>
          <w:trHeight w:val="1337"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3" w:right="17"/>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名无限售流通股股东之间，以及前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名股 东之间未知是否存在关联，也未知是否属于一致行动人。</w:t>
            </w:r>
          </w:p>
        </w:tc>
      </w:tr>
      <w:tr>
        <w:trPr>
          <w:trHeight w:val="716"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14"/>
        <w:jc w:val="left"/>
      </w:pPr>
      <w:r>
        <w:rPr/>
        <w:t>控股股东性质：自然人控股 控股股东类型：法人</w:t>
      </w:r>
    </w:p>
    <w:tbl>
      <w:tblPr>
        <w:tblW w:w="0" w:type="auto"/>
        <w:jc w:val="left"/>
        <w:tblInd w:w="148" w:type="dxa"/>
        <w:tblLayout w:type="fixed"/>
        <w:tblCellMar>
          <w:top w:w="0" w:type="dxa"/>
          <w:left w:w="0" w:type="dxa"/>
          <w:bottom w:w="0" w:type="dxa"/>
          <w:right w:w="0" w:type="dxa"/>
        </w:tblCellMar>
        <w:tblLook w:val="01E0"/>
      </w:tblPr>
      <w:tblGrid>
        <w:gridCol w:w="2199"/>
        <w:gridCol w:w="1793"/>
        <w:gridCol w:w="1594"/>
        <w:gridCol w:w="1752"/>
        <w:gridCol w:w="2233"/>
      </w:tblGrid>
      <w:tr>
        <w:trPr>
          <w:trHeight w:val="71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27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杭州磐源投资有限公司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杨波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0"/>
              <w:jc w:val="center"/>
              <w:rPr>
                <w:rFonts w:ascii="Times New Roman" w:hAnsi="Times New Roman" w:cs="Times New Roman" w:eastAsia="Times New Roman" w:hint="default"/>
                <w:sz w:val="18"/>
                <w:szCs w:val="18"/>
              </w:rPr>
            </w:pPr>
            <w:r>
              <w:rPr>
                <w:rFonts w:ascii="Times New Roman"/>
                <w:sz w:val="18"/>
              </w:rPr>
              <w:t>91330108056735639T</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实业投资、投资管理、投资 </w:t>
            </w:r>
            <w:r>
              <w:rPr>
                <w:rFonts w:ascii="宋体" w:hAnsi="宋体" w:cs="宋体" w:eastAsia="宋体" w:hint="default"/>
                <w:spacing w:val="-13"/>
                <w:sz w:val="18"/>
                <w:szCs w:val="18"/>
              </w:rPr>
              <w:t>咨询（除证券、期货）、企业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管理咨询、财务咨询、经济 </w:t>
            </w:r>
            <w:r>
              <w:rPr>
                <w:rFonts w:ascii="宋体" w:hAnsi="宋体" w:cs="宋体" w:eastAsia="宋体" w:hint="default"/>
                <w:spacing w:val="-13"/>
                <w:sz w:val="18"/>
                <w:szCs w:val="18"/>
              </w:rPr>
              <w:t>信息咨询（除商品中介）（依</w:t>
            </w:r>
            <w:r>
              <w:rPr>
                <w:rFonts w:ascii="宋体" w:hAnsi="宋体" w:cs="宋体" w:eastAsia="宋体" w:hint="default"/>
                <w:sz w:val="18"/>
                <w:szCs w:val="18"/>
              </w:rPr>
              <w:t> 法需经批准的项目，经相关 部门批准后方可开展经营活 动）</w:t>
            </w:r>
          </w:p>
        </w:tc>
      </w:tr>
      <w:tr>
        <w:trPr>
          <w:trHeight w:val="67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3"/>
        <w:rPr>
          <w:rFonts w:ascii="宋体" w:hAnsi="宋体" w:cs="宋体" w:eastAsia="宋体" w:hint="default"/>
          <w:sz w:val="24"/>
          <w:szCs w:val="24"/>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23;top:14;width:2;height:354" coordorigin="23,14" coordsize="2,354">
              <v:shape style="position:absolute;left:23;top:14;width:2;height:354" coordorigin="23,14" coordsize="0,354" path="m23,14l23,368e" filled="false" stroked="true" strokeweight="1.08pt" strokecolor="#d2d2d2">
                <v:path arrowok="t"/>
              </v:shape>
            </v:group>
            <v:group style="position:absolute;left:2189;top:14;width:2;height:354" coordorigin="2189,14" coordsize="2,354">
              <v:shape style="position:absolute;left:2189;top:14;width:2;height:354" coordorigin="2189,14" coordsize="0,354" path="m2189,14l2189,368e" filled="false" stroked="true" strokeweight="1.2pt" strokecolor="#d2d2d2">
                <v:path arrowok="t"/>
              </v:shape>
            </v:group>
            <v:group style="position:absolute;left:34;top:14;width:2144;height:354" coordorigin="34,14" coordsize="2144,354">
              <v:shape style="position:absolute;left:34;top:14;width:2144;height:354" coordorigin="34,14" coordsize="2144,354" path="m34,368l2177,368,2177,14,34,14,34,368xe" filled="true" fillcolor="#d2d2d2" stroked="false">
                <v:path arrowok="t"/>
                <v:fill type="solid"/>
              </v:shape>
            </v:group>
            <v:group style="position:absolute;left:10;top:10;width:2190;height:2" coordorigin="10,10" coordsize="2190,2">
              <v:shape style="position:absolute;left:10;top:10;width:2190;height:2" coordorigin="10,10" coordsize="2190,0" path="m10,10l2199,10e" filled="false" stroked="true" strokeweight=".48pt" strokecolor="#000000">
                <v:path arrowok="t"/>
              </v:shape>
            </v:group>
            <v:group style="position:absolute;left:2208;top:10;width:7363;height:2" coordorigin="2208,10" coordsize="7363,2">
              <v:shape style="position:absolute;left:2208;top:10;width:7363;height:2" coordorigin="2208,10" coordsize="7363,0" path="m2208,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2190;height:2" coordorigin="10,372" coordsize="2190,2">
              <v:shape style="position:absolute;left:10;top:372;width:2190;height:2" coordorigin="10,372" coordsize="2190,0" path="m10,372l2199,372e" filled="false" stroked="true" strokeweight=".48pt" strokecolor="#000000">
                <v:path arrowok="t"/>
              </v:shape>
            </v:group>
            <v:group style="position:absolute;left:2204;top:5;width:2;height:373" coordorigin="2204,5" coordsize="2,373">
              <v:shape style="position:absolute;left:2204;top:5;width:2;height:373" coordorigin="2204,5" coordsize="0,373" path="m2204,5l2204,377e" filled="false" stroked="true" strokeweight=".48001pt" strokecolor="#000000">
                <v:path arrowok="t"/>
              </v:shape>
            </v:group>
            <v:group style="position:absolute;left:2208;top:372;width:7363;height:2" coordorigin="2208,372" coordsize="7363,2">
              <v:shape style="position:absolute;left:2208;top:372;width:7363;height:2" coordorigin="2208,372" coordsize="7363,0" path="m2208,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6;top:10;width:2198;height:363" type="#_x0000_t202" filled="false" stroked="false">
                <v:textbox inset="0,0,0,0">
                  <w:txbxContent>
                    <w:p>
                      <w:pPr>
                        <w:spacing w:before="13"/>
                        <w:ind w:left="27" w:right="0" w:firstLine="0"/>
                        <w:jc w:val="left"/>
                        <w:rPr>
                          <w:rFonts w:ascii="宋体" w:hAnsi="宋体" w:cs="宋体" w:eastAsia="宋体" w:hint="default"/>
                          <w:sz w:val="18"/>
                          <w:szCs w:val="18"/>
                        </w:rPr>
                      </w:pPr>
                      <w:r>
                        <w:rPr>
                          <w:rFonts w:ascii="宋体" w:hAnsi="宋体" w:cs="宋体" w:eastAsia="宋体" w:hint="default"/>
                          <w:sz w:val="18"/>
                          <w:szCs w:val="18"/>
                        </w:rPr>
                        <w:t>司的股权情况</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0"/>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434"/>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336"/>
        <w:gridCol w:w="2057"/>
        <w:gridCol w:w="4177"/>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杨波</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52"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7" w:firstLine="360"/>
              <w:jc w:val="both"/>
              <w:rPr>
                <w:rFonts w:ascii="宋体" w:hAnsi="宋体" w:cs="宋体" w:eastAsia="宋体" w:hint="default"/>
                <w:sz w:val="18"/>
                <w:szCs w:val="18"/>
              </w:rPr>
            </w:pPr>
            <w:r>
              <w:rPr>
                <w:rFonts w:ascii="宋体" w:hAnsi="宋体" w:cs="宋体" w:eastAsia="宋体" w:hint="default"/>
                <w:sz w:val="18"/>
                <w:szCs w:val="18"/>
              </w:rPr>
              <w:t>杨一兵，男，</w:t>
            </w:r>
            <w:r>
              <w:rPr>
                <w:rFonts w:ascii="Times New Roman" w:hAnsi="Times New Roman" w:cs="Times New Roman" w:eastAsia="Times New Roman" w:hint="default"/>
                <w:sz w:val="18"/>
                <w:szCs w:val="18"/>
              </w:rPr>
              <w:t>1968 </w:t>
            </w:r>
            <w:r>
              <w:rPr>
                <w:rFonts w:ascii="宋体" w:hAnsi="宋体" w:cs="宋体" w:eastAsia="宋体" w:hint="default"/>
                <w:sz w:val="18"/>
                <w:szCs w:val="18"/>
              </w:rPr>
              <w:t>年出生，中国国籍，无境外永久居留权，工业自动化专 业博士学历。</w:t>
            </w: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年，担任浙江大学教师；</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年，历任</w:t>
            </w:r>
            <w:r>
              <w:rPr>
                <w:rFonts w:ascii="宋体" w:hAnsi="宋体" w:cs="宋体" w:eastAsia="宋体" w:hint="default"/>
                <w:sz w:val="18"/>
                <w:szCs w:val="18"/>
              </w:rPr>
              <w:t> 浙江浙大中控信息技术有限公司副总经理、总工程师、副总裁；</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年至</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年，担任北京和仁中控数字医疗技术有限公司董事、总经理；</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年至今，担 任公司董事长、总经理。</w:t>
            </w:r>
          </w:p>
          <w:p>
            <w:pPr>
              <w:pStyle w:val="TableParagraph"/>
              <w:spacing w:line="300" w:lineRule="auto" w:before="72"/>
              <w:ind w:left="23" w:right="-12" w:firstLine="360"/>
              <w:jc w:val="both"/>
              <w:rPr>
                <w:rFonts w:ascii="宋体" w:hAnsi="宋体" w:cs="宋体" w:eastAsia="宋体" w:hint="default"/>
                <w:sz w:val="18"/>
                <w:szCs w:val="18"/>
              </w:rPr>
            </w:pPr>
            <w:r>
              <w:rPr>
                <w:rFonts w:ascii="宋体" w:hAnsi="宋体" w:cs="宋体" w:eastAsia="宋体" w:hint="default"/>
                <w:sz w:val="18"/>
                <w:szCs w:val="18"/>
              </w:rPr>
              <w:t>杨波，男，</w:t>
            </w:r>
            <w:r>
              <w:rPr>
                <w:rFonts w:ascii="Times New Roman" w:hAnsi="Times New Roman" w:cs="Times New Roman" w:eastAsia="Times New Roman" w:hint="default"/>
                <w:sz w:val="18"/>
                <w:szCs w:val="18"/>
              </w:rPr>
              <w:t>1976 </w:t>
            </w:r>
            <w:r>
              <w:rPr>
                <w:rFonts w:ascii="宋体" w:hAnsi="宋体" w:cs="宋体" w:eastAsia="宋体" w:hint="default"/>
                <w:sz w:val="18"/>
                <w:szCs w:val="18"/>
              </w:rPr>
              <w:t>年出生，中国国籍，无境外永久居留权，工业设计专业本 </w:t>
            </w:r>
            <w:r>
              <w:rPr>
                <w:rFonts w:ascii="宋体" w:hAnsi="宋体" w:cs="宋体" w:eastAsia="宋体" w:hint="default"/>
                <w:spacing w:val="-4"/>
                <w:sz w:val="18"/>
                <w:szCs w:val="18"/>
              </w:rPr>
              <w:t>科学历。</w:t>
            </w:r>
            <w:r>
              <w:rPr>
                <w:rFonts w:ascii="Times New Roman" w:hAnsi="Times New Roman" w:cs="Times New Roman" w:eastAsia="Times New Roman" w:hint="default"/>
                <w:spacing w:val="-4"/>
                <w:sz w:val="18"/>
                <w:szCs w:val="18"/>
              </w:rPr>
              <w:t>1999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年，担任浙江易商软件有限公司网站设计工程师；</w:t>
            </w:r>
            <w:r>
              <w:rPr>
                <w:rFonts w:ascii="Times New Roman" w:hAnsi="Times New Roman" w:cs="Times New Roman" w:eastAsia="Times New Roman" w:hint="default"/>
                <w:spacing w:val="-3"/>
                <w:sz w:val="18"/>
                <w:szCs w:val="18"/>
              </w:rPr>
              <w:t>2001</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年，历任浙江浙大中控信息技术有限公司智能建筑事业部商务总监、 智能建筑事业部副总经理、智能建筑事业部商务中心总监；</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年至今，担任 公司董事、副总经理。</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0"/>
        <w:jc w:val="left"/>
      </w:pPr>
      <w:r>
        <w:rPr/>
        <w:t>实际控制人报告期内变更</w:t>
      </w:r>
    </w:p>
    <w:p>
      <w:pPr>
        <w:pStyle w:val="BodyText"/>
        <w:spacing w:line="348" w:lineRule="auto" w:before="117"/>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4"/>
        <w:rPr>
          <w:rFonts w:ascii="宋体" w:hAnsi="宋体" w:cs="宋体" w:eastAsia="宋体" w:hint="default"/>
          <w:sz w:val="18"/>
          <w:szCs w:val="18"/>
        </w:rPr>
      </w:pPr>
    </w:p>
    <w:p>
      <w:pPr>
        <w:spacing w:line="4202" w:lineRule="exact"/>
        <w:ind w:left="1358"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4545139" cy="266861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0" cstate="print"/>
                    <a:stretch>
                      <a:fillRect/>
                    </a:stretch>
                  </pic:blipFill>
                  <pic:spPr>
                    <a:xfrm>
                      <a:off x="0" y="0"/>
                      <a:ext cx="4545139" cy="2668619"/>
                    </a:xfrm>
                    <a:prstGeom prst="rect">
                      <a:avLst/>
                    </a:prstGeom>
                  </pic:spPr>
                </pic:pic>
              </a:graphicData>
            </a:graphic>
          </wp:inline>
        </w:drawing>
      </w:r>
      <w:r>
        <w:rPr>
          <w:rFonts w:ascii="宋体" w:hAnsi="宋体" w:cs="宋体" w:eastAsia="宋体" w:hint="default"/>
          <w:position w:val="-83"/>
          <w:sz w:val="20"/>
          <w:szCs w:val="20"/>
        </w:rPr>
      </w:r>
    </w:p>
    <w:p>
      <w:pPr>
        <w:spacing w:after="0" w:line="4202" w:lineRule="exact"/>
        <w:rPr>
          <w:rFonts w:ascii="宋体" w:hAnsi="宋体" w:cs="宋体" w:eastAsia="宋体" w:hint="default"/>
          <w:sz w:val="20"/>
          <w:szCs w:val="20"/>
        </w:rPr>
        <w:sectPr>
          <w:pgSz w:w="11910" w:h="16840"/>
          <w:pgMar w:header="877" w:footer="1186" w:top="1100" w:bottom="138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t>注：图为公司截止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日的公司与实际控制人之间的产权及控制关系，公司于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日在巨潮资讯网披露了</w:t>
      </w:r>
    </w:p>
    <w:p>
      <w:pPr>
        <w:pStyle w:val="BodyText"/>
        <w:spacing w:line="309" w:lineRule="auto" w:before="63"/>
        <w:ind w:right="151"/>
        <w:jc w:val="both"/>
      </w:pPr>
      <w:r>
        <w:rPr>
          <w:spacing w:val="-3"/>
        </w:rPr>
        <w:t>《关于限制性股票首次授予完成的公告》，公司完成</w:t>
      </w:r>
      <w:r>
        <w:rPr>
          <w:rFonts w:ascii="Times New Roman" w:hAnsi="Times New Roman" w:cs="Times New Roman" w:eastAsia="Times New Roman" w:hint="default"/>
          <w:spacing w:val="-3"/>
        </w:rPr>
        <w:t>2017</w:t>
      </w:r>
      <w:r>
        <w:rPr>
          <w:spacing w:val="-3"/>
        </w:rPr>
        <w:t>年限制性股票的首次授予工作，向</w:t>
      </w:r>
      <w:r>
        <w:rPr>
          <w:rFonts w:ascii="Times New Roman" w:hAnsi="Times New Roman" w:cs="Times New Roman" w:eastAsia="Times New Roman" w:hint="default"/>
          <w:spacing w:val="-3"/>
        </w:rPr>
        <w:t>36</w:t>
      </w:r>
      <w:r>
        <w:rPr>
          <w:spacing w:val="-3"/>
        </w:rPr>
        <w:t>名授予对象授予</w:t>
      </w:r>
      <w:r>
        <w:rPr>
          <w:rFonts w:ascii="Times New Roman" w:hAnsi="Times New Roman" w:cs="Times New Roman" w:eastAsia="Times New Roman" w:hint="default"/>
          <w:spacing w:val="-3"/>
        </w:rPr>
        <w:t>322</w:t>
      </w:r>
      <w:r>
        <w:rPr>
          <w:spacing w:val="-3"/>
        </w:rPr>
        <w:t>万股股份，</w:t>
      </w:r>
      <w:r>
        <w:rPr/>
        <w:t> </w:t>
      </w:r>
      <w:r>
        <w:rPr>
          <w:spacing w:val="-2"/>
        </w:rPr>
        <w:t>公司总股本相应增加，授予前，公司实际控制人杨一兵、杨波通过杭州磐源投资有限公司、杭州磐鸿投资管理合伙企业（有</w:t>
      </w:r>
      <w:r>
        <w:rPr>
          <w:spacing w:val="-67"/>
        </w:rPr>
        <w:t> </w:t>
      </w:r>
      <w:r>
        <w:rPr>
          <w:spacing w:val="-67"/>
        </w:rPr>
      </w:r>
      <w:r>
        <w:rPr/>
        <w:t>限合伙）分别间接持有本公司</w:t>
      </w:r>
      <w:r>
        <w:rPr>
          <w:rFonts w:ascii="Times New Roman" w:hAnsi="Times New Roman" w:cs="Times New Roman" w:eastAsia="Times New Roman" w:hint="default"/>
        </w:rPr>
        <w:t>43.27%</w:t>
      </w:r>
      <w:r>
        <w:rPr/>
        <w:t>、</w:t>
      </w:r>
      <w:r>
        <w:rPr>
          <w:rFonts w:ascii="Times New Roman" w:hAnsi="Times New Roman" w:cs="Times New Roman" w:eastAsia="Times New Roman" w:hint="default"/>
        </w:rPr>
        <w:t>7.20%</w:t>
      </w:r>
      <w:r>
        <w:rPr/>
        <w:t>的股权，授予完成后分别间接持有公司</w:t>
      </w:r>
      <w:r>
        <w:rPr>
          <w:rFonts w:ascii="Times New Roman" w:hAnsi="Times New Roman" w:cs="Times New Roman" w:eastAsia="Times New Roman" w:hint="default"/>
        </w:rPr>
        <w:t>41.59%</w:t>
      </w:r>
      <w:r>
        <w:rPr/>
        <w:t>、</w:t>
      </w:r>
      <w:r>
        <w:rPr>
          <w:rFonts w:ascii="Times New Roman" w:hAnsi="Times New Roman" w:cs="Times New Roman" w:eastAsia="Times New Roman" w:hint="default"/>
        </w:rPr>
        <w:t>6.93%</w:t>
      </w:r>
      <w:r>
        <w:rPr/>
        <w:t>的股权。</w:t>
      </w:r>
    </w:p>
    <w:p>
      <w:pPr>
        <w:spacing w:line="240" w:lineRule="auto" w:before="8"/>
        <w:rPr>
          <w:rFonts w:ascii="宋体" w:hAnsi="宋体" w:cs="宋体" w:eastAsia="宋体" w:hint="default"/>
          <w:sz w:val="15"/>
          <w:szCs w:val="15"/>
        </w:rPr>
      </w:pPr>
    </w:p>
    <w:p>
      <w:pPr>
        <w:pStyle w:val="BodyText"/>
        <w:spacing w:line="240" w:lineRule="auto"/>
        <w:ind w:right="0"/>
        <w:jc w:val="both"/>
      </w:pPr>
      <w:r>
        <w:rPr/>
        <w:t>实际控制人通过信托或其他资产管理方式控制公司</w:t>
      </w:r>
    </w:p>
    <w:p>
      <w:pPr>
        <w:spacing w:line="240" w:lineRule="auto" w:before="1"/>
        <w:rPr>
          <w:rFonts w:ascii="宋体" w:hAnsi="宋体" w:cs="宋体" w:eastAsia="宋体" w:hint="default"/>
          <w:sz w:val="21"/>
          <w:szCs w:val="21"/>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877" w:footer="1186"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85" w:right="0"/>
        <w:jc w:val="left"/>
        <w:rPr>
          <w:b w:val="0"/>
          <w:bCs w:val="0"/>
        </w:rPr>
      </w:pPr>
      <w:bookmarkStart w:name="_bookmark5" w:id="6"/>
      <w:bookmarkEnd w:id="6"/>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77" w:footer="1186"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699" w:right="94"/>
        <w:jc w:val="left"/>
        <w:rPr>
          <w:b w:val="0"/>
          <w:bCs w:val="0"/>
        </w:rPr>
      </w:pPr>
      <w:bookmarkStart w:name="_bookmark6" w:id="7"/>
      <w:bookmarkEnd w:id="7"/>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172" w:right="94"/>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800"/>
        <w:gridCol w:w="797"/>
        <w:gridCol w:w="499"/>
        <w:gridCol w:w="566"/>
        <w:gridCol w:w="567"/>
        <w:gridCol w:w="1558"/>
        <w:gridCol w:w="711"/>
        <w:gridCol w:w="886"/>
        <w:gridCol w:w="797"/>
        <w:gridCol w:w="800"/>
        <w:gridCol w:w="797"/>
        <w:gridCol w:w="991"/>
      </w:tblGrid>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53" w:right="155"/>
              <w:jc w:val="both"/>
              <w:rPr>
                <w:rFonts w:ascii="宋体" w:hAnsi="宋体" w:cs="宋体" w:eastAsia="宋体" w:hint="default"/>
                <w:sz w:val="18"/>
                <w:szCs w:val="18"/>
              </w:rPr>
            </w:pPr>
            <w:r>
              <w:rPr>
                <w:rFonts w:ascii="宋体" w:hAnsi="宋体" w:cs="宋体" w:eastAsia="宋体" w:hint="default"/>
                <w:sz w:val="18"/>
                <w:szCs w:val="18"/>
              </w:rPr>
              <w:t>任 职 状 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87" w:right="187"/>
              <w:jc w:val="center"/>
              <w:rPr>
                <w:rFonts w:ascii="宋体" w:hAnsi="宋体" w:cs="宋体" w:eastAsia="宋体" w:hint="default"/>
                <w:sz w:val="18"/>
                <w:szCs w:val="18"/>
              </w:rPr>
            </w:pPr>
            <w:r>
              <w:rPr>
                <w:rFonts w:ascii="宋体" w:hAnsi="宋体" w:cs="宋体" w:eastAsia="宋体" w:hint="default"/>
                <w:sz w:val="18"/>
                <w:szCs w:val="18"/>
              </w:rPr>
              <w:t>性 别</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90" w:right="185"/>
              <w:jc w:val="center"/>
              <w:rPr>
                <w:rFonts w:ascii="宋体" w:hAnsi="宋体" w:cs="宋体" w:eastAsia="宋体" w:hint="default"/>
                <w:sz w:val="18"/>
                <w:szCs w:val="18"/>
              </w:rPr>
            </w:pPr>
            <w:r>
              <w:rPr>
                <w:rFonts w:ascii="宋体" w:hAnsi="宋体" w:cs="宋体" w:eastAsia="宋体" w:hint="default"/>
                <w:sz w:val="18"/>
                <w:szCs w:val="18"/>
              </w:rPr>
              <w:t>年 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0" w:right="168"/>
              <w:jc w:val="both"/>
              <w:rPr>
                <w:rFonts w:ascii="宋体" w:hAnsi="宋体" w:cs="宋体" w:eastAsia="宋体" w:hint="default"/>
                <w:sz w:val="18"/>
                <w:szCs w:val="18"/>
              </w:rPr>
            </w:pPr>
            <w:r>
              <w:rPr>
                <w:rFonts w:ascii="宋体" w:hAnsi="宋体" w:cs="宋体" w:eastAsia="宋体" w:hint="default"/>
                <w:sz w:val="18"/>
                <w:szCs w:val="18"/>
              </w:rPr>
              <w:t>任期 终止 日期</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59" w:right="167" w:hanging="92"/>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16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4" w:right="120"/>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7"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2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4" w:right="120"/>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32" w:right="12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1"/>
              <w:jc w:val="left"/>
              <w:rPr>
                <w:rFonts w:ascii="宋体" w:hAnsi="宋体" w:cs="宋体" w:eastAsia="宋体" w:hint="default"/>
                <w:sz w:val="18"/>
                <w:szCs w:val="18"/>
              </w:rPr>
            </w:pPr>
            <w:r>
              <w:rPr>
                <w:rFonts w:ascii="宋体" w:hAnsi="宋体" w:cs="宋体" w:eastAsia="宋体" w:hint="default"/>
                <w:sz w:val="18"/>
                <w:szCs w:val="18"/>
              </w:rPr>
              <w:t>董事 长、总 经理</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04"/>
              <w:jc w:val="left"/>
              <w:rPr>
                <w:rFonts w:ascii="宋体" w:hAnsi="宋体" w:cs="宋体" w:eastAsia="宋体" w:hint="default"/>
                <w:sz w:val="18"/>
                <w:szCs w:val="18"/>
              </w:rPr>
            </w:pPr>
            <w:r>
              <w:rPr>
                <w:rFonts w:ascii="宋体" w:hAnsi="宋体" w:cs="宋体" w:eastAsia="宋体" w:hint="default"/>
                <w:sz w:val="18"/>
                <w:szCs w:val="18"/>
              </w:rPr>
              <w:t>现 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righ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34,612,6</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34,612,68</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杨波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1"/>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04"/>
              <w:jc w:val="left"/>
              <w:rPr>
                <w:rFonts w:ascii="宋体" w:hAnsi="宋体" w:cs="宋体" w:eastAsia="宋体" w:hint="default"/>
                <w:sz w:val="18"/>
                <w:szCs w:val="18"/>
              </w:rPr>
            </w:pPr>
            <w:r>
              <w:rPr>
                <w:rFonts w:ascii="宋体" w:hAnsi="宋体" w:cs="宋体" w:eastAsia="宋体" w:hint="default"/>
                <w:sz w:val="18"/>
                <w:szCs w:val="18"/>
              </w:rPr>
              <w:t>现 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righ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5,763,84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5,763,840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傅烈勇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1"/>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04"/>
              <w:jc w:val="left"/>
              <w:rPr>
                <w:rFonts w:ascii="宋体" w:hAnsi="宋体" w:cs="宋体" w:eastAsia="宋体" w:hint="default"/>
                <w:sz w:val="18"/>
                <w:szCs w:val="18"/>
              </w:rPr>
            </w:pPr>
            <w:r>
              <w:rPr>
                <w:rFonts w:ascii="宋体" w:hAnsi="宋体" w:cs="宋体" w:eastAsia="宋体" w:hint="default"/>
                <w:sz w:val="18"/>
                <w:szCs w:val="18"/>
              </w:rPr>
              <w:t>现 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righ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5,130,00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5,130,000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夏红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04"/>
              <w:jc w:val="left"/>
              <w:rPr>
                <w:rFonts w:ascii="宋体" w:hAnsi="宋体" w:cs="宋体" w:eastAsia="宋体" w:hint="default"/>
                <w:sz w:val="18"/>
                <w:szCs w:val="18"/>
              </w:rPr>
            </w:pPr>
            <w:r>
              <w:rPr>
                <w:rFonts w:ascii="宋体" w:hAnsi="宋体" w:cs="宋体" w:eastAsia="宋体" w:hint="default"/>
                <w:sz w:val="18"/>
                <w:szCs w:val="18"/>
              </w:rPr>
              <w:t>现 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righ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沈红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41"/>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04"/>
              <w:jc w:val="left"/>
              <w:rPr>
                <w:rFonts w:ascii="宋体" w:hAnsi="宋体" w:cs="宋体" w:eastAsia="宋体" w:hint="default"/>
                <w:sz w:val="18"/>
                <w:szCs w:val="18"/>
              </w:rPr>
            </w:pPr>
            <w:r>
              <w:rPr>
                <w:rFonts w:ascii="宋体" w:hAnsi="宋体" w:cs="宋体" w:eastAsia="宋体" w:hint="default"/>
                <w:sz w:val="18"/>
                <w:szCs w:val="18"/>
              </w:rPr>
              <w:t>现 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righ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冯忆文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1"/>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04"/>
              <w:jc w:val="left"/>
              <w:rPr>
                <w:rFonts w:ascii="宋体" w:hAnsi="宋体" w:cs="宋体" w:eastAsia="宋体" w:hint="default"/>
                <w:sz w:val="18"/>
                <w:szCs w:val="18"/>
              </w:rPr>
            </w:pPr>
            <w:r>
              <w:rPr>
                <w:rFonts w:ascii="宋体" w:hAnsi="宋体" w:cs="宋体" w:eastAsia="宋体" w:hint="default"/>
                <w:sz w:val="18"/>
                <w:szCs w:val="18"/>
              </w:rPr>
              <w:t>现 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righ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曹健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41"/>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04"/>
              <w:jc w:val="left"/>
              <w:rPr>
                <w:rFonts w:ascii="宋体" w:hAnsi="宋体" w:cs="宋体" w:eastAsia="宋体" w:hint="default"/>
                <w:sz w:val="18"/>
                <w:szCs w:val="18"/>
              </w:rPr>
            </w:pPr>
            <w:r>
              <w:rPr>
                <w:rFonts w:ascii="宋体" w:hAnsi="宋体" w:cs="宋体" w:eastAsia="宋体" w:hint="default"/>
                <w:sz w:val="18"/>
                <w:szCs w:val="18"/>
              </w:rPr>
              <w:t>现 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righ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陈军兵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1"/>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04"/>
              <w:jc w:val="left"/>
              <w:rPr>
                <w:rFonts w:ascii="宋体" w:hAnsi="宋体" w:cs="宋体" w:eastAsia="宋体" w:hint="default"/>
                <w:sz w:val="18"/>
                <w:szCs w:val="18"/>
              </w:rPr>
            </w:pPr>
            <w:r>
              <w:rPr>
                <w:rFonts w:ascii="宋体" w:hAnsi="宋体" w:cs="宋体" w:eastAsia="宋体" w:hint="default"/>
                <w:sz w:val="18"/>
                <w:szCs w:val="18"/>
              </w:rPr>
              <w:t>现 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righ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陶蓉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41"/>
              <w:jc w:val="left"/>
              <w:rPr>
                <w:rFonts w:ascii="宋体" w:hAnsi="宋体" w:cs="宋体" w:eastAsia="宋体" w:hint="default"/>
                <w:sz w:val="18"/>
                <w:szCs w:val="18"/>
              </w:rPr>
            </w:pPr>
            <w:r>
              <w:rPr>
                <w:rFonts w:ascii="宋体" w:hAnsi="宋体" w:cs="宋体" w:eastAsia="宋体" w:hint="default"/>
                <w:sz w:val="18"/>
                <w:szCs w:val="18"/>
              </w:rPr>
              <w:t>职工代 表监事</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04"/>
              <w:jc w:val="left"/>
              <w:rPr>
                <w:rFonts w:ascii="宋体" w:hAnsi="宋体" w:cs="宋体" w:eastAsia="宋体" w:hint="default"/>
                <w:sz w:val="18"/>
                <w:szCs w:val="18"/>
              </w:rPr>
            </w:pPr>
            <w:r>
              <w:rPr>
                <w:rFonts w:ascii="宋体" w:hAnsi="宋体" w:cs="宋体" w:eastAsia="宋体" w:hint="default"/>
                <w:sz w:val="18"/>
                <w:szCs w:val="18"/>
              </w:rPr>
              <w:t>现 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righ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曹洁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04"/>
              <w:jc w:val="left"/>
              <w:rPr>
                <w:rFonts w:ascii="宋体" w:hAnsi="宋体" w:cs="宋体" w:eastAsia="宋体" w:hint="default"/>
                <w:sz w:val="18"/>
                <w:szCs w:val="18"/>
              </w:rPr>
            </w:pPr>
            <w:r>
              <w:rPr>
                <w:rFonts w:ascii="宋体" w:hAnsi="宋体" w:cs="宋体" w:eastAsia="宋体" w:hint="default"/>
                <w:sz w:val="18"/>
                <w:szCs w:val="18"/>
              </w:rPr>
              <w:t>现 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righ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章逸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1"/>
              <w:jc w:val="both"/>
              <w:rPr>
                <w:rFonts w:ascii="宋体" w:hAnsi="宋体" w:cs="宋体" w:eastAsia="宋体" w:hint="default"/>
                <w:sz w:val="18"/>
                <w:szCs w:val="18"/>
              </w:rPr>
            </w:pPr>
            <w:r>
              <w:rPr>
                <w:rFonts w:ascii="宋体" w:hAnsi="宋体" w:cs="宋体" w:eastAsia="宋体" w:hint="default"/>
                <w:sz w:val="18"/>
                <w:szCs w:val="18"/>
              </w:rPr>
              <w:t>董事会 秘书、 副总经 理</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04"/>
              <w:jc w:val="left"/>
              <w:rPr>
                <w:rFonts w:ascii="宋体" w:hAnsi="宋体" w:cs="宋体" w:eastAsia="宋体" w:hint="default"/>
                <w:sz w:val="18"/>
                <w:szCs w:val="18"/>
              </w:rPr>
            </w:pPr>
            <w:r>
              <w:rPr>
                <w:rFonts w:ascii="宋体" w:hAnsi="宋体" w:cs="宋体" w:eastAsia="宋体" w:hint="default"/>
                <w:sz w:val="18"/>
                <w:szCs w:val="18"/>
              </w:rPr>
              <w:t>现 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righ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41"/>
              <w:jc w:val="left"/>
              <w:rPr>
                <w:rFonts w:ascii="宋体" w:hAnsi="宋体" w:cs="宋体" w:eastAsia="宋体" w:hint="default"/>
                <w:sz w:val="18"/>
                <w:szCs w:val="18"/>
              </w:rPr>
            </w:pPr>
            <w:r>
              <w:rPr>
                <w:rFonts w:ascii="宋体" w:hAnsi="宋体" w:cs="宋体" w:eastAsia="宋体" w:hint="default"/>
                <w:sz w:val="18"/>
                <w:szCs w:val="18"/>
              </w:rPr>
              <w:t>财务负 责人</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04"/>
              <w:jc w:val="left"/>
              <w:rPr>
                <w:rFonts w:ascii="宋体" w:hAnsi="宋体" w:cs="宋体" w:eastAsia="宋体" w:hint="default"/>
                <w:sz w:val="18"/>
                <w:szCs w:val="18"/>
              </w:rPr>
            </w:pPr>
            <w:r>
              <w:rPr>
                <w:rFonts w:ascii="宋体" w:hAnsi="宋体" w:cs="宋体" w:eastAsia="宋体" w:hint="default"/>
                <w:sz w:val="18"/>
                <w:szCs w:val="18"/>
              </w:rPr>
              <w:t>现 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righ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45,506,5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45,506,52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60" w:right="960"/>
        </w:sectPr>
      </w:pPr>
    </w:p>
    <w:p>
      <w:pPr>
        <w:spacing w:line="240" w:lineRule="auto" w:before="8"/>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800"/>
        <w:gridCol w:w="797"/>
        <w:gridCol w:w="499"/>
        <w:gridCol w:w="566"/>
        <w:gridCol w:w="567"/>
        <w:gridCol w:w="1558"/>
        <w:gridCol w:w="711"/>
        <w:gridCol w:w="886"/>
        <w:gridCol w:w="797"/>
        <w:gridCol w:w="800"/>
        <w:gridCol w:w="797"/>
        <w:gridCol w:w="991"/>
      </w:tblGrid>
      <w:tr>
        <w:trPr>
          <w:trHeight w:val="363"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left="172" w:right="94"/>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72"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172" w:right="94"/>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33" w:right="94" w:hanging="361"/>
        <w:jc w:val="left"/>
      </w:pPr>
      <w:r>
        <w:rPr/>
        <w:t>公司现任董事、监事、高级管理人员专业背景、主要工作经历以及目前在公司的主要职责 </w:t>
      </w:r>
      <w:r>
        <w:rPr>
          <w:spacing w:val="-2"/>
        </w:rPr>
        <w:t>杨一兵，男，</w:t>
      </w:r>
      <w:r>
        <w:rPr>
          <w:rFonts w:ascii="Times New Roman" w:hAnsi="Times New Roman" w:cs="Times New Roman" w:eastAsia="Times New Roman" w:hint="default"/>
          <w:spacing w:val="-2"/>
        </w:rPr>
        <w:t>1968</w:t>
      </w:r>
      <w:r>
        <w:rPr>
          <w:spacing w:val="-2"/>
        </w:rPr>
        <w:t>年出生，中国国籍，无境外永久居留权，工业自动化专业博士学历。</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2013</w:t>
      </w:r>
      <w:r>
        <w:rPr>
          <w:spacing w:val="-2"/>
        </w:rPr>
        <w:t>年，担任浙江大学</w:t>
      </w:r>
    </w:p>
    <w:p>
      <w:pPr>
        <w:pStyle w:val="BodyText"/>
        <w:spacing w:line="212" w:lineRule="exact"/>
        <w:ind w:left="172" w:right="0"/>
        <w:jc w:val="left"/>
      </w:pPr>
      <w:r>
        <w:rPr/>
        <w:t>教师；</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2009</w:t>
      </w:r>
      <w:r>
        <w:rPr/>
        <w:t>年，历任浙江浙大中控信息技术有限公司副总经理、总工程师、副总裁；</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2012</w:t>
      </w:r>
      <w:r>
        <w:rPr/>
        <w:t>年，担任北京和</w:t>
      </w:r>
    </w:p>
    <w:p>
      <w:pPr>
        <w:pStyle w:val="BodyText"/>
        <w:spacing w:line="338" w:lineRule="auto" w:before="63"/>
        <w:ind w:left="533" w:right="94" w:hanging="361"/>
        <w:jc w:val="left"/>
      </w:pPr>
      <w:r>
        <w:rPr/>
        <w:t>仁中控数字医疗技术有限公司董事、总经理；</w:t>
      </w:r>
      <w:r>
        <w:rPr>
          <w:rFonts w:ascii="Times New Roman" w:hAnsi="Times New Roman" w:cs="Times New Roman" w:eastAsia="Times New Roman" w:hint="default"/>
        </w:rPr>
        <w:t>2010</w:t>
      </w:r>
      <w:r>
        <w:rPr/>
        <w:t>年至今，担任公司董事长、总经理。 </w:t>
      </w:r>
      <w:r>
        <w:rPr>
          <w:spacing w:val="-2"/>
        </w:rPr>
        <w:t>杨波，男，</w:t>
      </w:r>
      <w:r>
        <w:rPr>
          <w:rFonts w:ascii="Times New Roman" w:hAnsi="Times New Roman" w:cs="Times New Roman" w:eastAsia="Times New Roman" w:hint="default"/>
          <w:spacing w:val="-2"/>
        </w:rPr>
        <w:t>1976</w:t>
      </w:r>
      <w:r>
        <w:rPr>
          <w:spacing w:val="-2"/>
        </w:rPr>
        <w:t>年出生，中国国籍，无境外永久居留权，工业设计专业本科学历。</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2000</w:t>
      </w:r>
      <w:r>
        <w:rPr>
          <w:spacing w:val="-2"/>
        </w:rPr>
        <w:t>年，担任浙江易商软件</w:t>
      </w:r>
    </w:p>
    <w:p>
      <w:pPr>
        <w:pStyle w:val="BodyText"/>
        <w:spacing w:line="230" w:lineRule="exact"/>
        <w:ind w:left="172" w:right="0"/>
        <w:jc w:val="left"/>
      </w:pPr>
      <w:r>
        <w:rPr/>
        <w:t>有限公司网站设计工程师；</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2012</w:t>
      </w:r>
      <w:r>
        <w:rPr/>
        <w:t>年，历任浙江浙大中控信息技术有限公司智能建筑事业部商务总监、智能建筑事业</w:t>
      </w:r>
    </w:p>
    <w:p>
      <w:pPr>
        <w:pStyle w:val="BodyText"/>
        <w:spacing w:line="340" w:lineRule="auto" w:before="63"/>
        <w:ind w:left="533" w:right="94" w:hanging="361"/>
        <w:jc w:val="left"/>
      </w:pPr>
      <w:r>
        <w:rPr/>
        <w:t>部副总经理、智能建筑事业部商务中心总监；</w:t>
      </w:r>
      <w:r>
        <w:rPr>
          <w:rFonts w:ascii="Times New Roman" w:hAnsi="Times New Roman" w:cs="Times New Roman" w:eastAsia="Times New Roman" w:hint="default"/>
        </w:rPr>
        <w:t>2012</w:t>
      </w:r>
      <w:r>
        <w:rPr/>
        <w:t>年至今，担任公司董事、副总经理。 </w:t>
      </w:r>
      <w:r>
        <w:rPr>
          <w:spacing w:val="-2"/>
        </w:rPr>
        <w:t>傅烈勇，男，</w:t>
      </w:r>
      <w:r>
        <w:rPr>
          <w:rFonts w:ascii="Times New Roman" w:hAnsi="Times New Roman" w:cs="Times New Roman" w:eastAsia="Times New Roman" w:hint="default"/>
          <w:spacing w:val="-2"/>
        </w:rPr>
        <w:t>1968</w:t>
      </w:r>
      <w:r>
        <w:rPr>
          <w:spacing w:val="-2"/>
        </w:rPr>
        <w:t>年出生，中国国籍，无境外永久居留权，工业自动化专业博士学历。</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2013</w:t>
      </w:r>
      <w:r>
        <w:rPr>
          <w:spacing w:val="-2"/>
        </w:rPr>
        <w:t>年，担任浙江大学</w:t>
      </w:r>
    </w:p>
    <w:p>
      <w:pPr>
        <w:pStyle w:val="BodyText"/>
        <w:spacing w:line="228" w:lineRule="exact"/>
        <w:ind w:left="172" w:right="0"/>
        <w:jc w:val="left"/>
      </w:pPr>
      <w:r>
        <w:rPr/>
        <w:t>教师；</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2006</w:t>
      </w:r>
      <w:r>
        <w:rPr/>
        <w:t>年，担任中恒世纪科技实业有限公司研发总监、总工程师；</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2011</w:t>
      </w:r>
      <w:r>
        <w:rPr/>
        <w:t>年，担任北京和仁中控数字医</w:t>
      </w:r>
    </w:p>
    <w:p>
      <w:pPr>
        <w:pStyle w:val="BodyText"/>
        <w:spacing w:line="340" w:lineRule="auto" w:before="63"/>
        <w:ind w:left="533" w:right="94" w:hanging="361"/>
        <w:jc w:val="left"/>
      </w:pPr>
      <w:r>
        <w:rPr/>
        <w:t>疗技术有限公司副总经理、董事；</w:t>
      </w:r>
      <w:r>
        <w:rPr>
          <w:rFonts w:ascii="Times New Roman" w:hAnsi="Times New Roman" w:cs="Times New Roman" w:eastAsia="Times New Roman" w:hint="default"/>
        </w:rPr>
        <w:t>2011</w:t>
      </w:r>
      <w:r>
        <w:rPr/>
        <w:t>年至今，担任公司董事、副总经理。 </w:t>
      </w:r>
      <w:r>
        <w:rPr>
          <w:spacing w:val="-2"/>
        </w:rPr>
        <w:t>夏红，女，</w:t>
      </w:r>
      <w:r>
        <w:rPr>
          <w:rFonts w:ascii="Times New Roman" w:hAnsi="Times New Roman" w:cs="Times New Roman" w:eastAsia="Times New Roman" w:hint="default"/>
          <w:spacing w:val="-2"/>
        </w:rPr>
        <w:t>1968</w:t>
      </w:r>
      <w:r>
        <w:rPr>
          <w:spacing w:val="-2"/>
        </w:rPr>
        <w:t>年出生，中国国籍，无境外永久居留权，工业自动化专业硕士学历。</w:t>
      </w:r>
      <w:r>
        <w:rPr>
          <w:rFonts w:ascii="Times New Roman" w:hAnsi="Times New Roman" w:cs="Times New Roman" w:eastAsia="Times New Roman" w:hint="default"/>
          <w:spacing w:val="-2"/>
        </w:rPr>
        <w:t>1990</w:t>
      </w:r>
      <w:r>
        <w:rPr>
          <w:spacing w:val="-2"/>
        </w:rPr>
        <w:t>年至</w:t>
      </w:r>
      <w:r>
        <w:rPr>
          <w:rFonts w:ascii="Times New Roman" w:hAnsi="Times New Roman" w:cs="Times New Roman" w:eastAsia="Times New Roman" w:hint="default"/>
          <w:spacing w:val="-2"/>
        </w:rPr>
        <w:t>1993</w:t>
      </w:r>
      <w:r>
        <w:rPr>
          <w:spacing w:val="-2"/>
        </w:rPr>
        <w:t>年，担任浙江省石油</w:t>
      </w:r>
    </w:p>
    <w:p>
      <w:pPr>
        <w:pStyle w:val="BodyText"/>
        <w:spacing w:line="228" w:lineRule="exact"/>
        <w:ind w:left="533" w:right="94" w:hanging="361"/>
        <w:jc w:val="left"/>
      </w:pPr>
      <w:r>
        <w:rPr>
          <w:spacing w:val="-5"/>
        </w:rPr>
        <w:t>化工自动化技术开发公司技术员；</w:t>
      </w:r>
      <w:r>
        <w:rPr>
          <w:rFonts w:ascii="Times New Roman" w:hAnsi="Times New Roman" w:cs="Times New Roman" w:eastAsia="Times New Roman" w:hint="default"/>
          <w:spacing w:val="-5"/>
        </w:rPr>
        <w:t>1993</w:t>
      </w:r>
      <w:r>
        <w:rPr>
          <w:spacing w:val="-5"/>
        </w:rPr>
        <w:t>年至</w:t>
      </w:r>
      <w:r>
        <w:rPr>
          <w:rFonts w:ascii="Times New Roman" w:hAnsi="Times New Roman" w:cs="Times New Roman" w:eastAsia="Times New Roman" w:hint="default"/>
          <w:spacing w:val="-5"/>
        </w:rPr>
        <w:t>1996</w:t>
      </w:r>
      <w:r>
        <w:rPr>
          <w:spacing w:val="-5"/>
        </w:rPr>
        <w:t>年，在浙江大学学习；</w:t>
      </w:r>
      <w:r>
        <w:rPr>
          <w:rFonts w:ascii="Times New Roman" w:hAnsi="Times New Roman" w:cs="Times New Roman" w:eastAsia="Times New Roman" w:hint="default"/>
          <w:spacing w:val="-5"/>
        </w:rPr>
        <w:t>1996</w:t>
      </w:r>
      <w:r>
        <w:rPr>
          <w:spacing w:val="-5"/>
        </w:rPr>
        <w:t>年至今，担任浙江科技学院教师。现任公司董事。</w:t>
      </w:r>
    </w:p>
    <w:p>
      <w:pPr>
        <w:pStyle w:val="BodyText"/>
        <w:spacing w:line="300" w:lineRule="auto" w:before="101"/>
        <w:ind w:left="172" w:right="169" w:firstLine="360"/>
        <w:jc w:val="both"/>
      </w:pPr>
      <w:r>
        <w:rPr>
          <w:spacing w:val="-2"/>
        </w:rPr>
        <w:t>沈红，女，</w:t>
      </w:r>
      <w:r>
        <w:rPr>
          <w:rFonts w:ascii="Times New Roman" w:hAnsi="Times New Roman" w:cs="Times New Roman" w:eastAsia="Times New Roman" w:hint="default"/>
          <w:spacing w:val="-2"/>
        </w:rPr>
        <w:t>1968</w:t>
      </w:r>
      <w:r>
        <w:rPr>
          <w:spacing w:val="-2"/>
        </w:rPr>
        <w:t>年出生，中国国籍，无境外永久居留权，精密仪器及机械专业硕士学历。</w:t>
      </w:r>
      <w:r>
        <w:rPr>
          <w:rFonts w:ascii="Times New Roman" w:hAnsi="Times New Roman" w:cs="Times New Roman" w:eastAsia="Times New Roman" w:hint="default"/>
          <w:spacing w:val="-2"/>
        </w:rPr>
        <w:t>1993</w:t>
      </w:r>
      <w:r>
        <w:rPr>
          <w:spacing w:val="-2"/>
        </w:rPr>
        <w:t>年至今，历任浙江大学电</w:t>
      </w:r>
      <w:r>
        <w:rPr/>
        <w:t> 气工程学院讲师、副教授。现任公司独立董事。</w:t>
      </w:r>
    </w:p>
    <w:p>
      <w:pPr>
        <w:pStyle w:val="BodyText"/>
        <w:spacing w:line="300" w:lineRule="auto" w:before="72"/>
        <w:ind w:left="172" w:right="171" w:firstLine="360"/>
        <w:jc w:val="both"/>
      </w:pPr>
      <w:r>
        <w:rPr>
          <w:spacing w:val="-2"/>
        </w:rPr>
        <w:t>曹健，男，</w:t>
      </w:r>
      <w:r>
        <w:rPr>
          <w:rFonts w:ascii="Times New Roman" w:hAnsi="Times New Roman" w:cs="Times New Roman" w:eastAsia="Times New Roman" w:hint="default"/>
          <w:spacing w:val="-2"/>
        </w:rPr>
        <w:t>1969</w:t>
      </w:r>
      <w:r>
        <w:rPr>
          <w:spacing w:val="-2"/>
        </w:rPr>
        <w:t>年出生，中国国籍，无境外永久居留权，法学专业本科学历。</w:t>
      </w:r>
      <w:r>
        <w:rPr>
          <w:rFonts w:ascii="Times New Roman" w:hAnsi="Times New Roman" w:cs="Times New Roman" w:eastAsia="Times New Roman" w:hint="default"/>
          <w:spacing w:val="-2"/>
        </w:rPr>
        <w:t>1991</w:t>
      </w:r>
      <w:r>
        <w:rPr>
          <w:spacing w:val="-2"/>
        </w:rPr>
        <w:t>年至</w:t>
      </w:r>
      <w:r>
        <w:rPr>
          <w:rFonts w:ascii="Times New Roman" w:hAnsi="Times New Roman" w:cs="Times New Roman" w:eastAsia="Times New Roman" w:hint="default"/>
          <w:spacing w:val="-2"/>
        </w:rPr>
        <w:t>2004</w:t>
      </w:r>
      <w:r>
        <w:rPr>
          <w:spacing w:val="-2"/>
        </w:rPr>
        <w:t>年，担任浙江浙杭律师事务</w:t>
      </w:r>
      <w:r>
        <w:rPr/>
        <w:t> 所合伙人、律师；</w:t>
      </w:r>
      <w:r>
        <w:rPr>
          <w:rFonts w:ascii="Times New Roman" w:hAnsi="Times New Roman" w:cs="Times New Roman" w:eastAsia="Times New Roman" w:hint="default"/>
        </w:rPr>
        <w:t>2004</w:t>
      </w:r>
      <w:r>
        <w:rPr/>
        <w:t>年至今，担任浙江泽大律师事务所合伙人、律师。现任公司独立董事。</w:t>
      </w:r>
    </w:p>
    <w:p>
      <w:pPr>
        <w:pStyle w:val="BodyText"/>
        <w:spacing w:line="300" w:lineRule="auto" w:before="53"/>
        <w:ind w:left="172" w:right="169" w:firstLine="360"/>
        <w:jc w:val="both"/>
      </w:pPr>
      <w:r>
        <w:rPr>
          <w:spacing w:val="-2"/>
        </w:rPr>
        <w:t>冯忆文，女，</w:t>
      </w:r>
      <w:r>
        <w:rPr>
          <w:rFonts w:ascii="Times New Roman" w:hAnsi="Times New Roman" w:cs="Times New Roman" w:eastAsia="Times New Roman" w:hint="default"/>
          <w:spacing w:val="-2"/>
        </w:rPr>
        <w:t>1969</w:t>
      </w:r>
      <w:r>
        <w:rPr>
          <w:spacing w:val="-2"/>
        </w:rPr>
        <w:t>年出生，中国国籍，无境外永久居留权，生产过程自动化专业本科学历，注册会计师。</w:t>
      </w:r>
      <w:r>
        <w:rPr>
          <w:rFonts w:ascii="Times New Roman" w:hAnsi="Times New Roman" w:cs="Times New Roman" w:eastAsia="Times New Roman" w:hint="default"/>
          <w:spacing w:val="-2"/>
        </w:rPr>
        <w:t>1990</w:t>
      </w:r>
      <w:r>
        <w:rPr>
          <w:spacing w:val="-2"/>
        </w:rPr>
        <w:t>年至</w:t>
      </w:r>
      <w:r>
        <w:rPr>
          <w:rFonts w:ascii="Times New Roman" w:hAnsi="Times New Roman" w:cs="Times New Roman" w:eastAsia="Times New Roman" w:hint="default"/>
          <w:spacing w:val="-2"/>
        </w:rPr>
        <w:t>1993</w:t>
      </w:r>
      <w:r>
        <w:rPr>
          <w:rFonts w:ascii="Times New Roman" w:hAnsi="Times New Roman" w:cs="Times New Roman" w:eastAsia="Times New Roman" w:hint="default"/>
        </w:rPr>
        <w:t> </w:t>
      </w:r>
      <w:r>
        <w:rPr/>
        <w:t>年，担任杭州煤制气厂仪器仪表工程师；</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1998</w:t>
      </w:r>
      <w:r>
        <w:rPr/>
        <w:t>年，担任浙江省卫生医药发展公司财务部主管会计；</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2011</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2"/>
        </w:rPr>
        <w:t>年，担任云南生物谷灯盏花药业有限公司浙江办财务经理；</w:t>
      </w:r>
      <w:r>
        <w:rPr>
          <w:rFonts w:ascii="Times New Roman" w:hAnsi="Times New Roman" w:cs="Times New Roman" w:eastAsia="Times New Roman" w:hint="default"/>
          <w:spacing w:val="-2"/>
        </w:rPr>
        <w:t>2011</w:t>
      </w:r>
      <w:r>
        <w:rPr>
          <w:spacing w:val="-2"/>
        </w:rPr>
        <w:t>年至今，担任浙江韦宁会计师事务所执业注册会计师。现任</w:t>
      </w:r>
      <w:r>
        <w:rPr>
          <w:spacing w:val="-60"/>
        </w:rPr>
        <w:t> </w:t>
      </w:r>
      <w:r>
        <w:rPr>
          <w:spacing w:val="-60"/>
        </w:rPr>
      </w:r>
      <w:r>
        <w:rPr/>
        <w:t>公司独立董事。</w:t>
      </w:r>
    </w:p>
    <w:p>
      <w:pPr>
        <w:pStyle w:val="BodyText"/>
        <w:spacing w:line="360" w:lineRule="auto" w:before="70"/>
        <w:ind w:left="533" w:right="94" w:firstLine="144"/>
        <w:jc w:val="left"/>
      </w:pPr>
      <w:r>
        <w:rPr/>
        <w:t>二、监事人员简历情况 </w:t>
      </w:r>
      <w:r>
        <w:rPr>
          <w:spacing w:val="-2"/>
        </w:rPr>
        <w:t>陈军兵，男，</w:t>
      </w:r>
      <w:r>
        <w:rPr>
          <w:rFonts w:ascii="Times New Roman" w:hAnsi="Times New Roman" w:cs="Times New Roman" w:eastAsia="Times New Roman" w:hint="default"/>
          <w:spacing w:val="-2"/>
        </w:rPr>
        <w:t>1977</w:t>
      </w:r>
      <w:r>
        <w:rPr>
          <w:spacing w:val="-2"/>
        </w:rPr>
        <w:t>年出生，中国国籍，无境外永久居留权，工业设计专业本科学历。</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2001</w:t>
      </w:r>
      <w:r>
        <w:rPr>
          <w:spacing w:val="-2"/>
        </w:rPr>
        <w:t>年，担任浙江大学方</w:t>
      </w:r>
    </w:p>
    <w:p>
      <w:pPr>
        <w:pStyle w:val="BodyText"/>
        <w:spacing w:line="213" w:lineRule="exact"/>
        <w:ind w:left="172" w:right="0"/>
        <w:jc w:val="left"/>
      </w:pPr>
      <w:r>
        <w:rPr/>
        <w:t>圆科技产业有限公司开发工程师；</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2013</w:t>
      </w:r>
      <w:r>
        <w:rPr/>
        <w:t>年，担任浙江浙大中控信息技术有限公司商务主管；</w:t>
      </w:r>
      <w:r>
        <w:rPr>
          <w:rFonts w:ascii="Times New Roman" w:hAnsi="Times New Roman" w:cs="Times New Roman" w:eastAsia="Times New Roman" w:hint="default"/>
        </w:rPr>
        <w:t>2013</w:t>
      </w:r>
      <w:r>
        <w:rPr/>
        <w:t>年至今历任公司商</w:t>
      </w:r>
    </w:p>
    <w:p>
      <w:pPr>
        <w:pStyle w:val="BodyText"/>
        <w:spacing w:line="360" w:lineRule="auto" w:before="63"/>
        <w:ind w:left="533" w:right="94" w:hanging="361"/>
        <w:jc w:val="left"/>
      </w:pPr>
      <w:r>
        <w:rPr/>
        <w:t>务及投资发展部商务主管、商务中心经理，现任公司采购部经理、监事会主席。 </w:t>
      </w:r>
      <w:r>
        <w:rPr>
          <w:spacing w:val="-2"/>
        </w:rPr>
        <w:t>曹洁，女，</w:t>
      </w:r>
      <w:r>
        <w:rPr>
          <w:rFonts w:ascii="Times New Roman" w:hAnsi="Times New Roman" w:cs="Times New Roman" w:eastAsia="Times New Roman" w:hint="default"/>
          <w:spacing w:val="-2"/>
        </w:rPr>
        <w:t>1981</w:t>
      </w:r>
      <w:r>
        <w:rPr>
          <w:spacing w:val="-2"/>
        </w:rPr>
        <w:t>年出生，中国国籍，无境外永久居留权，电子商务专业大专学历。</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2007</w:t>
      </w:r>
      <w:r>
        <w:rPr>
          <w:spacing w:val="-2"/>
        </w:rPr>
        <w:t>年，担任新太科技股份</w:t>
      </w:r>
    </w:p>
    <w:p>
      <w:pPr>
        <w:pStyle w:val="BodyText"/>
        <w:spacing w:line="212" w:lineRule="exact"/>
        <w:ind w:left="172" w:right="0"/>
        <w:jc w:val="left"/>
      </w:pPr>
      <w:r>
        <w:rPr/>
        <w:t>有限公司总经理助理；</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2011</w:t>
      </w:r>
      <w:r>
        <w:rPr/>
        <w:t>年，担任杭州正方软件股份有限公司办公室主任；</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2012</w:t>
      </w:r>
      <w:r>
        <w:rPr/>
        <w:t>年，担任浙江大华技术</w:t>
      </w:r>
    </w:p>
    <w:p>
      <w:pPr>
        <w:pStyle w:val="BodyText"/>
        <w:spacing w:line="338" w:lineRule="auto" w:before="63"/>
        <w:ind w:left="533" w:right="94" w:hanging="361"/>
        <w:jc w:val="left"/>
      </w:pPr>
      <w:r>
        <w:rPr/>
        <w:t>股份有限公司资质管理专员；</w:t>
      </w:r>
      <w:r>
        <w:rPr>
          <w:rFonts w:ascii="Times New Roman" w:hAnsi="Times New Roman" w:cs="Times New Roman" w:eastAsia="Times New Roman" w:hint="default"/>
        </w:rPr>
        <w:t>2012</w:t>
      </w:r>
      <w:r>
        <w:rPr/>
        <w:t>年至今历任公司技术管理工程师、总经理助理，现任公司副总经理助理、监事。 </w:t>
      </w:r>
      <w:r>
        <w:rPr>
          <w:spacing w:val="-2"/>
        </w:rPr>
        <w:t>陶蓉，女，</w:t>
      </w:r>
      <w:r>
        <w:rPr>
          <w:rFonts w:ascii="Times New Roman" w:hAnsi="Times New Roman" w:cs="Times New Roman" w:eastAsia="Times New Roman" w:hint="default"/>
          <w:spacing w:val="-2"/>
        </w:rPr>
        <w:t>1980</w:t>
      </w:r>
      <w:r>
        <w:rPr>
          <w:spacing w:val="-2"/>
        </w:rPr>
        <w:t>年出生，护理学专业本科学历，中国国籍，无境外永久居留权。</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2010</w:t>
      </w:r>
      <w:r>
        <w:rPr>
          <w:spacing w:val="-2"/>
        </w:rPr>
        <w:t>年，浙江省台州市立医院</w:t>
      </w:r>
    </w:p>
    <w:p>
      <w:pPr>
        <w:pStyle w:val="BodyText"/>
        <w:spacing w:line="230" w:lineRule="exact"/>
        <w:ind w:left="172" w:right="0"/>
        <w:jc w:val="left"/>
      </w:pPr>
      <w:r>
        <w:rPr/>
        <w:t>护理部护师。</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2011</w:t>
      </w:r>
      <w:r>
        <w:rPr/>
        <w:t>年，担任北京和仁中控数字医疗技术有限公司市场部职员；</w:t>
      </w:r>
      <w:r>
        <w:rPr>
          <w:rFonts w:ascii="Times New Roman" w:hAnsi="Times New Roman" w:cs="Times New Roman" w:eastAsia="Times New Roman" w:hint="default"/>
        </w:rPr>
        <w:t>2011</w:t>
      </w:r>
      <w:r>
        <w:rPr/>
        <w:t>年至今历任公司技术中心、商务</w:t>
      </w:r>
    </w:p>
    <w:p>
      <w:pPr>
        <w:pStyle w:val="BodyText"/>
        <w:spacing w:line="360" w:lineRule="auto" w:before="63"/>
        <w:ind w:left="533" w:right="4574" w:hanging="361"/>
        <w:jc w:val="left"/>
      </w:pPr>
      <w:r>
        <w:rPr/>
        <w:t>及投资发展部职员，现任公司董事会办公室主任、职工代表监事。 三、高级管理人员简历情况</w:t>
      </w:r>
    </w:p>
    <w:p>
      <w:pPr>
        <w:pStyle w:val="BodyText"/>
        <w:spacing w:line="338" w:lineRule="auto" w:before="27"/>
        <w:ind w:left="533" w:right="6933"/>
        <w:jc w:val="left"/>
      </w:pPr>
      <w:r>
        <w:rPr/>
        <w:t>杨一兵，详见</w:t>
      </w:r>
      <w:r>
        <w:rPr>
          <w:rFonts w:ascii="Times New Roman" w:hAnsi="Times New Roman" w:cs="Times New Roman" w:eastAsia="Times New Roman" w:hint="default"/>
        </w:rPr>
        <w:t>“</w:t>
      </w:r>
      <w:r>
        <w:rPr/>
        <w:t>董事简历情况</w:t>
      </w:r>
      <w:r>
        <w:rPr>
          <w:rFonts w:ascii="Times New Roman" w:hAnsi="Times New Roman" w:cs="Times New Roman" w:eastAsia="Times New Roman" w:hint="default"/>
        </w:rPr>
        <w:t>”</w:t>
      </w:r>
      <w:r>
        <w:rPr/>
        <w:t>。 杨波，详见</w:t>
      </w:r>
      <w:r>
        <w:rPr>
          <w:rFonts w:ascii="Times New Roman" w:hAnsi="Times New Roman" w:cs="Times New Roman" w:eastAsia="Times New Roman" w:hint="default"/>
        </w:rPr>
        <w:t>“</w:t>
      </w:r>
      <w:r>
        <w:rPr/>
        <w:t>董事简历情况</w:t>
      </w:r>
      <w:r>
        <w:rPr>
          <w:rFonts w:ascii="Times New Roman" w:hAnsi="Times New Roman" w:cs="Times New Roman" w:eastAsia="Times New Roman" w:hint="default"/>
        </w:rPr>
        <w:t>”</w:t>
      </w:r>
      <w:r>
        <w:rPr/>
        <w:t>。 傅烈勇，详见</w:t>
      </w:r>
      <w:r>
        <w:rPr>
          <w:rFonts w:ascii="Times New Roman" w:hAnsi="Times New Roman" w:cs="Times New Roman" w:eastAsia="Times New Roman" w:hint="default"/>
        </w:rPr>
        <w:t>“</w:t>
      </w:r>
      <w:r>
        <w:rPr/>
        <w:t>董事简历情况</w:t>
      </w:r>
      <w:r>
        <w:rPr>
          <w:rFonts w:ascii="Times New Roman" w:hAnsi="Times New Roman" w:cs="Times New Roman" w:eastAsia="Times New Roman" w:hint="default"/>
        </w:rPr>
        <w:t>”</w:t>
      </w:r>
      <w:r>
        <w:rPr/>
        <w:t>。</w:t>
      </w:r>
    </w:p>
    <w:p>
      <w:pPr>
        <w:spacing w:after="0" w:line="338" w:lineRule="auto"/>
        <w:jc w:val="left"/>
        <w:sectPr>
          <w:pgSz w:w="11910" w:h="16840"/>
          <w:pgMar w:header="877" w:footer="1186" w:top="1100" w:bottom="1380" w:left="960" w:right="960"/>
        </w:sectPr>
      </w:pPr>
    </w:p>
    <w:p>
      <w:pPr>
        <w:spacing w:line="240" w:lineRule="auto" w:before="11"/>
        <w:rPr>
          <w:rFonts w:ascii="宋体" w:hAnsi="宋体" w:cs="宋体" w:eastAsia="宋体" w:hint="default"/>
          <w:sz w:val="21"/>
          <w:szCs w:val="21"/>
        </w:rPr>
      </w:pPr>
    </w:p>
    <w:p>
      <w:pPr>
        <w:pStyle w:val="BodyText"/>
        <w:spacing w:line="300" w:lineRule="auto" w:before="44"/>
        <w:ind w:right="188" w:firstLine="360"/>
        <w:jc w:val="both"/>
      </w:pPr>
      <w:r>
        <w:rPr>
          <w:spacing w:val="-2"/>
        </w:rPr>
        <w:t>章逸，女，</w:t>
      </w:r>
      <w:r>
        <w:rPr>
          <w:rFonts w:ascii="Times New Roman" w:hAnsi="Times New Roman" w:cs="Times New Roman" w:eastAsia="Times New Roman" w:hint="default"/>
          <w:spacing w:val="-2"/>
        </w:rPr>
        <w:t>1984</w:t>
      </w:r>
      <w:r>
        <w:rPr>
          <w:spacing w:val="-2"/>
        </w:rPr>
        <w:t>年出生，中国国籍，无境外永久居留权，国际经济与贸易专业本科学历。</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2006</w:t>
      </w:r>
      <w:r>
        <w:rPr>
          <w:spacing w:val="-2"/>
        </w:rPr>
        <w:t>年，担任北京现</w:t>
      </w:r>
      <w:r>
        <w:rPr/>
        <w:t> 代乐手广告有限公司策划事业部总监；</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2007</w:t>
      </w:r>
      <w:r>
        <w:rPr/>
        <w:t>年，担任北京蔼迪垦文化发展有限公司高级项目经理；</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2009</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2"/>
        </w:rPr>
        <w:t>年，担任北京七海达之国际广告有限公司客户总监；</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2011</w:t>
      </w:r>
      <w:r>
        <w:rPr>
          <w:spacing w:val="-2"/>
        </w:rPr>
        <w:t>年，担任西藏珠峰冰川水资源开发有限公司品牌管理中心</w:t>
      </w:r>
      <w:r>
        <w:rPr>
          <w:spacing w:val="-58"/>
        </w:rPr>
        <w:t> </w:t>
      </w:r>
      <w:r>
        <w:rPr>
          <w:spacing w:val="-58"/>
        </w:rPr>
      </w:r>
      <w:r>
        <w:rPr/>
        <w:t>负责人；</w:t>
      </w:r>
      <w:r>
        <w:rPr>
          <w:rFonts w:ascii="Times New Roman" w:hAnsi="Times New Roman" w:cs="Times New Roman" w:eastAsia="Times New Roman" w:hint="default"/>
        </w:rPr>
        <w:t>2011</w:t>
      </w:r>
      <w:r>
        <w:rPr/>
        <w:t>年至今历任公司商务及投资发展部副经理、公司副总经理、董事会秘书。</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月取得深圳证券交易所颁发</w:t>
      </w:r>
      <w:r>
        <w:rPr>
          <w:spacing w:val="-85"/>
        </w:rPr>
        <w:t> </w:t>
      </w:r>
      <w:r>
        <w:rPr/>
        <w:t>的《董事会秘书资格证书》。</w:t>
      </w:r>
    </w:p>
    <w:p>
      <w:pPr>
        <w:pStyle w:val="BodyText"/>
        <w:spacing w:line="300" w:lineRule="auto" w:before="72"/>
        <w:ind w:right="94" w:firstLine="360"/>
        <w:jc w:val="left"/>
      </w:pPr>
      <w:r>
        <w:rPr/>
        <w:t>张雪峰，女，</w:t>
      </w:r>
      <w:r>
        <w:rPr>
          <w:rFonts w:ascii="Times New Roman" w:hAnsi="Times New Roman" w:cs="Times New Roman" w:eastAsia="Times New Roman" w:hint="default"/>
        </w:rPr>
        <w:t>1982</w:t>
      </w:r>
      <w:r>
        <w:rPr/>
        <w:t>年出生，中国国籍，无境外永久居留权，会计学专业本科学历，中国注册会计师，</w:t>
      </w:r>
      <w:r>
        <w:rPr>
          <w:rFonts w:ascii="Times New Roman" w:hAnsi="Times New Roman" w:cs="Times New Roman" w:eastAsia="Times New Roman" w:hint="default"/>
        </w:rPr>
        <w:t>ACCA</w:t>
      </w:r>
      <w:r>
        <w:rPr/>
        <w:t>注册会员。 </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2007</w:t>
      </w:r>
      <w:r>
        <w:rPr>
          <w:spacing w:val="-2"/>
        </w:rPr>
        <w:t>年，担任中国银行股份有限公司镇江分行计划财务部产品及资金经理；</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2014</w:t>
      </w:r>
      <w:r>
        <w:rPr>
          <w:spacing w:val="-2"/>
        </w:rPr>
        <w:t>年，担任立信会计师事务</w:t>
      </w:r>
      <w:r>
        <w:rPr>
          <w:spacing w:val="-53"/>
        </w:rPr>
        <w:t> </w:t>
      </w:r>
      <w:r>
        <w:rPr>
          <w:spacing w:val="-53"/>
        </w:rPr>
      </w:r>
      <w:r>
        <w:rPr/>
        <w:t>所（特殊普通合伙）浙江分所审计经理；</w:t>
      </w:r>
      <w:r>
        <w:rPr>
          <w:rFonts w:ascii="Times New Roman" w:hAnsi="Times New Roman" w:cs="Times New Roman" w:eastAsia="Times New Roman" w:hint="default"/>
        </w:rPr>
        <w:t>2014</w:t>
      </w:r>
      <w:r>
        <w:rPr/>
        <w:t>年至今担任公司财务负责人。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240" w:lineRule="auto"/>
        <w:ind w:right="94"/>
        <w:jc w:val="left"/>
      </w:pPr>
      <w:r>
        <w:rPr/>
        <w:t>在股东单位任职情况</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0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2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319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杭州磐鸿投资管理合伙企业（有限合伙</w:t>
            </w:r>
          </w:p>
        </w:tc>
        <w:tc>
          <w:tcPr>
            <w:tcW w:w="1066" w:type="dxa"/>
            <w:tcBorders>
              <w:top w:val="single" w:sz="4" w:space="0" w:color="000000"/>
              <w:left w:val="single" w:sz="13" w:space="0" w:color="FFFFFF"/>
              <w:bottom w:val="single" w:sz="4" w:space="0" w:color="000000"/>
              <w:right w:val="single" w:sz="4" w:space="0" w:color="000000"/>
            </w:tcBorders>
          </w:tcPr>
          <w:p>
            <w:pPr>
              <w:pStyle w:val="TableParagraph"/>
              <w:spacing w:line="196" w:lineRule="exact" w:before="56"/>
              <w:ind w:left="12"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155"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5" w:lineRule="exact"/>
              <w:ind w:left="12" w:right="0"/>
              <w:jc w:val="left"/>
              <w:rPr>
                <w:rFonts w:ascii="宋体" w:hAnsi="宋体" w:cs="宋体" w:eastAsia="宋体" w:hint="default"/>
                <w:sz w:val="18"/>
                <w:szCs w:val="18"/>
              </w:rPr>
            </w:pPr>
            <w:r>
              <w:rPr>
                <w:rFonts w:ascii="宋体" w:hAnsi="宋体" w:cs="宋体" w:eastAsia="宋体" w:hint="default"/>
                <w:sz w:val="18"/>
                <w:szCs w:val="18"/>
              </w:rPr>
              <w:t>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杭州磐源投资管理有限公司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94"/>
        <w:jc w:val="left"/>
      </w:pPr>
      <w:r>
        <w:rPr/>
        <w:pict>
          <v:group style="position:absolute;margin-left:277.609985pt;margin-top:-71.398277pt;width:50.45pt;height:35.2pt;mso-position-horizontal-relative:page;mso-position-vertical-relative:paragraph;z-index:-803056" coordorigin="5552,-1428" coordsize="1009,704">
            <v:group style="position:absolute;left:5552;top:-1428;width:1009;height:351" coordorigin="5552,-1428" coordsize="1009,351">
              <v:shape style="position:absolute;left:5552;top:-1428;width:1009;height:351" coordorigin="5552,-1428" coordsize="1009,351" path="m5552,-1078l6561,-1078,6561,-1428,5552,-1428,5552,-1078xe" filled="true" fillcolor="#ffffff" stroked="false">
                <v:path arrowok="t"/>
                <v:fill type="solid"/>
              </v:shape>
            </v:group>
            <v:group style="position:absolute;left:5552;top:-1078;width:1009;height:353" coordorigin="5552,-1078" coordsize="1009,353">
              <v:shape style="position:absolute;left:5552;top:-1078;width:1009;height:353" coordorigin="5552,-1078" coordsize="1009,353" path="m5552,-725l6561,-725,6561,-1078,5552,-1078,5552,-725xe" filled="true" fillcolor="#ffffff" stroked="false">
                <v:path arrowok="t"/>
                <v:fill type="solid"/>
              </v:shape>
            </v:group>
            <w10:wrap type="none"/>
          </v:group>
        </w:pict>
      </w:r>
      <w:r>
        <w:rPr/>
        <w:t>在其他单位任职情况</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曹健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浙江泽大律师事务所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pacing w:val="-12"/>
                <w:sz w:val="18"/>
                <w:szCs w:val="18"/>
              </w:rPr>
              <w:t>合伙人、事务</w:t>
            </w:r>
            <w:r>
              <w:rPr>
                <w:rFonts w:ascii="宋体" w:hAnsi="宋体" w:cs="宋体" w:eastAsia="宋体" w:hint="default"/>
                <w:sz w:val="18"/>
                <w:szCs w:val="18"/>
              </w:rPr>
              <w:t> </w:t>
            </w:r>
            <w:r>
              <w:rPr>
                <w:rFonts w:ascii="宋体" w:hAnsi="宋体" w:cs="宋体" w:eastAsia="宋体" w:hint="default"/>
                <w:spacing w:val="-12"/>
                <w:sz w:val="18"/>
                <w:szCs w:val="18"/>
              </w:rPr>
              <w:t>所副主任、三</w:t>
            </w:r>
            <w:r>
              <w:rPr>
                <w:rFonts w:ascii="宋体" w:hAnsi="宋体" w:cs="宋体" w:eastAsia="宋体" w:hint="default"/>
                <w:sz w:val="18"/>
                <w:szCs w:val="18"/>
              </w:rPr>
              <w:t> 级律师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浙江大学电气学院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浙江科技学院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冯忆文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浙江韦宁会计师事务所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执业注册会 计师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94"/>
        <w:jc w:val="left"/>
      </w:pPr>
      <w:r>
        <w:rPr/>
        <w:t>公司现任及报告期内离任董事、监事和高级管理人员近三年证券监管机构处罚的情况</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3" w:right="94" w:hanging="361"/>
        <w:jc w:val="left"/>
      </w:pPr>
      <w:r>
        <w:rPr/>
        <w:t>董事、监事、高级管理人员报酬的决策程序、确定依据、实际支付情况 </w:t>
      </w:r>
      <w:r>
        <w:rPr>
          <w:spacing w:val="-2"/>
        </w:rPr>
        <w:t>决策程序：公司董事、监事、高级管理人员根据公司薪酬制度，依据经营业绩和个人绩效考核结果确定薪酬。公司严格</w:t>
      </w:r>
    </w:p>
    <w:p>
      <w:pPr>
        <w:pStyle w:val="BodyText"/>
        <w:spacing w:line="222" w:lineRule="exact"/>
        <w:ind w:right="0"/>
        <w:jc w:val="left"/>
      </w:pPr>
      <w:r>
        <w:rPr/>
        <w:t>按照董事、监事、高级管理人员薪酬的决策程序与确定依据支付薪酬。公司董事、监事报酬由股东大会决定，高级管理人员</w:t>
      </w:r>
    </w:p>
    <w:p>
      <w:pPr>
        <w:pStyle w:val="BodyText"/>
        <w:spacing w:line="357" w:lineRule="auto" w:before="76"/>
        <w:ind w:left="513" w:right="94" w:hanging="361"/>
        <w:jc w:val="left"/>
      </w:pPr>
      <w:r>
        <w:rPr/>
        <w:t>报酬由董事会决定。 </w:t>
      </w:r>
      <w:r>
        <w:rPr>
          <w:spacing w:val="-2"/>
        </w:rPr>
        <w:t>确定依据：公司董事、监事和高级管理人员的报酬按照公司董事会《薪酬与考核委员会工作细则》的规定，结合其绩效</w:t>
      </w:r>
    </w:p>
    <w:p>
      <w:pPr>
        <w:pStyle w:val="BodyText"/>
        <w:spacing w:line="224" w:lineRule="exact"/>
        <w:ind w:right="94"/>
        <w:jc w:val="left"/>
      </w:pPr>
      <w:r>
        <w:rPr/>
        <w:t>考核、工作职级等确定并发放。</w:t>
      </w:r>
    </w:p>
    <w:p>
      <w:pPr>
        <w:spacing w:after="0" w:line="224" w:lineRule="exact"/>
        <w:jc w:val="left"/>
        <w:sectPr>
          <w:pgSz w:w="11910" w:h="16840"/>
          <w:pgMar w:header="877" w:footer="1186" w:top="1100" w:bottom="138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513" w:right="0"/>
        <w:jc w:val="left"/>
      </w:pPr>
      <w:r>
        <w:rPr/>
        <w:t>实际支付情况：</w:t>
      </w:r>
      <w:r>
        <w:rPr>
          <w:rFonts w:ascii="Times New Roman" w:hAnsi="Times New Roman" w:cs="Times New Roman" w:eastAsia="Times New Roman" w:hint="default"/>
        </w:rPr>
        <w:t>2017</w:t>
      </w:r>
      <w:r>
        <w:rPr/>
        <w:t>年度，董事、监事和高级高管理人员报酬总额为</w:t>
      </w:r>
      <w:r>
        <w:rPr>
          <w:rFonts w:ascii="Times New Roman" w:hAnsi="Times New Roman" w:cs="Times New Roman" w:eastAsia="Times New Roman" w:hint="default"/>
        </w:rPr>
        <w:t>241.4</w:t>
      </w:r>
      <w:r>
        <w:rPr/>
        <w:t>万元。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right="0"/>
        <w:jc w:val="left"/>
      </w:pPr>
      <w:r>
        <w:rPr/>
        <w:t>公司报告期内董事、监事和高级管理人员报酬情况</w:t>
      </w:r>
    </w:p>
    <w:p>
      <w:pPr>
        <w:pStyle w:val="BodyText"/>
        <w:spacing w:line="240" w:lineRule="auto" w:before="115"/>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董事、高级副总 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傅烈勇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董事、高级副总 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冯忆文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陈军兵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监事会主席、采 购部经理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陶蓉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职工代表监事、 董事会办公室主 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监事、副总裁助 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241.4</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186" w:top="1100" w:bottom="1380" w:left="980" w:right="980"/>
        </w:sectPr>
      </w:pPr>
    </w:p>
    <w:p>
      <w:pPr>
        <w:pStyle w:val="BodyText"/>
        <w:spacing w:line="240" w:lineRule="auto" w:before="49"/>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pict>
          <v:shape style="position:absolute;margin-left:101.419998pt;margin-top:84.551712pt;width:85.2pt;height:15.6pt;mso-position-horizontal-relative:page;mso-position-vertical-relative:paragraph;z-index:-803008" type="#_x0000_t202" filled="false" stroked="false">
            <v:textbox inset="0,0,0,0">
              <w:txbxContent>
                <w:p>
                  <w:pPr>
                    <w:pStyle w:val="BodyText"/>
                    <w:spacing w:line="240" w:lineRule="auto" w:before="49"/>
                    <w:ind w:left="0" w:right="0"/>
                    <w:jc w:val="left"/>
                  </w:pPr>
                  <w:r>
                    <w:rPr/>
                    <w:t>副总经理、</w:t>
                  </w:r>
                </w:p>
              </w:txbxContent>
            </v:textbox>
            <w10:wrap type="none"/>
          </v:shape>
        </w:pict>
      </w:r>
      <w:r>
        <w:rPr/>
        <w:t>单位：股</w:t>
      </w:r>
    </w:p>
    <w:p>
      <w:pPr>
        <w:spacing w:after="0" w:line="240" w:lineRule="auto"/>
        <w:jc w:val="left"/>
        <w:sectPr>
          <w:type w:val="continuous"/>
          <w:pgSz w:w="11910" w:h="16840"/>
          <w:pgMar w:top="1100" w:bottom="280" w:left="980" w:right="980"/>
          <w:cols w:num="2" w:equalWidth="0">
            <w:col w:w="4653" w:space="4267"/>
            <w:col w:w="103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1"/>
        <w:gridCol w:w="869"/>
        <w:gridCol w:w="872"/>
        <w:gridCol w:w="869"/>
        <w:gridCol w:w="871"/>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0"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71"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5" w:right="43" w:hanging="2"/>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before="1"/>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章逸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13"/>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3pt;height:15.6pt;mso-position-horizontal-relative:char;mso-position-vertical-relative:line" coordorigin="0,0" coordsize="860,312">
                  <v:group style="position:absolute;left:0;top:0;width:860;height:312" coordorigin="0,0" coordsize="860,312">
                    <v:shape style="position:absolute;left:0;top:0;width:860;height:312" coordorigin="0,0" coordsize="860,312" path="m0,312l859,312,859,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6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备注（如</w:t>
            </w:r>
          </w:p>
        </w:tc>
        <w:tc>
          <w:tcPr>
            <w:tcW w:w="870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日召</w:t>
            </w:r>
            <w:r>
              <w:rPr>
                <w:rFonts w:ascii="宋体" w:hAnsi="宋体" w:cs="宋体" w:eastAsia="宋体" w:hint="default"/>
                <w:spacing w:val="-3"/>
                <w:sz w:val="18"/>
                <w:szCs w:val="18"/>
              </w:rPr>
              <w:t>开</w:t>
            </w:r>
            <w:r>
              <w:rPr>
                <w:rFonts w:ascii="宋体" w:hAnsi="宋体" w:cs="宋体" w:eastAsia="宋体" w:hint="default"/>
                <w:sz w:val="18"/>
                <w:szCs w:val="18"/>
              </w:rPr>
              <w:t>董事会审议通</w:t>
            </w:r>
            <w:r>
              <w:rPr>
                <w:rFonts w:ascii="宋体" w:hAnsi="宋体" w:cs="宋体" w:eastAsia="宋体" w:hint="default"/>
                <w:spacing w:val="-92"/>
                <w:sz w:val="18"/>
                <w:szCs w:val="18"/>
              </w:rPr>
              <w:t>过</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年限</w:t>
            </w:r>
            <w:r>
              <w:rPr>
                <w:rFonts w:ascii="宋体" w:hAnsi="宋体" w:cs="宋体" w:eastAsia="宋体" w:hint="default"/>
                <w:spacing w:val="-3"/>
                <w:sz w:val="18"/>
                <w:szCs w:val="18"/>
              </w:rPr>
              <w:t>制</w:t>
            </w:r>
            <w:r>
              <w:rPr>
                <w:rFonts w:ascii="宋体" w:hAnsi="宋体" w:cs="宋体" w:eastAsia="宋体" w:hint="default"/>
                <w:sz w:val="18"/>
                <w:szCs w:val="18"/>
              </w:rPr>
              <w:t>性股票激励计划的议案</w:t>
            </w:r>
            <w:r>
              <w:rPr>
                <w:rFonts w:ascii="宋体" w:hAnsi="宋体" w:cs="宋体" w:eastAsia="宋体" w:hint="default"/>
                <w:spacing w:val="-92"/>
                <w:sz w:val="18"/>
                <w:szCs w:val="18"/>
              </w:rPr>
              <w:t>》，</w:t>
            </w:r>
            <w:r>
              <w:rPr>
                <w:rFonts w:ascii="宋体" w:hAnsi="宋体" w:cs="宋体" w:eastAsia="宋体" w:hint="default"/>
                <w:sz w:val="18"/>
                <w:szCs w:val="18"/>
              </w:rPr>
              <w:t>股</w:t>
            </w:r>
            <w:r>
              <w:rPr>
                <w:rFonts w:ascii="宋体" w:hAnsi="宋体" w:cs="宋体" w:eastAsia="宋体" w:hint="default"/>
                <w:spacing w:val="2"/>
                <w:sz w:val="18"/>
                <w:szCs w:val="18"/>
              </w:rPr>
              <w:t>权</w:t>
            </w:r>
            <w:r>
              <w:rPr>
                <w:rFonts w:ascii="宋体" w:hAnsi="宋体" w:cs="宋体" w:eastAsia="宋体" w:hint="default"/>
                <w:sz w:val="18"/>
                <w:szCs w:val="18"/>
              </w:rPr>
              <w:t>激励计划经公司</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2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63"/>
        <w:gridCol w:w="8702"/>
      </w:tblGrid>
      <w:tr>
        <w:trPr>
          <w:trHeight w:val="1299"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有）</w:t>
            </w:r>
          </w:p>
        </w:tc>
        <w:tc>
          <w:tcPr>
            <w:tcW w:w="8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日召开董事会确定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日为授予日，向授予对</w:t>
            </w:r>
            <w:r>
              <w:rPr>
                <w:rFonts w:ascii="宋体" w:hAnsi="宋体" w:cs="宋体" w:eastAsia="宋体" w:hint="default"/>
                <w:spacing w:val="-3"/>
                <w:sz w:val="18"/>
                <w:szCs w:val="18"/>
              </w:rPr>
              <w:t>象</w:t>
            </w:r>
            <w:r>
              <w:rPr>
                <w:rFonts w:ascii="宋体" w:hAnsi="宋体" w:cs="宋体" w:eastAsia="宋体" w:hint="default"/>
                <w:sz w:val="18"/>
                <w:szCs w:val="18"/>
              </w:rPr>
              <w:t>授予限制性股票。因此对于本报告期（</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公司仅审议了相关议案，激励对象实际获授限制性股份是在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年。详细内容见公司披露于巨潮资讯网</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）的公告。</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0"/>
        <w:rPr>
          <w:rFonts w:ascii="宋体" w:hAnsi="宋体" w:cs="宋体" w:eastAsia="宋体" w:hint="default"/>
          <w:b/>
          <w:bCs/>
          <w:sz w:val="22"/>
          <w:szCs w:val="22"/>
        </w:rPr>
      </w:pPr>
    </w:p>
    <w:p>
      <w:pPr>
        <w:spacing w:line="240" w:lineRule="auto" w:before="13"/>
        <w:rPr>
          <w:rFonts w:ascii="宋体" w:hAnsi="宋体" w:cs="宋体" w:eastAsia="宋体" w:hint="default"/>
          <w:b/>
          <w:bCs/>
          <w:sz w:val="27"/>
          <w:szCs w:val="27"/>
        </w:rPr>
      </w:pPr>
    </w:p>
    <w:p>
      <w:pPr>
        <w:pStyle w:val="BodyText"/>
        <w:spacing w:line="316" w:lineRule="auto"/>
        <w:ind w:right="144"/>
        <w:jc w:val="left"/>
      </w:pPr>
      <w:r>
        <w:rPr>
          <w:rFonts w:ascii="宋体" w:hAnsi="宋体" w:cs="宋体" w:eastAsia="宋体" w:hint="default"/>
        </w:rPr>
        <w:t>1</w:t>
      </w:r>
      <w:r>
        <w:rPr/>
        <w:t>、竞争力与公平性相结合。公司薪酬水平保持适当的市场竞争力，并通过薪酬管理保持薪酬状况的对外、对内、对个人公</w:t>
      </w:r>
      <w:r>
        <w:rPr>
          <w:spacing w:val="-84"/>
        </w:rPr>
        <w:t> </w:t>
      </w:r>
      <w:r>
        <w:rPr>
          <w:spacing w:val="-84"/>
        </w:rPr>
      </w:r>
      <w:r>
        <w:rPr/>
        <w:t>平。 </w:t>
      </w:r>
      <w:r>
        <w:rPr>
          <w:rFonts w:ascii="宋体" w:hAnsi="宋体" w:cs="宋体" w:eastAsia="宋体" w:hint="default"/>
        </w:rPr>
        <w:t>2</w:t>
      </w:r>
      <w:r>
        <w:rPr/>
        <w:t>、职位、能力与业绩导向。确定员工薪酬的主要依据是员工职位的价值、个人能力与业绩三大因素。同时参考不同区域当</w:t>
      </w:r>
      <w:r>
        <w:rPr>
          <w:spacing w:val="-84"/>
        </w:rPr>
        <w:t> </w:t>
      </w:r>
      <w:r>
        <w:rPr>
          <w:spacing w:val="-84"/>
        </w:rPr>
      </w:r>
      <w:r>
        <w:rPr/>
        <w:t>地的社会薪酬水平和标准。</w:t>
      </w:r>
    </w:p>
    <w:p>
      <w:pPr>
        <w:spacing w:after="0" w:line="316" w:lineRule="auto"/>
        <w:jc w:val="left"/>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firstLine="288"/>
        <w:jc w:val="both"/>
      </w:pPr>
      <w:r>
        <w:rPr>
          <w:spacing w:val="-1"/>
        </w:rPr>
        <w:t>公司致力于建设学习型组织，大力打造全方位的人才培养体系，制订完善了《培训管理制度》、《讲师及课程开发管理</w:t>
      </w:r>
      <w:r>
        <w:rPr/>
        <w:t> </w:t>
      </w:r>
      <w:r>
        <w:rPr>
          <w:spacing w:val="-2"/>
        </w:rPr>
        <w:t>办法》等培训相关制度，鼓励知识分享，促进学习氛围营造，同时采取内外部培训相结合的方式，以提升全员综合能力为基</w:t>
      </w:r>
      <w:r>
        <w:rPr>
          <w:spacing w:val="-67"/>
        </w:rPr>
        <w:t> </w:t>
      </w:r>
      <w:r>
        <w:rPr>
          <w:spacing w:val="-67"/>
        </w:rPr>
      </w:r>
      <w:r>
        <w:rPr>
          <w:spacing w:val="-2"/>
        </w:rPr>
        <w:t>础，以提高员工实际岗位技能、团队协作融合和工作绩效为核心，重点开展了梯队管理能力提升、项目管理、营销管理、新</w:t>
      </w:r>
      <w:r>
        <w:rPr>
          <w:spacing w:val="-70"/>
        </w:rPr>
        <w:t> </w:t>
      </w:r>
      <w:r>
        <w:rPr>
          <w:spacing w:val="-70"/>
        </w:rPr>
      </w:r>
      <w:r>
        <w:rPr/>
        <w:t>员工培养等专项系列培训，全面促进员工成长与发展和员工队伍整体竞争力提升，助力公司战略目标的顺利达成。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186"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590" w:right="3626"/>
        <w:jc w:val="center"/>
        <w:rPr>
          <w:b w:val="0"/>
          <w:bCs w:val="0"/>
        </w:rPr>
      </w:pPr>
      <w:bookmarkStart w:name="_bookmark7" w:id="8"/>
      <w:bookmarkEnd w:id="8"/>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6"/>
        </w:rPr>
        <w:t>报告期内，公司严格按照《公司法》、《证券法》、《上市公司治理准则》、《深圳证券交易所股票上市规则》等法律、</w:t>
      </w:r>
      <w:r>
        <w:rPr/>
        <w:t> </w:t>
      </w:r>
      <w:r>
        <w:rPr>
          <w:spacing w:val="-2"/>
        </w:rPr>
        <w:t>法规和中国证监会有关法律法规等的要求，不断完善公司的法人治理结构，建立健全公司内部管理和控制制度，持续深入开</w:t>
      </w:r>
      <w:r>
        <w:rPr>
          <w:spacing w:val="-63"/>
        </w:rPr>
        <w:t> </w:t>
      </w:r>
      <w:r>
        <w:rPr>
          <w:spacing w:val="-63"/>
        </w:rPr>
      </w:r>
      <w:r>
        <w:rPr>
          <w:spacing w:val="-2"/>
        </w:rPr>
        <w:t>展公司治理专项活动，促进了公司规范运作，提高了公司治理水平。报告期内，公司整体运作规范，独立董事、董事会各专</w:t>
      </w:r>
      <w:r>
        <w:rPr>
          <w:spacing w:val="-68"/>
        </w:rPr>
        <w:t> </w:t>
      </w:r>
      <w:r>
        <w:rPr>
          <w:spacing w:val="-68"/>
        </w:rPr>
      </w:r>
      <w:r>
        <w:rPr/>
        <w:t>门委员会各司其职，不断加强公司管理，控制防范风险，规范公司运作，提高运作效率。</w:t>
      </w:r>
    </w:p>
    <w:p>
      <w:pPr>
        <w:pStyle w:val="BodyText"/>
        <w:spacing w:line="300" w:lineRule="auto" w:before="60"/>
        <w:ind w:right="193" w:firstLine="360"/>
        <w:jc w:val="right"/>
      </w:pPr>
      <w:r>
        <w:rPr>
          <w:rFonts w:ascii="Times New Roman" w:hAnsi="Times New Roman" w:cs="Times New Roman" w:eastAsia="Times New Roman" w:hint="default"/>
        </w:rPr>
        <w:t>1</w:t>
      </w:r>
      <w:r>
        <w:rPr/>
        <w:t>．关于股东与股东大会：公司严格按照《公司法》、《上市公司股东大会规则》和公司《章程》、《股东大会议事规 </w:t>
      </w:r>
      <w:r>
        <w:rPr>
          <w:spacing w:val="-5"/>
        </w:rPr>
        <w:t>则》的规定和要求，规范股东大会的召集、召开、表决程序，股东大会均为股东提供了网络投票方式，并聘请律师出席见证。</w:t>
      </w:r>
    </w:p>
    <w:p>
      <w:pPr>
        <w:pStyle w:val="BodyText"/>
        <w:spacing w:line="300" w:lineRule="auto" w:before="70"/>
        <w:ind w:right="193" w:firstLine="360"/>
        <w:jc w:val="both"/>
      </w:pPr>
      <w:r>
        <w:rPr>
          <w:rFonts w:ascii="Times New Roman" w:hAnsi="Times New Roman" w:cs="Times New Roman" w:eastAsia="Times New Roman" w:hint="default"/>
        </w:rPr>
        <w:t>2</w:t>
      </w:r>
      <w:r>
        <w:rPr/>
        <w:t>．关于控股股东与上市公司：公司控股股东能严格规范自己的行为，没有超越公司股东大会，直接或间接干预公司的 决策和经营活动的行为。</w:t>
      </w:r>
    </w:p>
    <w:p>
      <w:pPr>
        <w:pStyle w:val="BodyText"/>
        <w:spacing w:line="300" w:lineRule="auto" w:before="72"/>
        <w:ind w:right="107" w:firstLine="360"/>
        <w:jc w:val="both"/>
      </w:pPr>
      <w:r>
        <w:rPr>
          <w:rFonts w:ascii="Times New Roman" w:hAnsi="Times New Roman" w:cs="Times New Roman" w:eastAsia="Times New Roman" w:hint="default"/>
          <w:spacing w:val="-4"/>
        </w:rPr>
        <w:t>3</w:t>
      </w:r>
      <w:r>
        <w:rPr>
          <w:spacing w:val="-4"/>
        </w:rPr>
        <w:t>．关于董事和董事会：公司董事会由</w:t>
      </w:r>
      <w:r>
        <w:rPr>
          <w:rFonts w:ascii="Times New Roman" w:hAnsi="Times New Roman" w:cs="Times New Roman" w:eastAsia="Times New Roman" w:hint="default"/>
          <w:spacing w:val="-4"/>
        </w:rPr>
        <w:t>7</w:t>
      </w:r>
      <w:r>
        <w:rPr>
          <w:spacing w:val="-4"/>
        </w:rPr>
        <w:t>名董事组成，其中独立董事</w:t>
      </w:r>
      <w:r>
        <w:rPr>
          <w:rFonts w:ascii="Times New Roman" w:hAnsi="Times New Roman" w:cs="Times New Roman" w:eastAsia="Times New Roman" w:hint="default"/>
          <w:spacing w:val="-4"/>
        </w:rPr>
        <w:t>3</w:t>
      </w:r>
      <w:r>
        <w:rPr>
          <w:spacing w:val="-4"/>
        </w:rPr>
        <w:t>人，占董事总数</w:t>
      </w:r>
      <w:r>
        <w:rPr>
          <w:rFonts w:ascii="Times New Roman" w:hAnsi="Times New Roman" w:cs="Times New Roman" w:eastAsia="Times New Roman" w:hint="default"/>
          <w:spacing w:val="-4"/>
        </w:rPr>
        <w:t>1/3</w:t>
      </w:r>
      <w:r>
        <w:rPr>
          <w:spacing w:val="-4"/>
        </w:rPr>
        <w:t>以上，公司全体董事能够依据《董</w:t>
      </w:r>
      <w:r>
        <w:rPr/>
        <w:t> 事会议事规则》、《创业板上市公司规范运作指引》等制度开展工作，认真出席董事会和股东大会，诚实守信地履行职责。</w:t>
      </w:r>
    </w:p>
    <w:p>
      <w:pPr>
        <w:pStyle w:val="BodyText"/>
        <w:spacing w:line="240" w:lineRule="auto" w:before="72"/>
        <w:ind w:left="513" w:right="0"/>
        <w:jc w:val="left"/>
      </w:pPr>
      <w:r>
        <w:rPr>
          <w:rFonts w:ascii="Times New Roman" w:hAnsi="Times New Roman" w:cs="Times New Roman" w:eastAsia="Times New Roman" w:hint="default"/>
        </w:rPr>
        <w:t>4</w:t>
      </w:r>
      <w:r>
        <w:rPr/>
        <w:t>．关于监事和监事会：公司监事会由</w:t>
      </w:r>
      <w:r>
        <w:rPr>
          <w:rFonts w:ascii="Times New Roman" w:hAnsi="Times New Roman" w:cs="Times New Roman" w:eastAsia="Times New Roman" w:hint="default"/>
        </w:rPr>
        <w:t>3</w:t>
      </w:r>
      <w:r>
        <w:rPr/>
        <w:t>名监事组成，其人数和人员构成均符合相关法律法规的要求。公司监事能够按照</w:t>
      </w:r>
    </w:p>
    <w:p>
      <w:pPr>
        <w:pStyle w:val="BodyText"/>
        <w:spacing w:line="316" w:lineRule="auto" w:before="63"/>
        <w:ind w:right="94"/>
        <w:jc w:val="left"/>
      </w:pPr>
      <w:r>
        <w:rPr>
          <w:spacing w:val="-2"/>
        </w:rPr>
        <w:t>《监事会议事规则》等的要求，认真履行自己的职责，对公司重大事项、关联交易、财务状况、董事和经理的履职情况等进</w:t>
      </w:r>
      <w:r>
        <w:rPr>
          <w:spacing w:val="-68"/>
        </w:rPr>
        <w:t> </w:t>
      </w:r>
      <w:r>
        <w:rPr>
          <w:spacing w:val="-68"/>
        </w:rPr>
      </w:r>
      <w:r>
        <w:rPr/>
        <w:t>行有效监督并发表独立意见。</w:t>
      </w:r>
    </w:p>
    <w:p>
      <w:pPr>
        <w:pStyle w:val="BodyText"/>
        <w:spacing w:line="307" w:lineRule="auto" w:before="57"/>
        <w:ind w:right="191" w:firstLine="360"/>
        <w:jc w:val="both"/>
      </w:pPr>
      <w:r>
        <w:rPr>
          <w:rFonts w:ascii="Times New Roman" w:hAnsi="Times New Roman" w:cs="Times New Roman" w:eastAsia="Times New Roman" w:hint="default"/>
        </w:rPr>
        <w:t>5</w:t>
      </w:r>
      <w:r>
        <w:rPr/>
        <w:t>．关于绩效评价与激励约束机制：为进一步完善董事、监事与高级管理人员的薪酬管理，建立科学有效的激励与约束 </w:t>
      </w:r>
      <w:r>
        <w:rPr>
          <w:spacing w:val="-5"/>
        </w:rPr>
        <w:t>机制，公司建立了完善的高级管理人员绩效考评体系和薪酬制度。高级管理人员的聘任公开、透明，符合法律、法规的规定。</w:t>
      </w:r>
      <w:r>
        <w:rPr>
          <w:spacing w:val="-78"/>
        </w:rPr>
        <w:t> </w:t>
      </w:r>
      <w:r>
        <w:rPr>
          <w:spacing w:val="-78"/>
        </w:rPr>
      </w:r>
      <w:r>
        <w:rPr>
          <w:spacing w:val="-2"/>
        </w:rPr>
        <w:t>公司董事会下设的提名、薪酬和考核委员会负责对公司董事及高级管理人员进行提名和绩效考核。公司</w:t>
      </w:r>
      <w:r>
        <w:rPr>
          <w:rFonts w:ascii="Times New Roman" w:hAnsi="Times New Roman" w:cs="Times New Roman" w:eastAsia="Times New Roman" w:hint="default"/>
          <w:spacing w:val="-2"/>
        </w:rPr>
        <w:t>2017</w:t>
      </w:r>
      <w:r>
        <w:rPr>
          <w:spacing w:val="-2"/>
        </w:rPr>
        <w:t>年实施开展了限</w:t>
      </w:r>
      <w:r>
        <w:rPr>
          <w:spacing w:val="-60"/>
        </w:rPr>
        <w:t> </w:t>
      </w:r>
      <w:r>
        <w:rPr>
          <w:spacing w:val="-60"/>
        </w:rPr>
      </w:r>
      <w:r>
        <w:rPr/>
        <w:t>制性股票激励计划，进一步建设公司的员工激励体系。</w:t>
      </w:r>
    </w:p>
    <w:p>
      <w:pPr>
        <w:pStyle w:val="BodyText"/>
        <w:spacing w:line="309" w:lineRule="auto" w:before="67"/>
        <w:ind w:right="192" w:firstLine="360"/>
        <w:jc w:val="both"/>
      </w:pPr>
      <w:r>
        <w:rPr>
          <w:rFonts w:ascii="Times New Roman" w:hAnsi="Times New Roman" w:cs="Times New Roman" w:eastAsia="Times New Roman" w:hint="default"/>
        </w:rPr>
        <w:t>6</w:t>
      </w:r>
      <w:r>
        <w:rPr/>
        <w:t>．关于利益相关者：公司尊重利益相关者的合法权益，重视利益相关者的相互作用与影响，保持与利益相关者的顺畅 </w:t>
      </w:r>
      <w:r>
        <w:rPr>
          <w:spacing w:val="-2"/>
        </w:rPr>
        <w:t>沟通，努力实现股东、客户、员工及社会等多方利益的均衡，建立健康友好、互利互信和合作多赢的关系，共同促进公司持</w:t>
      </w:r>
      <w:r>
        <w:rPr>
          <w:spacing w:val="-67"/>
        </w:rPr>
        <w:t> </w:t>
      </w:r>
      <w:r>
        <w:rPr>
          <w:spacing w:val="-67"/>
        </w:rPr>
      </w:r>
      <w:r>
        <w:rPr/>
        <w:t>续稳定发展。</w:t>
      </w:r>
    </w:p>
    <w:p>
      <w:pPr>
        <w:pStyle w:val="BodyText"/>
        <w:spacing w:line="309" w:lineRule="auto" w:before="65"/>
        <w:ind w:right="190" w:firstLine="360"/>
        <w:jc w:val="both"/>
      </w:pPr>
      <w:r>
        <w:rPr>
          <w:rFonts w:ascii="Times New Roman" w:hAnsi="Times New Roman" w:cs="Times New Roman" w:eastAsia="Times New Roman" w:hint="default"/>
        </w:rPr>
        <w:t>7</w:t>
      </w:r>
      <w:r>
        <w:rPr/>
        <w:t>．关于信息披露与透明度：公司严格按照《股票上市规则》、《深圳证券交易所中小企业板上市公司规范运作指引》 </w:t>
      </w:r>
      <w:r>
        <w:rPr>
          <w:spacing w:val="-2"/>
        </w:rPr>
        <w:t>等法律法规的规定，制定了《信息披露管理制度》、《重大信息内部报告制度》、《对外信息报送和使用管理制度》、《内</w:t>
      </w:r>
      <w:r>
        <w:rPr>
          <w:spacing w:val="-67"/>
        </w:rPr>
        <w:t> </w:t>
      </w:r>
      <w:r>
        <w:rPr>
          <w:spacing w:val="-67"/>
        </w:rPr>
      </w:r>
      <w:r>
        <w:rPr/>
        <w:t>幕信息知情人登记管理制度》等制度，完善公司信息披露与投资者关系管理的制度建设，并在工作中认真严格执行。</w:t>
      </w:r>
    </w:p>
    <w:p>
      <w:pPr>
        <w:pStyle w:val="BodyText"/>
        <w:spacing w:line="314" w:lineRule="auto" w:before="62"/>
        <w:ind w:right="94" w:firstLine="360"/>
        <w:jc w:val="left"/>
      </w:pPr>
      <w:r>
        <w:rPr>
          <w:rFonts w:ascii="Times New Roman" w:hAnsi="Times New Roman" w:cs="Times New Roman" w:eastAsia="Times New Roman" w:hint="default"/>
        </w:rPr>
        <w:t>8</w:t>
      </w:r>
      <w:r>
        <w:rPr/>
        <w:t>．关于内部审计：为加强内部控制活动的监督和评价，有效控制风险，保证公司资产的安全与完整，由半数以上独立 </w:t>
      </w:r>
      <w:r>
        <w:rPr>
          <w:spacing w:val="-5"/>
        </w:rPr>
        <w:t>董事组成的审计委员会，负责全面审查和监督公司的财务报告、内部审计方案及内部控制的有效性，审阅和审查财务、经营、</w:t>
      </w:r>
      <w:r>
        <w:rPr>
          <w:spacing w:val="-75"/>
        </w:rPr>
        <w:t> </w:t>
      </w:r>
      <w:r>
        <w:rPr>
          <w:spacing w:val="-75"/>
        </w:rPr>
      </w:r>
      <w:r>
        <w:rPr>
          <w:spacing w:val="-2"/>
        </w:rPr>
        <w:t>合规、风险管理情况。公司已经设置内部审计部门，建立了内部审计制度，审计部负责人由董事会聘任，公司内部审计部配</w:t>
      </w:r>
      <w:r>
        <w:rPr>
          <w:spacing w:val="-67"/>
        </w:rPr>
        <w:t> </w:t>
      </w:r>
      <w:r>
        <w:rPr>
          <w:spacing w:val="-67"/>
        </w:rPr>
      </w:r>
      <w:r>
        <w:rPr>
          <w:spacing w:val="-2"/>
        </w:rPr>
        <w:t>备专职审计人员，对审计委员会负责，向审计委员会报告工作。内部审计部对公司财务信息及内部控制制度的建立和实施等</w:t>
      </w:r>
      <w:r>
        <w:rPr>
          <w:spacing w:val="-63"/>
        </w:rPr>
        <w:t> </w:t>
      </w:r>
      <w:r>
        <w:rPr>
          <w:spacing w:val="-63"/>
        </w:rPr>
      </w:r>
      <w:r>
        <w:rPr/>
        <w:t>进行检查和监督，对公司对外担保、关联交易等行为进行重点审计，及时向审计委员会提交工作计划并汇报审计工作报告，</w:t>
      </w:r>
      <w:r>
        <w:rPr>
          <w:spacing w:val="-83"/>
        </w:rPr>
        <w:t> </w:t>
      </w:r>
      <w:r>
        <w:rPr>
          <w:spacing w:val="-83"/>
        </w:rPr>
      </w:r>
      <w:r>
        <w:rPr/>
        <w:t>就审计过程中发现的问题进行督促整改。</w:t>
      </w:r>
    </w:p>
    <w:p>
      <w:pPr>
        <w:pStyle w:val="BodyText"/>
        <w:spacing w:line="316" w:lineRule="auto" w:before="61"/>
        <w:ind w:right="194" w:firstLine="360"/>
        <w:jc w:val="both"/>
      </w:pPr>
      <w:r>
        <w:rPr>
          <w:spacing w:val="-2"/>
        </w:rPr>
        <w:t>截至报告期末，公司严格按照国家法律法规、深圳证券交易所《股票上市规则》和《创业板上市公司规范运作指引》等</w:t>
      </w:r>
      <w:r>
        <w:rPr/>
        <w:t> 规定，诚实守信，规范运作，认真及时履行信息披露义务。未收到被监管部门采取行政监管措施的有关文件。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BodyText"/>
        <w:spacing w:line="240" w:lineRule="auto"/>
        <w:ind w:right="94"/>
        <w:jc w:val="left"/>
      </w:pPr>
      <w:r>
        <w:rPr/>
        <w:t>公司治理的实际状况与中国证监会发布的有关上市公司治理的规范性文件是否存在重大差异</w:t>
      </w:r>
    </w:p>
    <w:p>
      <w:pPr>
        <w:pStyle w:val="BodyText"/>
        <w:spacing w:line="338" w:lineRule="auto" w:before="117"/>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after="0" w:line="338" w:lineRule="auto"/>
        <w:jc w:val="left"/>
        <w:sectPr>
          <w:pgSz w:w="11910" w:h="16840"/>
          <w:pgMar w:header="877" w:footer="1186" w:top="1100" w:bottom="1380" w:left="980" w:right="940"/>
        </w:sectPr>
      </w:pPr>
    </w:p>
    <w:p>
      <w:pPr>
        <w:spacing w:line="240" w:lineRule="auto" w:before="10"/>
        <w:rPr>
          <w:rFonts w:ascii="宋体" w:hAnsi="宋体" w:cs="宋体" w:eastAsia="宋体" w:hint="default"/>
          <w:sz w:val="19"/>
          <w:szCs w:val="19"/>
        </w:rPr>
      </w:pPr>
    </w:p>
    <w:p>
      <w:pPr>
        <w:pStyle w:val="Heading2"/>
        <w:spacing w:line="240" w:lineRule="auto" w:before="26"/>
        <w:ind w:right="0"/>
        <w:jc w:val="both"/>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2" w:firstLine="360"/>
        <w:jc w:val="both"/>
      </w:pPr>
      <w:r>
        <w:rPr>
          <w:spacing w:val="-2"/>
        </w:rPr>
        <w:t>自设立以来，公司严格按照《公司法》、《证券法》等有关法律、法规和《公司章程》的要求规范运作，建立健全了法</w:t>
      </w:r>
      <w:r>
        <w:rPr/>
        <w:t> </w:t>
      </w:r>
      <w:r>
        <w:rPr>
          <w:spacing w:val="-5"/>
        </w:rPr>
        <w:t>人治理结构，在资产、人员、财务、机构、业务等方面均独立于控股股东、实际控制人及其控制的其他企业，公司具有独立、</w:t>
      </w:r>
      <w:r>
        <w:rPr>
          <w:spacing w:val="-84"/>
        </w:rPr>
        <w:t> </w:t>
      </w:r>
      <w:r>
        <w:rPr>
          <w:spacing w:val="-84"/>
        </w:rPr>
      </w:r>
      <w:r>
        <w:rPr/>
        <w:t>完整的资产、业务体系及面向市场独立经营的能力。</w:t>
      </w:r>
    </w:p>
    <w:p>
      <w:pPr>
        <w:pStyle w:val="BodyText"/>
        <w:spacing w:line="360" w:lineRule="auto" w:before="57"/>
        <w:ind w:left="513" w:right="94"/>
        <w:jc w:val="left"/>
      </w:pPr>
      <w:r>
        <w:rPr/>
        <w:t>（一）资产完整情况 </w:t>
      </w:r>
      <w:r>
        <w:rPr>
          <w:spacing w:val="-2"/>
        </w:rPr>
        <w:t>公司拥有独立于控股股东的生产经营场所，拥有独立完整的研发、采购、生产、销售及配套服务设施和资产，拥有相关</w:t>
      </w:r>
    </w:p>
    <w:p>
      <w:pPr>
        <w:pStyle w:val="BodyText"/>
        <w:spacing w:line="222" w:lineRule="exact"/>
        <w:ind w:right="0"/>
        <w:jc w:val="both"/>
      </w:pPr>
      <w:r>
        <w:rPr/>
        <w:t>资产的合法所有权或使用权，不存在以公司资产、权益或信誉为股东提供违规担保的情况，不存在资产、资金被控股股东、</w:t>
      </w:r>
    </w:p>
    <w:p>
      <w:pPr>
        <w:pStyle w:val="BodyText"/>
        <w:spacing w:line="240" w:lineRule="auto" w:before="76"/>
        <w:ind w:right="0"/>
        <w:jc w:val="both"/>
      </w:pPr>
      <w:r>
        <w:rPr/>
        <w:t>实际控制人占用而损害公司利益的情况。</w:t>
      </w:r>
    </w:p>
    <w:p>
      <w:pPr>
        <w:pStyle w:val="BodyText"/>
        <w:spacing w:line="357" w:lineRule="auto" w:before="117"/>
        <w:ind w:left="513" w:right="94"/>
        <w:jc w:val="left"/>
      </w:pPr>
      <w:r>
        <w:rPr/>
        <w:t>（二）人员独立情况 </w:t>
      </w:r>
      <w:r>
        <w:rPr>
          <w:spacing w:val="-2"/>
        </w:rPr>
        <w:t>公司董事、监事、高级管理人员均严格按照《公司法》、《公司章程》等规定的程序选举或聘任产生。截至本报告签署</w:t>
      </w:r>
    </w:p>
    <w:p>
      <w:pPr>
        <w:pStyle w:val="BodyText"/>
        <w:spacing w:line="224" w:lineRule="exact"/>
        <w:ind w:right="0"/>
        <w:jc w:val="both"/>
      </w:pPr>
      <w:r>
        <w:rPr/>
        <w:t>日，公司高级管理人员不存在在控股股东、实际控制人及其控制的其他企业中担任除董事以外的其他职务，或在控股股东、</w:t>
      </w:r>
    </w:p>
    <w:p>
      <w:pPr>
        <w:pStyle w:val="BodyText"/>
        <w:spacing w:line="316" w:lineRule="auto" w:before="76"/>
        <w:ind w:right="193"/>
        <w:jc w:val="both"/>
      </w:pPr>
      <w:r>
        <w:rPr>
          <w:spacing w:val="-2"/>
        </w:rPr>
        <w:t>实际控制人及其控制的其他企业领薪的情形；公司财务人员不存在在控股股东、实际控制人及其控制的其他企业中兼职的情</w:t>
      </w:r>
      <w:r>
        <w:rPr>
          <w:spacing w:val="-64"/>
        </w:rPr>
        <w:t> </w:t>
      </w:r>
      <w:r>
        <w:rPr>
          <w:spacing w:val="-64"/>
        </w:rPr>
      </w:r>
      <w:r>
        <w:rPr>
          <w:spacing w:val="-2"/>
        </w:rPr>
        <w:t>形。公司拥有独立、完整的人事管理体系，制定了独立的劳动人事管理制度，由公司独立与员工签订劳动合同，独立为员工</w:t>
      </w:r>
      <w:r>
        <w:rPr>
          <w:spacing w:val="-67"/>
        </w:rPr>
        <w:t> </w:t>
      </w:r>
      <w:r>
        <w:rPr>
          <w:spacing w:val="-67"/>
        </w:rPr>
      </w:r>
      <w:r>
        <w:rPr/>
        <w:t>发放工资，不存在由其关联方代为发放工资的情形。</w:t>
      </w:r>
    </w:p>
    <w:p>
      <w:pPr>
        <w:pStyle w:val="BodyText"/>
        <w:spacing w:line="360" w:lineRule="auto" w:before="59"/>
        <w:ind w:left="513" w:right="94"/>
        <w:jc w:val="left"/>
      </w:pPr>
      <w:r>
        <w:rPr/>
        <w:t>（三）财务独立情况 </w:t>
      </w:r>
      <w:r>
        <w:rPr>
          <w:spacing w:val="-2"/>
        </w:rPr>
        <w:t>公司设立了独立的财务部门，配备专职财务管理人员，建立了独立、完整的财务核算体系。公司严格执行《企业会计准</w:t>
      </w:r>
    </w:p>
    <w:p>
      <w:pPr>
        <w:pStyle w:val="BodyText"/>
        <w:spacing w:line="222" w:lineRule="exact"/>
        <w:ind w:right="0"/>
        <w:jc w:val="both"/>
      </w:pPr>
      <w:r>
        <w:rPr/>
        <w:t>则》，建立了规范的财务规章制度，能够独立做出财务决策，不受控股股东、实际控制人干预。公司独立开设银行账户，独</w:t>
      </w:r>
    </w:p>
    <w:p>
      <w:pPr>
        <w:pStyle w:val="BodyText"/>
        <w:spacing w:line="316" w:lineRule="auto" w:before="76"/>
        <w:ind w:right="94"/>
        <w:jc w:val="left"/>
      </w:pPr>
      <w:r>
        <w:rPr>
          <w:spacing w:val="-2"/>
        </w:rPr>
        <w:t>立纳税，不存在与控股股东、实际控制人及其控制的其他企业共用银行账户的情形。公司不存在资金被控股股东、实际控制</w:t>
      </w:r>
      <w:r>
        <w:rPr>
          <w:spacing w:val="-64"/>
        </w:rPr>
        <w:t> </w:t>
      </w:r>
      <w:r>
        <w:rPr>
          <w:spacing w:val="-64"/>
        </w:rPr>
      </w:r>
      <w:r>
        <w:rPr/>
        <w:t>人及其控制的其他企业以借款、代偿债务、代垫款项或者其他方式占用的情形。</w:t>
      </w:r>
    </w:p>
    <w:p>
      <w:pPr>
        <w:pStyle w:val="BodyText"/>
        <w:spacing w:line="360" w:lineRule="auto" w:before="57"/>
        <w:ind w:left="513" w:right="94"/>
        <w:jc w:val="left"/>
      </w:pPr>
      <w:r>
        <w:rPr/>
        <w:t>（四）机构独立情况 </w:t>
      </w:r>
      <w:r>
        <w:rPr>
          <w:spacing w:val="-2"/>
        </w:rPr>
        <w:t>公司根据《公司法》和《公司章程》的要求，设置股东大会作为最高权力机构、设置董事会为决策机构、设置监事会为</w:t>
      </w:r>
    </w:p>
    <w:p>
      <w:pPr>
        <w:pStyle w:val="BodyText"/>
        <w:spacing w:line="222" w:lineRule="exact"/>
        <w:ind w:right="0"/>
        <w:jc w:val="both"/>
      </w:pPr>
      <w:r>
        <w:rPr/>
        <w:t>监督机构，并设有相应的办公机构和经营部门，各职能部门分工协作，形成有机的独立运营主体，不受控股股东、实际控制</w:t>
      </w:r>
    </w:p>
    <w:p>
      <w:pPr>
        <w:pStyle w:val="BodyText"/>
        <w:spacing w:line="316" w:lineRule="auto" w:before="76"/>
        <w:ind w:right="94"/>
        <w:jc w:val="left"/>
      </w:pPr>
      <w:r>
        <w:rPr>
          <w:spacing w:val="-2"/>
        </w:rPr>
        <w:t>人的干预，公司与控股股东、实际控制人及其控制的其他企业在机构设置、人员及办公场所等方面完全分开，不存在混合经</w:t>
      </w:r>
      <w:r>
        <w:rPr>
          <w:spacing w:val="-64"/>
        </w:rPr>
        <w:t> </w:t>
      </w:r>
      <w:r>
        <w:rPr>
          <w:spacing w:val="-64"/>
        </w:rPr>
      </w:r>
      <w:r>
        <w:rPr/>
        <w:t>营、合署办公的情形。</w:t>
      </w:r>
    </w:p>
    <w:p>
      <w:pPr>
        <w:pStyle w:val="BodyText"/>
        <w:spacing w:line="357" w:lineRule="auto" w:before="59"/>
        <w:ind w:left="441" w:right="94" w:firstLine="72"/>
        <w:jc w:val="left"/>
      </w:pPr>
      <w:r>
        <w:rPr/>
        <w:t>（五）业务独立情况 </w:t>
      </w:r>
      <w:r>
        <w:rPr>
          <w:spacing w:val="-4"/>
        </w:rPr>
        <w:t>公司拥有从事相关业务所需的独立的生产经营场所和经营性资产，拥有自主知识产权，各职能部门分别负责研发、采购、</w:t>
      </w:r>
    </w:p>
    <w:p>
      <w:pPr>
        <w:pStyle w:val="BodyText"/>
        <w:spacing w:line="224" w:lineRule="exact"/>
        <w:ind w:right="0"/>
        <w:jc w:val="both"/>
      </w:pPr>
      <w:r>
        <w:rPr/>
        <w:t>生产、销售及配套服务等业务环节；公司已建立了完整的业务流程，具有直接面向市场独立经营的能力，不存在需要依赖控</w:t>
      </w:r>
    </w:p>
    <w:p>
      <w:pPr>
        <w:pStyle w:val="BodyText"/>
        <w:spacing w:line="316" w:lineRule="auto" w:before="76"/>
        <w:ind w:right="94"/>
        <w:jc w:val="left"/>
      </w:pPr>
      <w:r>
        <w:rPr>
          <w:spacing w:val="-2"/>
        </w:rPr>
        <w:t>股股东、实际控制人及其控制的企业进行经营的情况。公司与控股股东、实际控制人及其控制的其他企业间不存在同业竞争</w:t>
      </w:r>
      <w:r>
        <w:rPr>
          <w:spacing w:val="-63"/>
        </w:rPr>
        <w:t> </w:t>
      </w:r>
      <w:r>
        <w:rPr>
          <w:spacing w:val="-63"/>
        </w:rPr>
      </w:r>
      <w:r>
        <w:rPr/>
        <w:t>或者显失公平的关联交易。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5"/>
        <w:ind w:right="0"/>
        <w:jc w:val="both"/>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63.44%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6" w:top="1100" w:bottom="1380" w:left="980" w:right="94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98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34"/>
              <w:jc w:val="both"/>
              <w:rPr>
                <w:rFonts w:ascii="宋体" w:hAnsi="宋体" w:cs="宋体" w:eastAsia="宋体" w:hint="default"/>
                <w:sz w:val="18"/>
                <w:szCs w:val="18"/>
              </w:rPr>
            </w:pPr>
            <w:r>
              <w:rPr>
                <w:rFonts w:ascii="Times New Roman" w:hAnsi="Times New Roman" w:cs="Times New Roman" w:eastAsia="Times New Roman" w:hint="default"/>
                <w:spacing w:val="-13"/>
                <w:sz w:val="18"/>
                <w:szCs w:val="18"/>
              </w:rPr>
              <w:t>.com</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年度股</w:t>
            </w:r>
            <w:r>
              <w:rPr>
                <w:rFonts w:ascii="宋体" w:hAnsi="宋体" w:cs="宋体" w:eastAsia="宋体" w:hint="default"/>
                <w:spacing w:val="-82"/>
                <w:sz w:val="18"/>
                <w:szCs w:val="18"/>
              </w:rPr>
              <w:t> </w:t>
            </w:r>
            <w:r>
              <w:rPr>
                <w:rFonts w:ascii="宋体" w:hAnsi="宋体" w:cs="宋体" w:eastAsia="宋体" w:hint="default"/>
                <w:spacing w:val="-10"/>
                <w:sz w:val="18"/>
                <w:szCs w:val="18"/>
              </w:rPr>
              <w:t>东大会决议公告》公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2017-022</w:t>
            </w:r>
            <w:r>
              <w:rPr>
                <w:rFonts w:ascii="宋体" w:hAnsi="宋体" w:cs="宋体" w:eastAsia="宋体" w:hint="default"/>
                <w:sz w:val="18"/>
                <w:szCs w:val="18"/>
              </w:rPr>
              <w:t>）</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63.41%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6"/>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4" w:right="-34"/>
              <w:jc w:val="both"/>
              <w:rPr>
                <w:rFonts w:ascii="宋体" w:hAnsi="宋体" w:cs="宋体" w:eastAsia="宋体" w:hint="default"/>
                <w:sz w:val="18"/>
                <w:szCs w:val="18"/>
              </w:rPr>
            </w:pPr>
            <w:r>
              <w:rPr>
                <w:rFonts w:ascii="Times New Roman" w:hAnsi="Times New Roman" w:cs="Times New Roman" w:eastAsia="Times New Roman" w:hint="default"/>
                <w:spacing w:val="-13"/>
                <w:sz w:val="18"/>
                <w:szCs w:val="18"/>
              </w:rPr>
              <w:t>.com</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年度股</w:t>
            </w:r>
            <w:r>
              <w:rPr>
                <w:rFonts w:ascii="宋体" w:hAnsi="宋体" w:cs="宋体" w:eastAsia="宋体" w:hint="default"/>
                <w:spacing w:val="-82"/>
                <w:sz w:val="18"/>
                <w:szCs w:val="18"/>
              </w:rPr>
              <w:t> </w:t>
            </w:r>
            <w:r>
              <w:rPr>
                <w:rFonts w:ascii="宋体" w:hAnsi="宋体" w:cs="宋体" w:eastAsia="宋体" w:hint="default"/>
                <w:spacing w:val="-10"/>
                <w:sz w:val="18"/>
                <w:szCs w:val="18"/>
              </w:rPr>
              <w:t>东大会决议公告》公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2017-038</w:t>
            </w:r>
            <w:r>
              <w:rPr>
                <w:rFonts w:ascii="宋体" w:hAnsi="宋体" w:cs="宋体" w:eastAsia="宋体" w:hint="default"/>
                <w:sz w:val="18"/>
                <w:szCs w:val="18"/>
              </w:rPr>
              <w:t>）</w:t>
            </w:r>
          </w:p>
        </w:tc>
      </w:tr>
      <w:tr>
        <w:trPr>
          <w:trHeight w:val="165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63.83%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6"/>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4" w:right="-34"/>
              <w:jc w:val="both"/>
              <w:rPr>
                <w:rFonts w:ascii="宋体" w:hAnsi="宋体" w:cs="宋体" w:eastAsia="宋体" w:hint="default"/>
                <w:sz w:val="18"/>
                <w:szCs w:val="18"/>
              </w:rPr>
            </w:pPr>
            <w:r>
              <w:rPr>
                <w:rFonts w:ascii="Times New Roman" w:hAnsi="Times New Roman" w:cs="Times New Roman" w:eastAsia="Times New Roman" w:hint="default"/>
                <w:spacing w:val="-13"/>
                <w:sz w:val="18"/>
                <w:szCs w:val="18"/>
              </w:rPr>
              <w:t>.com</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年度股</w:t>
            </w:r>
            <w:r>
              <w:rPr>
                <w:rFonts w:ascii="宋体" w:hAnsi="宋体" w:cs="宋体" w:eastAsia="宋体" w:hint="default"/>
                <w:spacing w:val="-82"/>
                <w:sz w:val="18"/>
                <w:szCs w:val="18"/>
              </w:rPr>
              <w:t> </w:t>
            </w:r>
            <w:r>
              <w:rPr>
                <w:rFonts w:ascii="宋体" w:hAnsi="宋体" w:cs="宋体" w:eastAsia="宋体" w:hint="default"/>
                <w:spacing w:val="-10"/>
                <w:sz w:val="18"/>
                <w:szCs w:val="18"/>
              </w:rPr>
              <w:t>东大会决议公告》公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2018-001</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沈红</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冯忆文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49"/>
        <w:ind w:right="7074"/>
        <w:jc w:val="left"/>
      </w:pPr>
      <w:r>
        <w:rPr/>
        <w:t>连续两次未亲自出席董事会的说明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7"/>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877" w:footer="1186" w:top="1100" w:bottom="1380" w:left="980" w:right="980"/>
        </w:sectPr>
      </w:pPr>
    </w:p>
    <w:p>
      <w:pPr>
        <w:spacing w:line="240" w:lineRule="auto" w:before="11"/>
        <w:rPr>
          <w:rFonts w:ascii="宋体" w:hAnsi="宋体" w:cs="宋体" w:eastAsia="宋体" w:hint="default"/>
          <w:sz w:val="21"/>
          <w:szCs w:val="21"/>
        </w:rPr>
      </w:pPr>
    </w:p>
    <w:p>
      <w:pPr>
        <w:pStyle w:val="BodyText"/>
        <w:spacing w:line="360" w:lineRule="auto" w:before="44"/>
        <w:ind w:right="5814"/>
        <w:jc w:val="left"/>
      </w:pPr>
      <w:r>
        <w:rPr/>
        <w:t>独立董事对公司有关建议被采纳或未被采纳的说明 无</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4" w:firstLine="360"/>
        <w:jc w:val="both"/>
      </w:pPr>
      <w:r>
        <w:rPr>
          <w:spacing w:val="-2"/>
        </w:rPr>
        <w:t>公司董事会下设有四个专门委员会，分别为审计委员会、战略委员会、提名委员会、薪酬委员会。报告期内各专门委员</w:t>
      </w:r>
      <w:r>
        <w:rPr/>
        <w:t> 会严格按照有关法律法规及规范性文件的要求开展工作，其履职情况如下：</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357" w:lineRule="auto"/>
        <w:ind w:left="513" w:right="0"/>
        <w:jc w:val="left"/>
      </w:pPr>
      <w:r>
        <w:rPr/>
        <w:t>审计委员会履职情况 </w:t>
      </w:r>
      <w:r>
        <w:rPr>
          <w:spacing w:val="-2"/>
        </w:rPr>
        <w:t>报告期内审计委员会根据有关规定开展相关工作，认真履行职责，与审计会计师进行沟通，制定年度审计计划并对年度</w:t>
      </w:r>
    </w:p>
    <w:p>
      <w:pPr>
        <w:pStyle w:val="BodyText"/>
        <w:spacing w:line="316" w:lineRule="auto"/>
        <w:ind w:right="0"/>
        <w:jc w:val="left"/>
      </w:pPr>
      <w:r>
        <w:rPr>
          <w:spacing w:val="-2"/>
        </w:rPr>
        <w:t>审计工作进行安排，并就审计过程中发现的问题与相关人员进行有效沟通，同时，审议内部审计部提交的年度审计计划及总</w:t>
      </w:r>
      <w:r>
        <w:rPr>
          <w:spacing w:val="-66"/>
        </w:rPr>
        <w:t> </w:t>
      </w:r>
      <w:r>
        <w:rPr>
          <w:spacing w:val="-66"/>
        </w:rPr>
      </w:r>
      <w:r>
        <w:rPr/>
        <w:t>结，切实履行了审计委员会工作职责。较好的履行了审计委员会职责。</w:t>
      </w:r>
    </w:p>
    <w:p>
      <w:pPr>
        <w:pStyle w:val="BodyText"/>
        <w:spacing w:line="314" w:lineRule="auto" w:before="59"/>
        <w:ind w:right="147" w:firstLine="360"/>
        <w:jc w:val="both"/>
      </w:pPr>
      <w:r>
        <w:rPr>
          <w:rFonts w:ascii="Times New Roman" w:hAnsi="Times New Roman" w:cs="Times New Roman" w:eastAsia="Times New Roman" w:hint="default"/>
          <w:spacing w:val="-2"/>
        </w:rPr>
        <w:t>2017</w:t>
      </w:r>
      <w:r>
        <w:rPr>
          <w:spacing w:val="-2"/>
        </w:rPr>
        <w:t>年主要审议了《关于浙江和仁科技股份有限公司</w:t>
      </w:r>
      <w:r>
        <w:rPr>
          <w:rFonts w:ascii="宋体" w:hAnsi="宋体" w:cs="宋体" w:eastAsia="宋体" w:hint="default"/>
          <w:spacing w:val="-2"/>
        </w:rPr>
        <w:t>2016</w:t>
      </w:r>
      <w:r>
        <w:rPr>
          <w:spacing w:val="-2"/>
        </w:rPr>
        <w:t>年度财务报告的议案》、《公司</w:t>
      </w:r>
      <w:r>
        <w:rPr>
          <w:rFonts w:ascii="宋体" w:hAnsi="宋体" w:cs="宋体" w:eastAsia="宋体" w:hint="default"/>
          <w:spacing w:val="-2"/>
        </w:rPr>
        <w:t>2017</w:t>
      </w:r>
      <w:r>
        <w:rPr>
          <w:spacing w:val="-2"/>
        </w:rPr>
        <w:t>年第一季度报告正文及全</w:t>
      </w:r>
      <w:r>
        <w:rPr/>
        <w:t> 文的议案》、《关于浙江和仁科技股份有限公司</w:t>
      </w:r>
      <w:r>
        <w:rPr>
          <w:rFonts w:ascii="宋体" w:hAnsi="宋体" w:cs="宋体" w:eastAsia="宋体" w:hint="default"/>
        </w:rPr>
        <w:t>2016</w:t>
      </w:r>
      <w:r>
        <w:rPr/>
        <w:t>年度财务决算报告的议案》、《关于浙江和仁科技股份有限公司</w:t>
      </w:r>
      <w:r>
        <w:rPr>
          <w:rFonts w:ascii="宋体" w:hAnsi="宋体" w:cs="宋体" w:eastAsia="宋体" w:hint="default"/>
        </w:rPr>
        <w:t>2016</w:t>
      </w:r>
      <w:r>
        <w:rPr>
          <w:rFonts w:ascii="宋体" w:hAnsi="宋体" w:cs="宋体" w:eastAsia="宋体" w:hint="default"/>
          <w:spacing w:val="-6"/>
        </w:rPr>
        <w:t> </w:t>
      </w:r>
      <w:r>
        <w:rPr>
          <w:rFonts w:ascii="宋体" w:hAnsi="宋体" w:cs="宋体" w:eastAsia="宋体" w:hint="default"/>
          <w:spacing w:val="-6"/>
        </w:rPr>
      </w:r>
      <w:r>
        <w:rPr>
          <w:spacing w:val="-2"/>
        </w:rPr>
        <w:t>年度利润分配预案的议案》、《关于浙江和仁科技股份有限公司</w:t>
      </w:r>
      <w:r>
        <w:rPr>
          <w:rFonts w:ascii="宋体" w:hAnsi="宋体" w:cs="宋体" w:eastAsia="宋体" w:hint="default"/>
          <w:spacing w:val="-2"/>
        </w:rPr>
        <w:t>2016</w:t>
      </w:r>
      <w:r>
        <w:rPr>
          <w:spacing w:val="-2"/>
        </w:rPr>
        <w:t>年年度内部审计工作总结的议案》、《关于浙江和仁科</w:t>
      </w:r>
      <w:r>
        <w:rPr>
          <w:spacing w:val="-64"/>
        </w:rPr>
        <w:t> </w:t>
      </w:r>
      <w:r>
        <w:rPr>
          <w:spacing w:val="-64"/>
        </w:rPr>
      </w:r>
      <w:r>
        <w:rPr>
          <w:spacing w:val="-2"/>
        </w:rPr>
        <w:t>技股份有限公司续聘天健会计师事务所（特殊普通合伙）为公司</w:t>
      </w:r>
      <w:r>
        <w:rPr>
          <w:rFonts w:ascii="宋体" w:hAnsi="宋体" w:cs="宋体" w:eastAsia="宋体" w:hint="default"/>
          <w:spacing w:val="-2"/>
        </w:rPr>
        <w:t>2017</w:t>
      </w:r>
      <w:r>
        <w:rPr>
          <w:spacing w:val="-2"/>
        </w:rPr>
        <w:t>年度财务审计机构的议案》、《关于浙江和仁科技股份</w:t>
      </w:r>
      <w:r>
        <w:rPr>
          <w:spacing w:val="-63"/>
        </w:rPr>
        <w:t> </w:t>
      </w:r>
      <w:r>
        <w:rPr>
          <w:spacing w:val="-63"/>
        </w:rPr>
      </w:r>
      <w:r>
        <w:rPr>
          <w:spacing w:val="-2"/>
        </w:rPr>
        <w:t>有限公司</w:t>
      </w:r>
      <w:r>
        <w:rPr>
          <w:rFonts w:ascii="宋体" w:hAnsi="宋体" w:cs="宋体" w:eastAsia="宋体" w:hint="default"/>
          <w:spacing w:val="-2"/>
        </w:rPr>
        <w:t>2017</w:t>
      </w:r>
      <w:r>
        <w:rPr>
          <w:spacing w:val="-2"/>
        </w:rPr>
        <w:t>年年度内部审计工作计划的议案》、《关于浙江和仁科技股份有限公司</w:t>
      </w:r>
      <w:r>
        <w:rPr>
          <w:rFonts w:ascii="宋体" w:hAnsi="宋体" w:cs="宋体" w:eastAsia="宋体" w:hint="default"/>
          <w:spacing w:val="-2"/>
        </w:rPr>
        <w:t>2017</w:t>
      </w:r>
      <w:r>
        <w:rPr>
          <w:spacing w:val="-2"/>
        </w:rPr>
        <w:t>年第一季度内部审计工作总结的议</w:t>
      </w:r>
      <w:r>
        <w:rPr>
          <w:spacing w:val="-61"/>
        </w:rPr>
        <w:t> </w:t>
      </w:r>
      <w:r>
        <w:rPr>
          <w:spacing w:val="-61"/>
        </w:rPr>
      </w:r>
      <w:r>
        <w:rPr>
          <w:spacing w:val="-5"/>
        </w:rPr>
        <w:t>案》、《关于浙江和仁科技股份有限公司</w:t>
      </w:r>
      <w:r>
        <w:rPr>
          <w:rFonts w:ascii="宋体" w:hAnsi="宋体" w:cs="宋体" w:eastAsia="宋体" w:hint="default"/>
          <w:spacing w:val="-5"/>
        </w:rPr>
        <w:t>2017</w:t>
      </w:r>
      <w:r>
        <w:rPr>
          <w:spacing w:val="-5"/>
        </w:rPr>
        <w:t>年第二季度内部审计工作计划的议案》、《关于浙江和仁科技股份有限公司</w:t>
      </w:r>
      <w:r>
        <w:rPr>
          <w:rFonts w:ascii="宋体" w:hAnsi="宋体" w:cs="宋体" w:eastAsia="宋体" w:hint="default"/>
          <w:spacing w:val="-5"/>
        </w:rPr>
        <w:t>2017</w:t>
      </w:r>
      <w:r>
        <w:rPr>
          <w:rFonts w:ascii="宋体" w:hAnsi="宋体" w:cs="宋体" w:eastAsia="宋体" w:hint="default"/>
          <w:spacing w:val="-65"/>
        </w:rPr>
        <w:t> </w:t>
      </w:r>
      <w:r>
        <w:rPr>
          <w:rFonts w:ascii="宋体" w:hAnsi="宋体" w:cs="宋体" w:eastAsia="宋体" w:hint="default"/>
          <w:spacing w:val="-65"/>
        </w:rPr>
      </w:r>
      <w:r>
        <w:rPr>
          <w:spacing w:val="-2"/>
        </w:rPr>
        <w:t>年第二季度内部审计工作总结的议案》、《关于浙江和仁科技股份有限公司</w:t>
      </w:r>
      <w:r>
        <w:rPr>
          <w:rFonts w:ascii="宋体" w:hAnsi="宋体" w:cs="宋体" w:eastAsia="宋体" w:hint="default"/>
          <w:spacing w:val="-2"/>
        </w:rPr>
        <w:t>2017</w:t>
      </w:r>
      <w:r>
        <w:rPr>
          <w:spacing w:val="-2"/>
        </w:rPr>
        <w:t>年半年度财务报告的议案》、《关于浙江和</w:t>
      </w:r>
      <w:r>
        <w:rPr>
          <w:spacing w:val="-63"/>
        </w:rPr>
        <w:t> </w:t>
      </w:r>
      <w:r>
        <w:rPr>
          <w:spacing w:val="-63"/>
        </w:rPr>
      </w:r>
      <w:r>
        <w:rPr>
          <w:spacing w:val="-5"/>
        </w:rPr>
        <w:t>仁科技股份有限公司</w:t>
      </w:r>
      <w:r>
        <w:rPr>
          <w:rFonts w:ascii="宋体" w:hAnsi="宋体" w:cs="宋体" w:eastAsia="宋体" w:hint="default"/>
          <w:spacing w:val="-5"/>
        </w:rPr>
        <w:t>2017</w:t>
      </w:r>
      <w:r>
        <w:rPr>
          <w:spacing w:val="-5"/>
        </w:rPr>
        <w:t>年第三季度内部审计工作计划的议案》、《关于浙江和仁科技股份有限公司会计政策变更的议案》、</w:t>
      </w:r>
    </w:p>
    <w:p>
      <w:pPr>
        <w:pStyle w:val="BodyText"/>
        <w:spacing w:line="319" w:lineRule="auto" w:before="20"/>
        <w:ind w:right="0"/>
        <w:jc w:val="left"/>
      </w:pPr>
      <w:r>
        <w:rPr>
          <w:spacing w:val="-2"/>
        </w:rPr>
        <w:t>《关于浙江和仁科技股份有限公司</w:t>
      </w:r>
      <w:r>
        <w:rPr>
          <w:rFonts w:ascii="宋体" w:hAnsi="宋体" w:cs="宋体" w:eastAsia="宋体" w:hint="default"/>
          <w:spacing w:val="-2"/>
        </w:rPr>
        <w:t>2017</w:t>
      </w:r>
      <w:r>
        <w:rPr>
          <w:spacing w:val="-2"/>
        </w:rPr>
        <w:t>年第三季度内部审计工作总结的议案》、《关于浙江和仁科技股份有限公司</w:t>
      </w:r>
      <w:r>
        <w:rPr>
          <w:rFonts w:ascii="宋体" w:hAnsi="宋体" w:cs="宋体" w:eastAsia="宋体" w:hint="default"/>
          <w:spacing w:val="-2"/>
        </w:rPr>
        <w:t>2017</w:t>
      </w:r>
      <w:r>
        <w:rPr>
          <w:spacing w:val="-2"/>
        </w:rPr>
        <w:t>年三</w:t>
      </w:r>
      <w:r>
        <w:rPr>
          <w:spacing w:val="-63"/>
        </w:rPr>
        <w:t> </w:t>
      </w:r>
      <w:r>
        <w:rPr/>
        <w:t>季度报告的议案》、《关于浙江和仁科技股份有限公司</w:t>
      </w:r>
      <w:r>
        <w:rPr>
          <w:rFonts w:ascii="宋体" w:hAnsi="宋体" w:cs="宋体" w:eastAsia="宋体" w:hint="default"/>
        </w:rPr>
        <w:t>2017</w:t>
      </w:r>
      <w:r>
        <w:rPr/>
        <w:t>年度第四季内部审计工作计划的议案》等议案。</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left="513" w:right="0"/>
        <w:jc w:val="left"/>
      </w:pPr>
      <w:r>
        <w:rPr/>
        <w:t>薪酬与考核委员会履职情况</w:t>
      </w:r>
    </w:p>
    <w:p>
      <w:pPr>
        <w:pStyle w:val="BodyText"/>
        <w:spacing w:line="300" w:lineRule="auto" w:before="117"/>
        <w:ind w:right="151" w:firstLine="360"/>
        <w:jc w:val="both"/>
      </w:pPr>
      <w:r>
        <w:rPr>
          <w:rFonts w:ascii="Times New Roman" w:hAnsi="Times New Roman" w:cs="Times New Roman" w:eastAsia="Times New Roman" w:hint="default"/>
          <w:spacing w:val="-2"/>
        </w:rPr>
        <w:t>2017</w:t>
      </w:r>
      <w:r>
        <w:rPr>
          <w:spacing w:val="-2"/>
        </w:rPr>
        <w:t>年度主要审议通过了《关于</w:t>
      </w:r>
      <w:r>
        <w:rPr>
          <w:rFonts w:ascii="Times New Roman" w:hAnsi="Times New Roman" w:cs="Times New Roman" w:eastAsia="Times New Roman" w:hint="default"/>
          <w:spacing w:val="-2"/>
        </w:rPr>
        <w:t>2016</w:t>
      </w:r>
      <w:r>
        <w:rPr>
          <w:spacing w:val="-2"/>
        </w:rPr>
        <w:t>年度浙江和仁科技股份有限公司董事、监事及高级管理人员的薪酬方案》、《关于</w:t>
      </w:r>
      <w:r>
        <w:rPr/>
        <w:t> 浙江和仁科技股份有限公司</w:t>
      </w:r>
      <w:r>
        <w:rPr>
          <w:rFonts w:ascii="Times New Roman" w:hAnsi="Times New Roman" w:cs="Times New Roman" w:eastAsia="Times New Roman" w:hint="default"/>
        </w:rPr>
        <w:t>2017</w:t>
      </w:r>
      <w:r>
        <w:rPr/>
        <w:t>年限制性股票激励计划（草案）及摘要的议案》、《关于浙江和仁科技股份有限公司</w:t>
      </w:r>
      <w:r>
        <w:rPr>
          <w:rFonts w:ascii="Times New Roman" w:hAnsi="Times New Roman" w:cs="Times New Roman" w:eastAsia="Times New Roman" w:hint="default"/>
        </w:rPr>
        <w:t>2017</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spacing w:val="-2"/>
        </w:rPr>
        <w:t>年限制性股票激励计划考核管理办法的议案》、《关于核实浙江和仁科技股份有限公司</w:t>
      </w:r>
      <w:r>
        <w:rPr>
          <w:rFonts w:ascii="Times New Roman" w:hAnsi="Times New Roman" w:cs="Times New Roman" w:eastAsia="Times New Roman" w:hint="default"/>
          <w:spacing w:val="-2"/>
        </w:rPr>
        <w:t>2017</w:t>
      </w:r>
      <w:r>
        <w:rPr>
          <w:spacing w:val="-2"/>
        </w:rPr>
        <w:t>年限制性股票激励计划首次授予</w:t>
      </w:r>
      <w:r>
        <w:rPr>
          <w:spacing w:val="-61"/>
        </w:rPr>
        <w:t> </w:t>
      </w:r>
      <w:r>
        <w:rPr/>
        <w:t>部分激励对象名单的议案》。同意提交公司董事会审议。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Heading2"/>
        <w:spacing w:line="240" w:lineRule="auto"/>
        <w:ind w:right="0"/>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38" w:lineRule="auto" w:before="117"/>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49" w:firstLine="360"/>
        <w:jc w:val="both"/>
      </w:pPr>
      <w:r>
        <w:rPr>
          <w:spacing w:val="-5"/>
        </w:rPr>
        <w:t>公司建立了高级管理人员薪酬与公司业绩挂钩的绩效考核与激励约束机制，高级管理人员的聘任公开、透明，符合法律、</w:t>
      </w:r>
      <w:r>
        <w:rPr/>
        <w:t> 法规的规定。公司董事会下设的提名、薪酬和考核委员会负责对公司董事及高级管理人员进行绩效考核。</w:t>
      </w:r>
    </w:p>
    <w:p>
      <w:pPr>
        <w:pStyle w:val="BodyText"/>
        <w:spacing w:line="319" w:lineRule="auto" w:before="59"/>
        <w:ind w:right="150" w:firstLine="360"/>
        <w:jc w:val="both"/>
      </w:pPr>
      <w:r>
        <w:rPr>
          <w:spacing w:val="-2"/>
        </w:rPr>
        <w:t>为进一步健全公司长效激励机制，充分调动公司核心团队的积极性，吸引和保留优秀人才，有效地将公司利益、股东利</w:t>
      </w:r>
      <w:r>
        <w:rPr/>
        <w:t> </w:t>
      </w:r>
      <w:r>
        <w:rPr>
          <w:spacing w:val="-2"/>
        </w:rPr>
        <w:t>益和核心团队个人利益结合在一起，保障公司发展战略和经营目标的实现，在充分保障股东利益的前提下，按照收益与贡献</w:t>
      </w:r>
      <w:r>
        <w:rPr>
          <w:spacing w:val="-63"/>
        </w:rPr>
        <w:t> </w:t>
      </w:r>
      <w:r>
        <w:rPr>
          <w:spacing w:val="-63"/>
        </w:rPr>
      </w:r>
      <w:r>
        <w:rPr>
          <w:spacing w:val="-5"/>
        </w:rPr>
        <w:t>对等原则，根据相关法律、法规、规范性文件以及《公司章程》的规定，公司于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月公司推行了限制性股票激励计划，</w:t>
      </w:r>
    </w:p>
    <w:p>
      <w:pPr>
        <w:spacing w:after="0" w:line="319" w:lineRule="auto"/>
        <w:jc w:val="both"/>
        <w:sectPr>
          <w:footerReference w:type="default" r:id="rId21"/>
          <w:pgSz w:w="11910" w:h="16840"/>
          <w:pgMar w:footer="1186" w:header="877" w:top="1100" w:bottom="1380" w:left="980" w:right="980"/>
          <w:pgNumType w:start="72"/>
        </w:sectPr>
      </w:pPr>
    </w:p>
    <w:p>
      <w:pPr>
        <w:spacing w:line="240" w:lineRule="auto" w:before="11"/>
        <w:rPr>
          <w:rFonts w:ascii="宋体" w:hAnsi="宋体" w:cs="宋体" w:eastAsia="宋体" w:hint="default"/>
          <w:sz w:val="21"/>
          <w:szCs w:val="21"/>
        </w:rPr>
      </w:pPr>
      <w:r>
        <w:rPr/>
        <w:pict>
          <v:group style="position:absolute;margin-left:382.869995pt;margin-top:633.700012pt;width:152.1pt;height:89.4pt;mso-position-horizontal-relative:page;mso-position-vertical-relative:page;z-index:-802984" coordorigin="7657,12674" coordsize="3042,1788">
            <v:group style="position:absolute;left:7657;top:12674;width:3042;height:761" coordorigin="7657,12674" coordsize="3042,761">
              <v:shape style="position:absolute;left:7657;top:12674;width:3042;height:761" coordorigin="7657,12674" coordsize="3042,761" path="m7657,13435l10699,13435,10699,12674,7657,12674,7657,13435xe" filled="true" fillcolor="#ffffff" stroked="false">
                <v:path arrowok="t"/>
                <v:fill type="solid"/>
              </v:shape>
            </v:group>
            <v:group style="position:absolute;left:7669;top:13435;width:2;height:1016" coordorigin="7669,13435" coordsize="2,1016">
              <v:shape style="position:absolute;left:7669;top:13435;width:2;height:1016" coordorigin="7669,13435" coordsize="0,1016" path="m7669,13435l7669,14450e" filled="false" stroked="true" strokeweight="1.2pt" strokecolor="#ffffff">
                <v:path arrowok="t"/>
              </v:shape>
            </v:group>
            <v:group style="position:absolute;left:7681;top:13435;width:2994;height:351" coordorigin="7681,13435" coordsize="2994,351">
              <v:shape style="position:absolute;left:7681;top:13435;width:2994;height:351" coordorigin="7681,13435" coordsize="2994,351" path="m7681,13785l10675,13785,10675,13435,7681,13435,7681,13785xe" filled="true" fillcolor="#ffffff" stroked="false">
                <v:path arrowok="t"/>
                <v:fill type="solid"/>
              </v:shape>
            </v:group>
            <v:group style="position:absolute;left:7681;top:13785;width:2994;height:312" coordorigin="7681,13785" coordsize="2994,312">
              <v:shape style="position:absolute;left:7681;top:13785;width:2994;height:312" coordorigin="7681,13785" coordsize="2994,312" path="m7681,14097l10675,14097,10675,13785,7681,13785,7681,14097xe" filled="true" fillcolor="#ffffff" stroked="false">
                <v:path arrowok="t"/>
                <v:fill type="solid"/>
              </v:shape>
            </v:group>
            <v:group style="position:absolute;left:7681;top:14097;width:2994;height:353" coordorigin="7681,14097" coordsize="2994,353">
              <v:shape style="position:absolute;left:7681;top:14097;width:2994;height:353" coordorigin="7681,14097" coordsize="2994,353" path="m7681,14450l10675,14450,10675,14097,7681,14097,7681,14450xe" filled="true" fillcolor="#ffffff" stroked="false">
                <v:path arrowok="t"/>
                <v:fill type="solid"/>
              </v:shape>
            </v:group>
            <w10:wrap type="none"/>
          </v:group>
        </w:pict>
      </w:r>
    </w:p>
    <w:p>
      <w:pPr>
        <w:pStyle w:val="BodyText"/>
        <w:spacing w:line="307" w:lineRule="auto" w:before="44"/>
        <w:ind w:right="148"/>
        <w:jc w:val="both"/>
      </w:pPr>
      <w:r>
        <w:rPr>
          <w:spacing w:val="-5"/>
        </w:rPr>
        <w:t>本计划首次授予的激励对象共计</w:t>
      </w:r>
      <w:r>
        <w:rPr>
          <w:rFonts w:ascii="Times New Roman" w:hAnsi="Times New Roman" w:cs="Times New Roman" w:eastAsia="Times New Roman" w:hint="default"/>
          <w:spacing w:val="-5"/>
        </w:rPr>
        <w:t>37</w:t>
      </w:r>
      <w:r>
        <w:rPr>
          <w:spacing w:val="-5"/>
        </w:rPr>
        <w:t>人，调整后</w:t>
      </w:r>
      <w:r>
        <w:rPr>
          <w:rFonts w:ascii="Times New Roman" w:hAnsi="Times New Roman" w:cs="Times New Roman" w:eastAsia="Times New Roman" w:hint="default"/>
          <w:spacing w:val="-5"/>
        </w:rPr>
        <w:t>36</w:t>
      </w:r>
      <w:r>
        <w:rPr>
          <w:spacing w:val="-5"/>
        </w:rPr>
        <w:t>人，包括公司高级管理人员、公司及控股子公司核心管理人员、核心技术（业</w:t>
      </w:r>
      <w:r>
        <w:rPr>
          <w:spacing w:val="-73"/>
        </w:rPr>
        <w:t> </w:t>
      </w:r>
      <w:r>
        <w:rPr>
          <w:spacing w:val="-73"/>
        </w:rPr>
      </w:r>
      <w:r>
        <w:rPr>
          <w:spacing w:val="-2"/>
        </w:rPr>
        <w:t>务）人员。实施股权激励计划后，被授予的激励对象长期价值能够通过股权激励得到体现，工作积极性大幅提高，同时，其</w:t>
      </w:r>
      <w:r>
        <w:rPr>
          <w:spacing w:val="-68"/>
        </w:rPr>
        <w:t> </w:t>
      </w:r>
      <w:r>
        <w:rPr>
          <w:spacing w:val="-68"/>
        </w:rPr>
      </w:r>
      <w:r>
        <w:rPr>
          <w:spacing w:val="-1"/>
        </w:rPr>
        <w:t>以</w:t>
      </w:r>
      <w:r>
        <w:rPr>
          <w:color w:val="6C6C6C"/>
          <w:spacing w:val="-1"/>
        </w:rPr>
      </w:r>
      <w:r>
        <w:rPr>
          <w:color w:val="6C6C6C"/>
          <w:spacing w:val="-1"/>
          <w:u w:val="single" w:color="6C6C6C"/>
        </w:rPr>
        <w:t>股东</w:t>
      </w:r>
      <w:r>
        <w:rPr>
          <w:color w:val="6C6C6C"/>
          <w:spacing w:val="-1"/>
        </w:rPr>
      </w:r>
      <w:r>
        <w:rPr>
          <w:spacing w:val="-1"/>
        </w:rPr>
        <w:t>的身份参与公司决策、利润分享</w:t>
      </w:r>
      <w:r>
        <w:rPr>
          <w:rFonts w:ascii="Times New Roman" w:hAnsi="Times New Roman" w:cs="Times New Roman" w:eastAsia="Times New Roman" w:hint="default"/>
          <w:spacing w:val="-1"/>
        </w:rPr>
        <w:t>,</w:t>
      </w:r>
      <w:r>
        <w:rPr>
          <w:spacing w:val="-1"/>
        </w:rPr>
        <w:t>并承担经营风险</w:t>
      </w:r>
      <w:r>
        <w:rPr>
          <w:rFonts w:ascii="Times New Roman" w:hAnsi="Times New Roman" w:cs="Times New Roman" w:eastAsia="Times New Roman" w:hint="default"/>
          <w:spacing w:val="-1"/>
        </w:rPr>
        <w:t>,</w:t>
      </w:r>
      <w:r>
        <w:rPr>
          <w:spacing w:val="-1"/>
        </w:rPr>
        <w:t>员工自身利益与</w:t>
      </w:r>
      <w:r>
        <w:rPr>
          <w:color w:val="6C6C6C"/>
          <w:spacing w:val="-1"/>
        </w:rPr>
      </w:r>
      <w:r>
        <w:rPr>
          <w:color w:val="6C6C6C"/>
          <w:spacing w:val="-1"/>
          <w:u w:val="single" w:color="6C6C6C"/>
        </w:rPr>
        <w:t>公司利益</w:t>
      </w:r>
      <w:r>
        <w:rPr>
          <w:color w:val="6C6C6C"/>
          <w:spacing w:val="-1"/>
        </w:rPr>
      </w:r>
      <w:r>
        <w:rPr>
          <w:spacing w:val="-1"/>
        </w:rPr>
        <w:t>更大程度地保持一致</w:t>
      </w:r>
      <w:r>
        <w:rPr>
          <w:rFonts w:ascii="Times New Roman" w:hAnsi="Times New Roman" w:cs="Times New Roman" w:eastAsia="Times New Roman" w:hint="default"/>
          <w:spacing w:val="-1"/>
        </w:rPr>
        <w:t>,</w:t>
      </w:r>
      <w:r>
        <w:rPr>
          <w:spacing w:val="-1"/>
        </w:rPr>
        <w:t>公司业绩与个人绩效</w:t>
      </w:r>
      <w:r>
        <w:rPr>
          <w:spacing w:val="-70"/>
        </w:rPr>
        <w:t> </w:t>
      </w:r>
      <w:r>
        <w:rPr/>
        <w:t>强相关，实现员工与公司的共同发展。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61"/>
        <w:ind w:right="0"/>
        <w:jc w:val="both"/>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9"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72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财务报告重大缺陷的迹象包括：①董事、 监事和高级管理人员舞弊行为；</w:t>
            </w:r>
            <w:r>
              <w:rPr>
                <w:rFonts w:ascii="宋体" w:hAnsi="宋体" w:cs="宋体" w:eastAsia="宋体" w:hint="default"/>
                <w:spacing w:val="-61"/>
                <w:sz w:val="18"/>
                <w:szCs w:val="18"/>
              </w:rPr>
              <w:t> </w:t>
            </w:r>
            <w:r>
              <w:rPr>
                <w:rFonts w:ascii="宋体" w:hAnsi="宋体" w:cs="宋体" w:eastAsia="宋体" w:hint="default"/>
                <w:sz w:val="18"/>
                <w:szCs w:val="18"/>
              </w:rPr>
              <w:t>②外部审</w:t>
            </w:r>
            <w:r>
              <w:rPr>
                <w:rFonts w:ascii="宋体" w:hAnsi="宋体" w:cs="宋体" w:eastAsia="宋体" w:hint="default"/>
                <w:sz w:val="18"/>
                <w:szCs w:val="18"/>
              </w:rPr>
              <w:t> 计发现当期财务报告存在重大错报，公司 在运行过程中未能发现该错报；</w:t>
            </w:r>
            <w:r>
              <w:rPr>
                <w:rFonts w:ascii="宋体" w:hAnsi="宋体" w:cs="宋体" w:eastAsia="宋体" w:hint="default"/>
                <w:spacing w:val="-61"/>
                <w:sz w:val="18"/>
                <w:szCs w:val="18"/>
              </w:rPr>
              <w:t> </w:t>
            </w:r>
            <w:r>
              <w:rPr>
                <w:rFonts w:ascii="宋体" w:hAnsi="宋体" w:cs="宋体" w:eastAsia="宋体" w:hint="default"/>
                <w:sz w:val="18"/>
                <w:szCs w:val="18"/>
              </w:rPr>
              <w:t>③公司更</w:t>
            </w:r>
            <w:r>
              <w:rPr>
                <w:rFonts w:ascii="宋体" w:hAnsi="宋体" w:cs="宋体" w:eastAsia="宋体" w:hint="default"/>
                <w:sz w:val="18"/>
                <w:szCs w:val="18"/>
              </w:rPr>
              <w:t> 正已公布的财务报告；</w:t>
            </w:r>
            <w:r>
              <w:rPr>
                <w:rFonts w:ascii="宋体" w:hAnsi="宋体" w:cs="宋体" w:eastAsia="宋体" w:hint="default"/>
                <w:spacing w:val="-64"/>
                <w:sz w:val="18"/>
                <w:szCs w:val="18"/>
              </w:rPr>
              <w:t> </w:t>
            </w:r>
            <w:r>
              <w:rPr>
                <w:rFonts w:ascii="宋体" w:hAnsi="宋体" w:cs="宋体" w:eastAsia="宋体" w:hint="default"/>
                <w:sz w:val="18"/>
                <w:szCs w:val="18"/>
              </w:rPr>
              <w:t>④公司审计委员会</w:t>
            </w:r>
            <w:r>
              <w:rPr>
                <w:rFonts w:ascii="宋体" w:hAnsi="宋体" w:cs="宋体" w:eastAsia="宋体" w:hint="default"/>
                <w:sz w:val="18"/>
                <w:szCs w:val="18"/>
              </w:rPr>
              <w:t> 和内部审计机构对内部控制的监督无效。 一项内部控制缺陷单独或连同其它缺陷， 其严重程度和经济后果低于重大缺陷，但 仍应引起董事会和管理层重视的错报，应 将该缺陷认定为重要缺陷。一般缺陷是指 除上述重大缺陷、重要缺陷之外的其他控 制缺陷。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 w:right="19"/>
              <w:jc w:val="left"/>
              <w:rPr>
                <w:rFonts w:ascii="宋体" w:hAnsi="宋体" w:cs="宋体" w:eastAsia="宋体" w:hint="default"/>
                <w:sz w:val="18"/>
                <w:szCs w:val="18"/>
              </w:rPr>
            </w:pPr>
            <w:r>
              <w:rPr>
                <w:rFonts w:ascii="宋体" w:hAnsi="宋体" w:cs="宋体" w:eastAsia="宋体" w:hint="default"/>
                <w:spacing w:val="-4"/>
                <w:sz w:val="18"/>
                <w:szCs w:val="18"/>
              </w:rPr>
              <w:t>非财务报告重大缺陷的迹象包括：①违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犯国家法律、法规较严重；</w:t>
            </w:r>
            <w:r>
              <w:rPr>
                <w:rFonts w:ascii="宋体" w:hAnsi="宋体" w:cs="宋体" w:eastAsia="宋体" w:hint="default"/>
                <w:spacing w:val="1"/>
                <w:sz w:val="18"/>
                <w:szCs w:val="18"/>
              </w:rPr>
              <w:t> </w:t>
            </w:r>
            <w:r>
              <w:rPr>
                <w:rFonts w:ascii="宋体" w:hAnsi="宋体" w:cs="宋体" w:eastAsia="宋体" w:hint="default"/>
                <w:sz w:val="18"/>
                <w:szCs w:val="18"/>
              </w:rPr>
              <w:t>②重要业</w:t>
            </w:r>
            <w:r>
              <w:rPr>
                <w:rFonts w:ascii="宋体" w:hAnsi="宋体" w:cs="宋体" w:eastAsia="宋体" w:hint="default"/>
                <w:sz w:val="18"/>
                <w:szCs w:val="18"/>
              </w:rPr>
              <w:t> </w:t>
            </w:r>
            <w:r>
              <w:rPr>
                <w:rFonts w:ascii="宋体" w:hAnsi="宋体" w:cs="宋体" w:eastAsia="宋体" w:hint="default"/>
                <w:spacing w:val="-4"/>
                <w:sz w:val="18"/>
                <w:szCs w:val="18"/>
              </w:rPr>
              <w:t>务缺乏制度控制或制度系统性失效；③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内部控制评价的结果特别是重大或重 要缺陷未得到及时整改；</w:t>
            </w:r>
            <w:r>
              <w:rPr>
                <w:rFonts w:ascii="宋体" w:hAnsi="宋体" w:cs="宋体" w:eastAsia="宋体" w:hint="default"/>
                <w:spacing w:val="1"/>
                <w:sz w:val="18"/>
                <w:szCs w:val="18"/>
              </w:rPr>
              <w:t> </w:t>
            </w:r>
            <w:r>
              <w:rPr>
                <w:rFonts w:ascii="宋体" w:hAnsi="宋体" w:cs="宋体" w:eastAsia="宋体" w:hint="default"/>
                <w:sz w:val="18"/>
                <w:szCs w:val="18"/>
              </w:rPr>
              <w:t>④信息披露</w:t>
            </w:r>
            <w:r>
              <w:rPr>
                <w:rFonts w:ascii="宋体" w:hAnsi="宋体" w:cs="宋体" w:eastAsia="宋体" w:hint="default"/>
                <w:sz w:val="18"/>
                <w:szCs w:val="18"/>
              </w:rPr>
              <w:t> </w:t>
            </w:r>
            <w:r>
              <w:rPr>
                <w:rFonts w:ascii="宋体" w:hAnsi="宋体" w:cs="宋体" w:eastAsia="宋体" w:hint="default"/>
                <w:spacing w:val="-4"/>
                <w:sz w:val="18"/>
                <w:szCs w:val="18"/>
              </w:rPr>
              <w:t>内部控制失效，导致公司被监管部门公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开谴责；</w:t>
            </w:r>
            <w:r>
              <w:rPr>
                <w:rFonts w:ascii="宋体" w:hAnsi="宋体" w:cs="宋体" w:eastAsia="宋体" w:hint="default"/>
                <w:spacing w:val="1"/>
                <w:sz w:val="18"/>
                <w:szCs w:val="18"/>
              </w:rPr>
              <w:t> </w:t>
            </w:r>
            <w:r>
              <w:rPr>
                <w:rFonts w:ascii="宋体" w:hAnsi="宋体" w:cs="宋体" w:eastAsia="宋体" w:hint="default"/>
                <w:sz w:val="18"/>
                <w:szCs w:val="18"/>
              </w:rPr>
              <w:t>⑤其他对公司影响重大的情</w:t>
            </w:r>
            <w:r>
              <w:rPr>
                <w:rFonts w:ascii="宋体" w:hAnsi="宋体" w:cs="宋体" w:eastAsia="宋体" w:hint="default"/>
                <w:sz w:val="18"/>
                <w:szCs w:val="18"/>
              </w:rPr>
              <w:t> </w:t>
            </w:r>
            <w:r>
              <w:rPr>
                <w:rFonts w:ascii="宋体" w:hAnsi="宋体" w:cs="宋体" w:eastAsia="宋体" w:hint="default"/>
                <w:spacing w:val="-4"/>
                <w:sz w:val="18"/>
                <w:szCs w:val="18"/>
              </w:rPr>
              <w:t>形。除重大缺陷认定的标准以外的其他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情形，按影响程度分别确定为重要缺陷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或一般缺陷。</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172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1078"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12" w:lineRule="auto" w:before="49"/>
              <w:ind w:left="23" w:right="-12"/>
              <w:jc w:val="left"/>
              <w:rPr>
                <w:rFonts w:ascii="宋体" w:hAnsi="宋体" w:cs="宋体" w:eastAsia="宋体" w:hint="default"/>
                <w:sz w:val="18"/>
                <w:szCs w:val="18"/>
              </w:rPr>
            </w:pPr>
            <w:r>
              <w:rPr>
                <w:rFonts w:ascii="宋体" w:hAnsi="宋体" w:cs="宋体" w:eastAsia="宋体" w:hint="default"/>
                <w:sz w:val="18"/>
                <w:szCs w:val="18"/>
              </w:rPr>
              <w:t>定量标准以利润总额、资产总额作为衡量 指标。内部控制缺陷可能导致或导致的损 </w:t>
            </w:r>
            <w:r>
              <w:rPr>
                <w:rFonts w:ascii="宋体" w:hAnsi="宋体" w:cs="宋体" w:eastAsia="宋体" w:hint="default"/>
                <w:spacing w:val="-4"/>
                <w:sz w:val="18"/>
                <w:szCs w:val="18"/>
              </w:rPr>
              <w:t>失与利润表相关的，以利润总额指标衡量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如果该缺陷单独或连同其他缺陷可能导致 的财务报告错报金额小于利润总额的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则认定为一般缺陷；如果超过利润总额的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但小于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，则为重要缺陷；如果超 过利润总额的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，则认定为重大缺陷。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186"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26" w:right="0"/>
              <w:jc w:val="left"/>
              <w:rPr>
                <w:rFonts w:ascii="宋体" w:hAnsi="宋体" w:cs="宋体" w:eastAsia="宋体" w:hint="default"/>
                <w:sz w:val="18"/>
                <w:szCs w:val="18"/>
              </w:rPr>
            </w:pPr>
            <w:r>
              <w:rPr>
                <w:rFonts w:ascii="宋体" w:hAnsi="宋体" w:cs="宋体" w:eastAsia="宋体" w:hint="default"/>
                <w:sz w:val="18"/>
                <w:szCs w:val="18"/>
              </w:rPr>
              <w:t>非财务报告内部控制缺陷评价的定量</w:t>
            </w:r>
          </w:p>
          <w:p>
            <w:pPr>
              <w:pStyle w:val="TableParagraph"/>
              <w:spacing w:line="207" w:lineRule="exact" w:before="74"/>
              <w:ind w:left="26" w:right="0"/>
              <w:jc w:val="left"/>
              <w:rPr>
                <w:rFonts w:ascii="宋体" w:hAnsi="宋体" w:cs="宋体" w:eastAsia="宋体" w:hint="default"/>
                <w:sz w:val="18"/>
                <w:szCs w:val="18"/>
              </w:rPr>
            </w:pPr>
            <w:r>
              <w:rPr>
                <w:rFonts w:ascii="宋体" w:hAnsi="宋体" w:cs="宋体" w:eastAsia="宋体" w:hint="default"/>
                <w:sz w:val="18"/>
                <w:szCs w:val="18"/>
              </w:rPr>
              <w:t>标准参照财务报告内部控制缺陷评价</w:t>
            </w:r>
          </w:p>
          <w:p>
            <w:pPr>
              <w:pStyle w:val="TableParagraph"/>
              <w:spacing w:line="156"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5" w:lineRule="exact"/>
              <w:ind w:left="26" w:right="0"/>
              <w:jc w:val="left"/>
              <w:rPr>
                <w:rFonts w:ascii="宋体" w:hAnsi="宋体" w:cs="宋体" w:eastAsia="宋体" w:hint="default"/>
                <w:sz w:val="18"/>
                <w:szCs w:val="18"/>
              </w:rPr>
            </w:pPr>
            <w:r>
              <w:rPr>
                <w:rFonts w:ascii="宋体" w:hAnsi="宋体" w:cs="宋体" w:eastAsia="宋体" w:hint="default"/>
                <w:sz w:val="18"/>
                <w:szCs w:val="18"/>
              </w:rPr>
              <w:t>的定量标准执行。</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1078"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223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15"/>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内部控制缺陷可能导致或导致的损失与资 产管理相关的，以资产总额指标衡量。如 果该缺陷单独或连同其他缺陷可能导致的 财务报告错报金额小于资产总额的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则认定为一般缺陷；如果超过资产总额的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认定为重要缺陷；如果超 过资产总额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877" w:footer="1186"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125" w:right="0"/>
        <w:jc w:val="left"/>
        <w:rPr>
          <w:b w:val="0"/>
          <w:bCs w:val="0"/>
        </w:rPr>
      </w:pPr>
      <w:bookmarkStart w:name="_bookmark8" w:id="9"/>
      <w:bookmarkEnd w:id="9"/>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1186"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590" w:right="3631"/>
        <w:jc w:val="center"/>
        <w:rPr>
          <w:b w:val="0"/>
          <w:bCs w:val="0"/>
        </w:rPr>
      </w:pPr>
      <w:bookmarkStart w:name="_bookmark9" w:id="10"/>
      <w:bookmarkEnd w:id="1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3298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程志刚、郑俭</w:t>
            </w:r>
          </w:p>
        </w:tc>
      </w:tr>
    </w:tbl>
    <w:p>
      <w:pPr>
        <w:pStyle w:val="BodyText"/>
        <w:spacing w:line="240" w:lineRule="auto" w:before="49"/>
        <w:ind w:left="3590" w:right="3628"/>
        <w:jc w:val="center"/>
      </w:pPr>
      <w:r>
        <w:rPr/>
        <w:t>审计报告正文</w:t>
      </w:r>
    </w:p>
    <w:p>
      <w:pPr>
        <w:pStyle w:val="Heading7"/>
        <w:spacing w:line="240" w:lineRule="auto" w:before="115"/>
        <w:ind w:left="635" w:right="94"/>
        <w:jc w:val="left"/>
        <w:rPr>
          <w:b w:val="0"/>
          <w:bCs w:val="0"/>
        </w:rPr>
      </w:pPr>
      <w:r>
        <w:rPr/>
        <w:t>一、审计意见</w:t>
      </w:r>
      <w:r>
        <w:rPr>
          <w:b w:val="0"/>
          <w:bCs w:val="0"/>
        </w:rPr>
      </w:r>
    </w:p>
    <w:p>
      <w:pPr>
        <w:pStyle w:val="BodyText"/>
        <w:spacing w:line="316" w:lineRule="auto" w:before="76"/>
        <w:ind w:right="188" w:firstLine="480"/>
        <w:jc w:val="both"/>
      </w:pPr>
      <w:r>
        <w:rPr>
          <w:spacing w:val="-1"/>
        </w:rPr>
        <w:t>我们审计了浙江和仁科技股份有限公司（以下简称和仁科技公司）财务报表，包括</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日的合并及母公司资</w:t>
      </w:r>
      <w:r>
        <w:rPr/>
        <w:t> </w:t>
      </w:r>
      <w:r>
        <w:rPr>
          <w:spacing w:val="-2"/>
        </w:rPr>
        <w:t>产负债表，</w:t>
      </w:r>
      <w:r>
        <w:rPr>
          <w:rFonts w:ascii="宋体" w:hAnsi="宋体" w:cs="宋体" w:eastAsia="宋体" w:hint="default"/>
          <w:spacing w:val="-2"/>
        </w:rPr>
        <w:t>2017</w:t>
      </w:r>
      <w:r>
        <w:rPr>
          <w:spacing w:val="-2"/>
        </w:rPr>
        <w:t>年度的合并及母公司利润表、合并及母公司现金流量表、合并及母公司所有者权益变动表，以及相关财务报</w:t>
      </w:r>
      <w:r>
        <w:rPr>
          <w:spacing w:val="-62"/>
        </w:rPr>
        <w:t> </w:t>
      </w:r>
      <w:r>
        <w:rPr>
          <w:spacing w:val="-62"/>
        </w:rPr>
      </w:r>
      <w:r>
        <w:rPr/>
        <w:t>表附注。</w:t>
      </w:r>
    </w:p>
    <w:p>
      <w:pPr>
        <w:pStyle w:val="BodyText"/>
        <w:spacing w:line="316" w:lineRule="auto" w:before="19"/>
        <w:ind w:right="94" w:firstLine="480"/>
        <w:jc w:val="left"/>
      </w:pPr>
      <w:r>
        <w:rPr>
          <w:spacing w:val="-1"/>
        </w:rPr>
        <w:t>我们认为，后附的财务报表在所有重大方面按照企业会计准则的规定编制，公允反映了和仁科技公司</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w:t>
      </w:r>
      <w:r>
        <w:rPr/>
        <w:t> 的合并及母公司财务状况以及</w:t>
      </w:r>
      <w:r>
        <w:rPr>
          <w:rFonts w:ascii="宋体" w:hAnsi="宋体" w:cs="宋体" w:eastAsia="宋体" w:hint="default"/>
        </w:rPr>
        <w:t>2017</w:t>
      </w:r>
      <w:r>
        <w:rPr/>
        <w:t>年度的合并及母公司经营成果和现金流量。</w:t>
      </w:r>
    </w:p>
    <w:p>
      <w:pPr>
        <w:spacing w:line="240" w:lineRule="auto" w:before="4"/>
        <w:rPr>
          <w:rFonts w:ascii="宋体" w:hAnsi="宋体" w:cs="宋体" w:eastAsia="宋体" w:hint="default"/>
          <w:sz w:val="25"/>
          <w:szCs w:val="25"/>
        </w:rPr>
      </w:pPr>
    </w:p>
    <w:p>
      <w:pPr>
        <w:pStyle w:val="BodyText"/>
        <w:spacing w:line="316" w:lineRule="auto"/>
        <w:ind w:left="633" w:right="94" w:firstLine="2"/>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1"/>
        </w:rPr>
        <w:t>我们按照中国注册会计师审计准则的规定执行了审计工作。审计报告的“注册会计师对财务报表审计的责任”部分进</w:t>
      </w:r>
    </w:p>
    <w:p>
      <w:pPr>
        <w:pStyle w:val="BodyText"/>
        <w:spacing w:line="316" w:lineRule="auto" w:before="19"/>
        <w:ind w:right="189"/>
        <w:jc w:val="both"/>
      </w:pPr>
      <w:r>
        <w:rPr>
          <w:spacing w:val="-2"/>
        </w:rPr>
        <w:t>一步阐述了我们在这些准则下的责任。按照中国注册会计师职业道德守则，我们独立于和仁科技公司，并履行了职业道德方</w:t>
      </w:r>
      <w:r>
        <w:rPr>
          <w:spacing w:val="-62"/>
        </w:rPr>
        <w:t> </w:t>
      </w:r>
      <w:r>
        <w:rPr>
          <w:spacing w:val="-62"/>
        </w:rPr>
      </w:r>
      <w:r>
        <w:rPr/>
        <w:t>面的其他责任。我们相信，我们获取的审计证据是充分、适当的，为发表审计意见提供了基础。</w:t>
      </w:r>
    </w:p>
    <w:p>
      <w:pPr>
        <w:spacing w:line="240" w:lineRule="auto" w:before="4"/>
        <w:rPr>
          <w:rFonts w:ascii="宋体" w:hAnsi="宋体" w:cs="宋体" w:eastAsia="宋体" w:hint="default"/>
          <w:sz w:val="25"/>
          <w:szCs w:val="25"/>
        </w:rPr>
      </w:pPr>
    </w:p>
    <w:p>
      <w:pPr>
        <w:pStyle w:val="BodyText"/>
        <w:spacing w:line="316" w:lineRule="auto"/>
        <w:ind w:left="633" w:right="94"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316" w:lineRule="auto" w:before="19"/>
        <w:ind w:left="633" w:right="4594" w:hanging="481"/>
        <w:jc w:val="left"/>
      </w:pPr>
      <w:r>
        <w:rPr/>
        <w:t>行审计并形成审计意见为背景，我们不对这些事项单独发表意见。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完工百分比法收入确认</w:t>
      </w:r>
    </w:p>
    <w:p>
      <w:pPr>
        <w:pStyle w:val="BodyText"/>
        <w:spacing w:line="316" w:lineRule="auto" w:before="19"/>
        <w:ind w:left="633" w:right="94"/>
        <w:jc w:val="left"/>
      </w:pPr>
      <w:r>
        <w:rPr>
          <w:rFonts w:ascii="宋体" w:hAnsi="宋体" w:cs="宋体" w:eastAsia="宋体" w:hint="default"/>
        </w:rPr>
        <w:t>1.</w:t>
      </w:r>
      <w:r>
        <w:rPr>
          <w:rFonts w:ascii="宋体" w:hAnsi="宋体" w:cs="宋体" w:eastAsia="宋体" w:hint="default"/>
          <w:spacing w:val="2"/>
        </w:rPr>
        <w:t> </w:t>
      </w:r>
      <w:r>
        <w:rPr/>
        <w:t>关键审计事项 参见财务报表附注三（二十二）与财务报表附注五（二）所述，和仁科技公司</w:t>
      </w:r>
      <w:r>
        <w:rPr>
          <w:rFonts w:ascii="宋体" w:hAnsi="宋体" w:cs="宋体" w:eastAsia="宋体" w:hint="default"/>
        </w:rPr>
        <w:t>2017</w:t>
      </w:r>
      <w:r>
        <w:rPr/>
        <w:t>年度合并营业收入</w:t>
      </w:r>
      <w:r>
        <w:rPr>
          <w:rFonts w:ascii="宋体" w:hAnsi="宋体" w:cs="宋体" w:eastAsia="宋体" w:hint="default"/>
        </w:rPr>
        <w:t>27,625.79</w:t>
      </w:r>
      <w:r>
        <w:rPr/>
        <w:t>万元</w:t>
      </w:r>
    </w:p>
    <w:p>
      <w:pPr>
        <w:pStyle w:val="BodyText"/>
        <w:spacing w:line="316" w:lineRule="auto" w:before="19"/>
        <w:ind w:right="190"/>
        <w:jc w:val="both"/>
      </w:pPr>
      <w:r>
        <w:rPr>
          <w:spacing w:val="-2"/>
        </w:rPr>
        <w:t>元。公司的主要经营活动是医疗机构的医疗信息系统及数字化场景应用系统的研发销售、实施集成、服务支持。上述两类业</w:t>
      </w:r>
      <w:r>
        <w:rPr>
          <w:spacing w:val="-64"/>
        </w:rPr>
        <w:t> </w:t>
      </w:r>
      <w:r>
        <w:rPr>
          <w:spacing w:val="-64"/>
        </w:rPr>
      </w:r>
      <w:r>
        <w:rPr>
          <w:spacing w:val="-2"/>
        </w:rPr>
        <w:t>务采用完工百分比法确认收入，分别根据已经提供劳务占应提供劳务总量的比例、累计实际发生的合同成本占合同预计总成</w:t>
      </w:r>
      <w:r>
        <w:rPr>
          <w:spacing w:val="-64"/>
        </w:rPr>
        <w:t> </w:t>
      </w:r>
      <w:r>
        <w:rPr>
          <w:spacing w:val="-64"/>
        </w:rPr>
      </w:r>
      <w:r>
        <w:rPr>
          <w:spacing w:val="-2"/>
        </w:rPr>
        <w:t>本的比例来确定完工进度。在使用完工百分比法时，需要对已经提供劳务或者累计实际发生的合同成本进行计量，对预计劳</w:t>
      </w:r>
      <w:r>
        <w:rPr>
          <w:spacing w:val="-63"/>
        </w:rPr>
        <w:t> </w:t>
      </w:r>
      <w:r>
        <w:rPr>
          <w:spacing w:val="-63"/>
        </w:rPr>
      </w:r>
      <w:r>
        <w:rPr>
          <w:spacing w:val="-2"/>
        </w:rPr>
        <w:t>务总量或者合同总成本进行估计，并在项目执行过程中持续评估和修订，涉及和仁科技公司管理层（以下简称管理层）的重</w:t>
      </w:r>
      <w:r>
        <w:rPr>
          <w:spacing w:val="-64"/>
        </w:rPr>
        <w:t> </w:t>
      </w:r>
      <w:r>
        <w:rPr>
          <w:spacing w:val="-64"/>
        </w:rPr>
      </w:r>
      <w:r>
        <w:rPr>
          <w:spacing w:val="-2"/>
        </w:rPr>
        <w:t>大会计估计和判断，由于本期收入金额重大，且管理层需要作出重大估计和判断，我们把运用完工百分比法确认收入是否有</w:t>
      </w:r>
      <w:r>
        <w:rPr>
          <w:spacing w:val="-63"/>
        </w:rPr>
        <w:t> </w:t>
      </w:r>
      <w:r>
        <w:rPr>
          <w:spacing w:val="-63"/>
        </w:rPr>
      </w:r>
      <w:r>
        <w:rPr/>
        <w:t>效及准确列为关键审计事项。</w:t>
      </w:r>
    </w:p>
    <w:p>
      <w:pPr>
        <w:pStyle w:val="BodyText"/>
        <w:spacing w:line="240" w:lineRule="auto" w:before="19"/>
        <w:ind w:left="633" w:right="94"/>
        <w:jc w:val="left"/>
      </w:pPr>
      <w:r>
        <w:rPr>
          <w:rFonts w:ascii="宋体" w:hAnsi="宋体" w:cs="宋体" w:eastAsia="宋体" w:hint="default"/>
        </w:rPr>
        <w:t>2.</w:t>
      </w:r>
      <w:r>
        <w:rPr>
          <w:rFonts w:ascii="宋体" w:hAnsi="宋体" w:cs="宋体" w:eastAsia="宋体" w:hint="default"/>
          <w:spacing w:val="3"/>
        </w:rPr>
        <w:t> </w:t>
      </w:r>
      <w:r>
        <w:rPr/>
        <w:t>审计中的应对</w:t>
      </w:r>
    </w:p>
    <w:p>
      <w:pPr>
        <w:pStyle w:val="BodyText"/>
        <w:spacing w:line="240" w:lineRule="auto" w:before="76"/>
        <w:ind w:left="633" w:right="94"/>
        <w:jc w:val="left"/>
      </w:pPr>
      <w:r>
        <w:rPr>
          <w:rFonts w:ascii="宋体" w:hAnsi="宋体" w:cs="宋体" w:eastAsia="宋体" w:hint="default"/>
        </w:rPr>
        <w:t>(1)</w:t>
      </w:r>
      <w:r>
        <w:rPr>
          <w:rFonts w:ascii="宋体" w:hAnsi="宋体" w:cs="宋体" w:eastAsia="宋体" w:hint="default"/>
          <w:spacing w:val="-1"/>
        </w:rPr>
        <w:t> </w:t>
      </w:r>
      <w:r>
        <w:rPr/>
        <w:t>了解并测试公司与完工百分比法确认收入相关的内部控制制度及执行情况；</w:t>
      </w:r>
    </w:p>
    <w:p>
      <w:pPr>
        <w:pStyle w:val="BodyText"/>
        <w:spacing w:line="240" w:lineRule="auto" w:before="76"/>
        <w:ind w:left="633" w:right="94"/>
        <w:jc w:val="left"/>
      </w:pPr>
      <w:r>
        <w:rPr>
          <w:rFonts w:ascii="宋体" w:hAnsi="宋体" w:cs="宋体" w:eastAsia="宋体" w:hint="default"/>
        </w:rPr>
        <w:t>(2)</w:t>
      </w:r>
      <w:r>
        <w:rPr>
          <w:rFonts w:ascii="宋体" w:hAnsi="宋体" w:cs="宋体" w:eastAsia="宋体" w:hint="default"/>
          <w:spacing w:val="46"/>
        </w:rPr>
        <w:t> </w:t>
      </w:r>
      <w:r>
        <w:rPr>
          <w:spacing w:val="-5"/>
        </w:rPr>
        <w:t>获取并核对大额项目合同，了解合同主要内容、结算方式等合同重要条款，分析完工百分比法确认收入的合理性；</w:t>
      </w:r>
    </w:p>
    <w:p>
      <w:pPr>
        <w:pStyle w:val="BodyText"/>
        <w:spacing w:line="319" w:lineRule="auto" w:before="76"/>
        <w:ind w:right="102" w:firstLine="480"/>
        <w:jc w:val="left"/>
      </w:pPr>
      <w:r>
        <w:rPr>
          <w:rFonts w:ascii="宋体" w:hAnsi="宋体" w:cs="宋体" w:eastAsia="宋体" w:hint="default"/>
        </w:rPr>
        <w:t>(3)</w:t>
      </w:r>
      <w:r>
        <w:rPr>
          <w:rFonts w:ascii="宋体" w:hAnsi="宋体" w:cs="宋体" w:eastAsia="宋体" w:hint="default"/>
          <w:spacing w:val="52"/>
        </w:rPr>
        <w:t> </w:t>
      </w:r>
      <w:r>
        <w:rPr/>
        <w:t>选取样本，检查管理层预计总收入和预计总成本所依据的合同和成本预算资料，评价管理层所作估计是否合理、 依据是否充分；</w:t>
      </w:r>
    </w:p>
    <w:p>
      <w:pPr>
        <w:pStyle w:val="BodyText"/>
        <w:spacing w:line="240" w:lineRule="auto" w:before="17"/>
        <w:ind w:left="633" w:right="94"/>
        <w:jc w:val="left"/>
      </w:pPr>
      <w:r>
        <w:rPr>
          <w:rFonts w:ascii="宋体" w:hAnsi="宋体" w:cs="宋体" w:eastAsia="宋体" w:hint="default"/>
        </w:rPr>
        <w:t>(4)</w:t>
      </w:r>
      <w:r>
        <w:rPr>
          <w:rFonts w:ascii="宋体" w:hAnsi="宋体" w:cs="宋体" w:eastAsia="宋体" w:hint="default"/>
          <w:spacing w:val="-1"/>
        </w:rPr>
        <w:t> </w:t>
      </w:r>
      <w:r>
        <w:rPr/>
        <w:t>获取确认收入的内部及外部依据，与收入确认进度进行核对；</w:t>
      </w:r>
    </w:p>
    <w:p>
      <w:pPr>
        <w:spacing w:after="0" w:line="240" w:lineRule="auto"/>
        <w:jc w:val="left"/>
        <w:sectPr>
          <w:pgSz w:w="11910" w:h="16840"/>
          <w:pgMar w:header="877" w:footer="1186" w:top="1100" w:bottom="138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633" w:right="94"/>
        <w:jc w:val="left"/>
      </w:pPr>
      <w:r>
        <w:rPr>
          <w:rFonts w:ascii="宋体" w:hAnsi="宋体" w:cs="宋体" w:eastAsia="宋体" w:hint="default"/>
        </w:rPr>
        <w:t>(5)</w:t>
      </w:r>
      <w:r>
        <w:rPr>
          <w:rFonts w:ascii="宋体" w:hAnsi="宋体" w:cs="宋体" w:eastAsia="宋体" w:hint="default"/>
          <w:spacing w:val="-2"/>
        </w:rPr>
        <w:t> </w:t>
      </w:r>
      <w:r>
        <w:rPr/>
        <w:t>向主要客户函证合同情况、完工进度、材料</w:t>
      </w:r>
      <w:r>
        <w:rPr>
          <w:rFonts w:ascii="宋体" w:hAnsi="宋体" w:cs="宋体" w:eastAsia="宋体" w:hint="default"/>
        </w:rPr>
        <w:t>/</w:t>
      </w:r>
      <w:r>
        <w:rPr/>
        <w:t>构配件</w:t>
      </w:r>
      <w:r>
        <w:rPr>
          <w:rFonts w:ascii="宋体" w:hAnsi="宋体" w:cs="宋体" w:eastAsia="宋体" w:hint="default"/>
        </w:rPr>
        <w:t>/</w:t>
      </w:r>
      <w:r>
        <w:rPr/>
        <w:t>设备报验清单、开票收款等内容；</w:t>
      </w:r>
    </w:p>
    <w:p>
      <w:pPr>
        <w:pStyle w:val="BodyText"/>
        <w:spacing w:line="240" w:lineRule="auto" w:before="76"/>
        <w:ind w:left="633" w:right="94"/>
        <w:jc w:val="left"/>
      </w:pPr>
      <w:r>
        <w:rPr>
          <w:rFonts w:ascii="宋体" w:hAnsi="宋体" w:cs="宋体" w:eastAsia="宋体" w:hint="default"/>
        </w:rPr>
        <w:t>(6)</w:t>
      </w:r>
      <w:r>
        <w:rPr>
          <w:rFonts w:ascii="宋体" w:hAnsi="宋体" w:cs="宋体" w:eastAsia="宋体" w:hint="default"/>
          <w:spacing w:val="-1"/>
        </w:rPr>
        <w:t> </w:t>
      </w:r>
      <w:r>
        <w:rPr/>
        <w:t>抽查样本进行项目现场盘点，确认项目到货及实施情况。</w:t>
      </w:r>
    </w:p>
    <w:p>
      <w:pPr>
        <w:spacing w:line="240" w:lineRule="auto" w:before="0"/>
        <w:rPr>
          <w:rFonts w:ascii="宋体" w:hAnsi="宋体" w:cs="宋体" w:eastAsia="宋体" w:hint="default"/>
          <w:sz w:val="18"/>
          <w:szCs w:val="18"/>
        </w:rPr>
      </w:pPr>
    </w:p>
    <w:p>
      <w:pPr>
        <w:pStyle w:val="BodyText"/>
        <w:spacing w:line="316" w:lineRule="auto" w:before="153"/>
        <w:ind w:left="633" w:right="7441"/>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应收账款坏账准备 </w:t>
      </w:r>
      <w:r>
        <w:rPr>
          <w:rFonts w:ascii="宋体" w:hAnsi="宋体" w:cs="宋体" w:eastAsia="宋体" w:hint="default"/>
        </w:rPr>
        <w:t>1.</w:t>
      </w:r>
      <w:r>
        <w:rPr>
          <w:rFonts w:ascii="宋体" w:hAnsi="宋体" w:cs="宋体" w:eastAsia="宋体" w:hint="default"/>
          <w:spacing w:val="3"/>
        </w:rPr>
        <w:t> </w:t>
      </w:r>
      <w:r>
        <w:rPr/>
        <w:t>关键审计事项</w:t>
      </w:r>
    </w:p>
    <w:p>
      <w:pPr>
        <w:pStyle w:val="BodyText"/>
        <w:spacing w:line="316" w:lineRule="auto" w:before="19"/>
        <w:ind w:right="188" w:firstLine="480"/>
        <w:jc w:val="both"/>
      </w:pPr>
      <w:r>
        <w:rPr/>
        <w:t>参见财务报表附注三（九）与财务报表附注五（一）</w:t>
      </w:r>
      <w:r>
        <w:rPr>
          <w:rFonts w:ascii="宋体" w:hAnsi="宋体" w:cs="宋体" w:eastAsia="宋体" w:hint="default"/>
        </w:rPr>
        <w:t>3</w:t>
      </w:r>
      <w:r>
        <w:rPr/>
        <w:t>应收账款。截至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日，和仁科技公司应收账款账面 余额</w:t>
      </w:r>
      <w:r>
        <w:rPr>
          <w:rFonts w:ascii="宋体" w:hAnsi="宋体" w:cs="宋体" w:eastAsia="宋体" w:hint="default"/>
        </w:rPr>
        <w:t>22,540.74</w:t>
      </w:r>
      <w:r>
        <w:rPr/>
        <w:t>万元，坏账准备金额</w:t>
      </w:r>
      <w:r>
        <w:rPr>
          <w:rFonts w:ascii="宋体" w:hAnsi="宋体" w:cs="宋体" w:eastAsia="宋体" w:hint="default"/>
        </w:rPr>
        <w:t>2,959.87</w:t>
      </w:r>
      <w:r>
        <w:rPr/>
        <w:t>万元，应收账款账面余额占资产总额的</w:t>
      </w:r>
      <w:r>
        <w:rPr>
          <w:rFonts w:ascii="宋体" w:hAnsi="宋体" w:cs="宋体" w:eastAsia="宋体" w:hint="default"/>
        </w:rPr>
        <w:t>32.53%</w:t>
      </w:r>
      <w:r>
        <w:rPr/>
        <w:t>。应收账款坏账准备的确定需要 </w:t>
      </w:r>
      <w:r>
        <w:rPr>
          <w:spacing w:val="-2"/>
        </w:rPr>
        <w:t>管理层识别已发生减值的项目和客观证据、评估预期未来可获取的现金流量并确定其可变现净值，涉及管理层运用重大会计</w:t>
      </w:r>
      <w:r>
        <w:rPr>
          <w:spacing w:val="-63"/>
        </w:rPr>
        <w:t> </w:t>
      </w:r>
      <w:r>
        <w:rPr>
          <w:spacing w:val="-63"/>
        </w:rPr>
      </w:r>
      <w:r>
        <w:rPr/>
        <w:t>估计和判断，且应收账款的可收回性对于财务报表具有重要性，因此，我们将应收账款坏账准备列为关键审计事项。</w:t>
      </w:r>
    </w:p>
    <w:p>
      <w:pPr>
        <w:pStyle w:val="BodyText"/>
        <w:spacing w:line="240" w:lineRule="auto" w:before="19"/>
        <w:ind w:left="633" w:right="94"/>
        <w:jc w:val="left"/>
      </w:pPr>
      <w:r>
        <w:rPr>
          <w:rFonts w:ascii="宋体" w:hAnsi="宋体" w:cs="宋体" w:eastAsia="宋体" w:hint="default"/>
        </w:rPr>
        <w:t>2.</w:t>
      </w:r>
      <w:r>
        <w:rPr>
          <w:rFonts w:ascii="宋体" w:hAnsi="宋体" w:cs="宋体" w:eastAsia="宋体" w:hint="default"/>
          <w:spacing w:val="3"/>
        </w:rPr>
        <w:t> </w:t>
      </w:r>
      <w:r>
        <w:rPr/>
        <w:t>审计中的应对</w:t>
      </w:r>
    </w:p>
    <w:p>
      <w:pPr>
        <w:pStyle w:val="BodyText"/>
        <w:spacing w:line="240" w:lineRule="auto" w:before="76"/>
        <w:ind w:left="633" w:right="94"/>
        <w:jc w:val="left"/>
      </w:pPr>
      <w:r>
        <w:rPr>
          <w:rFonts w:ascii="宋体" w:hAnsi="宋体" w:cs="宋体" w:eastAsia="宋体" w:hint="default"/>
        </w:rPr>
        <w:t>(1)</w:t>
      </w:r>
      <w:r>
        <w:rPr>
          <w:rFonts w:ascii="宋体" w:hAnsi="宋体" w:cs="宋体" w:eastAsia="宋体" w:hint="default"/>
          <w:spacing w:val="-1"/>
        </w:rPr>
        <w:t> </w:t>
      </w:r>
      <w:r>
        <w:rPr/>
        <w:t>测试管理层与应收账款日常管理及可收回性评估相关的关键内部控制；</w:t>
      </w:r>
    </w:p>
    <w:p>
      <w:pPr>
        <w:pStyle w:val="BodyText"/>
        <w:spacing w:line="240" w:lineRule="auto" w:before="77"/>
        <w:ind w:left="633" w:right="94"/>
        <w:jc w:val="left"/>
      </w:pPr>
      <w:r>
        <w:rPr>
          <w:rFonts w:ascii="宋体" w:hAnsi="宋体" w:cs="宋体" w:eastAsia="宋体" w:hint="default"/>
        </w:rPr>
        <w:t>(2)</w:t>
      </w:r>
      <w:r>
        <w:rPr>
          <w:rFonts w:ascii="宋体" w:hAnsi="宋体" w:cs="宋体" w:eastAsia="宋体" w:hint="default"/>
          <w:spacing w:val="-1"/>
        </w:rPr>
        <w:t> </w:t>
      </w:r>
      <w:r>
        <w:rPr/>
        <w:t>获取坏账准备计提表，检查账龄并重新计算坏账计提金额是否准确；</w:t>
      </w:r>
    </w:p>
    <w:p>
      <w:pPr>
        <w:pStyle w:val="BodyText"/>
        <w:spacing w:line="240" w:lineRule="auto" w:before="76"/>
        <w:ind w:left="633" w:right="94"/>
        <w:jc w:val="left"/>
      </w:pPr>
      <w:r>
        <w:rPr>
          <w:rFonts w:ascii="宋体" w:hAnsi="宋体" w:cs="宋体" w:eastAsia="宋体" w:hint="default"/>
        </w:rPr>
        <w:t>(3)</w:t>
      </w:r>
      <w:r>
        <w:rPr>
          <w:rFonts w:ascii="宋体" w:hAnsi="宋体" w:cs="宋体" w:eastAsia="宋体" w:hint="default"/>
          <w:spacing w:val="-1"/>
        </w:rPr>
        <w:t> </w:t>
      </w:r>
      <w:r>
        <w:rPr/>
        <w:t>分析管理层对应收账款可收回性进行评估的相关考虑及客观证据；</w:t>
      </w:r>
    </w:p>
    <w:p>
      <w:pPr>
        <w:pStyle w:val="BodyText"/>
        <w:spacing w:line="240" w:lineRule="auto" w:before="76"/>
        <w:ind w:left="633" w:right="94"/>
        <w:jc w:val="left"/>
      </w:pPr>
      <w:r>
        <w:rPr>
          <w:rFonts w:ascii="宋体" w:hAnsi="宋体" w:cs="宋体" w:eastAsia="宋体" w:hint="default"/>
        </w:rPr>
        <w:t>(4)</w:t>
      </w:r>
      <w:r>
        <w:rPr>
          <w:rFonts w:ascii="宋体" w:hAnsi="宋体" w:cs="宋体" w:eastAsia="宋体" w:hint="default"/>
          <w:spacing w:val="-1"/>
        </w:rPr>
        <w:t> </w:t>
      </w:r>
      <w:r>
        <w:rPr/>
        <w:t>向主要客户函证合同内容、完工进度、开票、回款等信息，确认应收账款的权利；</w:t>
      </w:r>
    </w:p>
    <w:p>
      <w:pPr>
        <w:pStyle w:val="BodyText"/>
        <w:spacing w:line="240" w:lineRule="auto" w:before="76"/>
        <w:ind w:left="633" w:right="94"/>
        <w:jc w:val="left"/>
      </w:pPr>
      <w:r>
        <w:rPr>
          <w:rFonts w:ascii="宋体" w:hAnsi="宋体" w:cs="宋体" w:eastAsia="宋体" w:hint="default"/>
        </w:rPr>
        <w:t>(5)</w:t>
      </w:r>
      <w:r>
        <w:rPr>
          <w:rFonts w:ascii="宋体" w:hAnsi="宋体" w:cs="宋体" w:eastAsia="宋体" w:hint="default"/>
          <w:spacing w:val="-1"/>
        </w:rPr>
        <w:t> </w:t>
      </w:r>
      <w:r>
        <w:rPr/>
        <w:t>访谈账龄超过</w:t>
      </w:r>
      <w:r>
        <w:rPr>
          <w:rFonts w:ascii="宋体" w:hAnsi="宋体" w:cs="宋体" w:eastAsia="宋体" w:hint="default"/>
        </w:rPr>
        <w:t>1</w:t>
      </w:r>
      <w:r>
        <w:rPr/>
        <w:t>年的大额应收账款客户，了解项目决算及付款暂缓的原因。</w:t>
      </w:r>
    </w:p>
    <w:p>
      <w:pPr>
        <w:spacing w:line="240" w:lineRule="auto" w:before="0"/>
        <w:rPr>
          <w:rFonts w:ascii="宋体" w:hAnsi="宋体" w:cs="宋体" w:eastAsia="宋体" w:hint="default"/>
          <w:sz w:val="18"/>
          <w:szCs w:val="18"/>
        </w:rPr>
      </w:pPr>
    </w:p>
    <w:p>
      <w:pPr>
        <w:pStyle w:val="BodyText"/>
        <w:spacing w:line="316" w:lineRule="auto" w:before="153"/>
        <w:ind w:left="633" w:right="189" w:firstLine="2"/>
        <w:jc w:val="left"/>
      </w:pPr>
      <w:r>
        <w:rPr>
          <w:rFonts w:ascii="宋体" w:hAnsi="宋体" w:cs="宋体" w:eastAsia="宋体" w:hint="default"/>
          <w:b/>
          <w:bCs/>
        </w:rPr>
        <w:t>四、其他信息</w:t>
      </w:r>
      <w:r>
        <w:rPr>
          <w:rFonts w:ascii="宋体" w:hAnsi="宋体" w:cs="宋体" w:eastAsia="宋体" w:hint="default"/>
          <w:b/>
          <w:bCs/>
          <w:w w:val="99"/>
        </w:rPr>
        <w:t> </w:t>
      </w:r>
      <w:r>
        <w:rPr/>
        <w:t>管理层对其他信息负责。其他信息包括年度报告中涵盖的信息，但不包括财务报表和我们的审计报告。 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319" w:lineRule="auto" w:before="19"/>
        <w:ind w:left="633" w:right="94" w:hanging="481"/>
        <w:jc w:val="left"/>
      </w:pPr>
      <w:r>
        <w:rPr/>
        <w:t>过程中了解到的情况存在重大不一致或者似乎存在重大错报。 </w:t>
      </w:r>
      <w:r>
        <w:rPr>
          <w:spacing w:val="-1"/>
        </w:rPr>
        <w:t>基于我们已执行的工作，如果我们确定其他信息存在重大错报，我们应当报告该事实。在这方面，我们无任何事项需</w:t>
      </w:r>
    </w:p>
    <w:p>
      <w:pPr>
        <w:pStyle w:val="BodyText"/>
        <w:spacing w:line="240" w:lineRule="auto" w:before="17"/>
        <w:ind w:right="94"/>
        <w:jc w:val="left"/>
      </w:pPr>
      <w:r>
        <w:rPr/>
        <w:t>要报告。</w:t>
      </w:r>
    </w:p>
    <w:p>
      <w:pPr>
        <w:spacing w:line="240" w:lineRule="auto" w:before="0"/>
        <w:rPr>
          <w:rFonts w:ascii="宋体" w:hAnsi="宋体" w:cs="宋体" w:eastAsia="宋体" w:hint="default"/>
          <w:sz w:val="18"/>
          <w:szCs w:val="18"/>
        </w:rPr>
      </w:pPr>
    </w:p>
    <w:p>
      <w:pPr>
        <w:spacing w:line="316" w:lineRule="auto" w:before="153"/>
        <w:ind w:left="633" w:right="94" w:firstLine="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管理层负责按照企业会计准则的规定编制财务报表，使其实现公允反映，并设计、执行和维护必要的内部控制，以使</w:t>
      </w:r>
    </w:p>
    <w:p>
      <w:pPr>
        <w:pStyle w:val="BodyText"/>
        <w:spacing w:line="316" w:lineRule="auto" w:before="19"/>
        <w:ind w:left="633" w:right="94" w:hanging="481"/>
        <w:jc w:val="left"/>
      </w:pPr>
      <w:r>
        <w:rPr/>
        <w:t>财务报表不存在由于舞弊或错误导致的重大错报。 </w:t>
      </w:r>
      <w:r>
        <w:rPr>
          <w:spacing w:val="-1"/>
        </w:rPr>
        <w:t>在编制财务报表时，管理层负责评估和仁科技公司的持续经营能力，披露与持续经营相关的事项（如适用），并运用</w:t>
      </w:r>
    </w:p>
    <w:p>
      <w:pPr>
        <w:pStyle w:val="BodyText"/>
        <w:spacing w:line="316" w:lineRule="auto" w:before="19"/>
        <w:ind w:left="633" w:right="2853" w:hanging="481"/>
        <w:jc w:val="left"/>
      </w:pPr>
      <w:r>
        <w:rPr/>
        <w:t>持续经营假设，除非计划进行清算、终止运营或别无其他现实的选择。 和仁科技公司治理层（以下简称治理层）负责监督和仁科技公司的财务报告过程。</w:t>
      </w:r>
    </w:p>
    <w:p>
      <w:pPr>
        <w:spacing w:line="240" w:lineRule="auto" w:before="4"/>
        <w:rPr>
          <w:rFonts w:ascii="宋体" w:hAnsi="宋体" w:cs="宋体" w:eastAsia="宋体" w:hint="default"/>
          <w:sz w:val="25"/>
          <w:szCs w:val="25"/>
        </w:rPr>
      </w:pPr>
    </w:p>
    <w:p>
      <w:pPr>
        <w:spacing w:line="319" w:lineRule="auto" w:before="0"/>
        <w:ind w:left="633" w:right="94" w:firstLine="2"/>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1"/>
          <w:sz w:val="18"/>
          <w:szCs w:val="18"/>
        </w:rPr>
        <w:t>我们的目标是对财务报表整体是否不存在由于舞弊或错误导致的重大错报获取合理保证，并出具包含审计意见的审计</w:t>
      </w:r>
    </w:p>
    <w:p>
      <w:pPr>
        <w:pStyle w:val="BodyText"/>
        <w:spacing w:line="316" w:lineRule="auto" w:before="17"/>
        <w:ind w:right="190"/>
        <w:jc w:val="both"/>
      </w:pP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9"/>
        <w:ind w:left="633" w:right="94"/>
        <w:jc w:val="left"/>
      </w:pPr>
      <w:r>
        <w:rPr/>
        <w:t>在按照审计准则执行审计工作的过程中，我们运用职业判断，并保持职业怀疑。同时，我们也执行以下工作：</w:t>
      </w:r>
    </w:p>
    <w:p>
      <w:pPr>
        <w:pStyle w:val="BodyText"/>
        <w:spacing w:line="316" w:lineRule="auto" w:before="76"/>
        <w:ind w:right="94" w:firstLine="48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7"/>
        </w:rPr>
        <w:t> </w:t>
      </w:r>
      <w:r>
        <w:rPr>
          <w:spacing w:val="-3"/>
        </w:rPr>
        <w:t>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w:t>
      </w:r>
      <w:r>
        <w:rPr>
          <w:spacing w:val="-83"/>
        </w:rPr>
        <w:t> </w:t>
      </w:r>
      <w:r>
        <w:rPr>
          <w:spacing w:val="-83"/>
        </w:rPr>
      </w:r>
      <w:r>
        <w:rPr/>
        <w:t>未能发现由于舞弊导致的重大错报的风险高于未能发现由于错误导致的重大错报的风险。</w:t>
      </w:r>
    </w:p>
    <w:p>
      <w:pPr>
        <w:pStyle w:val="BodyText"/>
        <w:spacing w:line="316" w:lineRule="auto" w:before="19"/>
        <w:ind w:left="633" w:right="1143"/>
        <w:jc w:val="left"/>
      </w:pPr>
      <w:r>
        <w:rPr>
          <w:rFonts w:ascii="宋体" w:hAnsi="宋体" w:cs="宋体" w:eastAsia="宋体" w:hint="default"/>
        </w:rPr>
        <w:t>(</w:t>
      </w:r>
      <w:r>
        <w:rPr/>
        <w:t>二</w:t>
      </w:r>
      <w:r>
        <w:rPr>
          <w:rFonts w:ascii="宋体" w:hAnsi="宋体" w:cs="宋体" w:eastAsia="宋体" w:hint="default"/>
        </w:rPr>
        <w:t>) </w:t>
      </w:r>
      <w:r>
        <w:rPr/>
        <w:t>了解与审计相关的内部控制，以设计恰当的审计程序，但目的并非对内部控制的有效性发表意见。 </w:t>
      </w:r>
      <w:r>
        <w:rPr>
          <w:rFonts w:ascii="宋体" w:hAnsi="宋体" w:cs="宋体" w:eastAsia="宋体" w:hint="default"/>
        </w:rPr>
        <w:t>(</w:t>
      </w:r>
      <w:r>
        <w:rPr/>
        <w:t>三</w:t>
      </w:r>
      <w:r>
        <w:rPr>
          <w:rFonts w:ascii="宋体" w:hAnsi="宋体" w:cs="宋体" w:eastAsia="宋体" w:hint="default"/>
        </w:rPr>
        <w:t>) </w:t>
      </w:r>
      <w:r>
        <w:rPr/>
        <w:t>评价管理层选用会计政策的恰当性和作出会计估计及相关披露的合理性。</w:t>
      </w:r>
    </w:p>
    <w:p>
      <w:pPr>
        <w:pStyle w:val="BodyText"/>
        <w:spacing w:line="316" w:lineRule="auto" w:before="19"/>
        <w:ind w:right="189" w:firstLine="480"/>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55"/>
        </w:rPr>
        <w:t> </w:t>
      </w:r>
      <w:r>
        <w:rPr/>
        <w:t>对管理层使用持续经营假设的恰当性得出结论。同时，根据获取的审计证据，就可能导致对和仁科技公司持续 </w:t>
      </w:r>
      <w:r>
        <w:rPr>
          <w:spacing w:val="-2"/>
        </w:rPr>
        <w:t>经营能力产生重大疑虑的事项或情况是否存在重大不确定性得出结论。如果我们得出结论认为存在重大不确定性，审计准则</w:t>
      </w:r>
    </w:p>
    <w:p>
      <w:pPr>
        <w:spacing w:after="0" w:line="316" w:lineRule="auto"/>
        <w:jc w:val="left"/>
        <w:sectPr>
          <w:pgSz w:w="11910" w:h="16840"/>
          <w:pgMar w:header="877" w:footer="1186" w:top="1100" w:bottom="138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0"/>
        <w:jc w:val="left"/>
      </w:pPr>
      <w:r>
        <w:rPr>
          <w:spacing w:val="-2"/>
        </w:rPr>
        <w:t>要求我们在审计报告中提请报表使用者注意财务报表中的相关披露；如果披露不充分，我们应当发表非无保留意见。我们的</w:t>
      </w:r>
      <w:r>
        <w:rPr>
          <w:spacing w:val="-66"/>
        </w:rPr>
        <w:t> </w:t>
      </w:r>
      <w:r>
        <w:rPr>
          <w:spacing w:val="-66"/>
        </w:rPr>
      </w:r>
      <w:r>
        <w:rPr/>
        <w:t>结论基于截至审计报告日可获得的信息。然而，未来的事项或情况可能导致和仁科技公司不能持续经营。</w:t>
      </w:r>
    </w:p>
    <w:p>
      <w:pPr>
        <w:pStyle w:val="BodyText"/>
        <w:spacing w:line="240" w:lineRule="auto" w:before="19"/>
        <w:ind w:left="633" w:right="0"/>
        <w:jc w:val="left"/>
      </w:pPr>
      <w:r>
        <w:rPr>
          <w:rFonts w:ascii="宋体" w:hAnsi="宋体" w:cs="宋体" w:eastAsia="宋体" w:hint="default"/>
        </w:rPr>
        <w:t>(</w:t>
      </w:r>
      <w:r>
        <w:rPr/>
        <w:t>五</w:t>
      </w:r>
      <w:r>
        <w:rPr>
          <w:rFonts w:ascii="宋体" w:hAnsi="宋体" w:cs="宋体" w:eastAsia="宋体" w:hint="default"/>
        </w:rPr>
        <w:t>) </w:t>
      </w:r>
      <w:r>
        <w:rPr/>
        <w:t>评价财务报表的总体列报、结构和内容（包括披露），并评价财务报表是否公允反映相关交易和事项。</w:t>
      </w:r>
    </w:p>
    <w:p>
      <w:pPr>
        <w:pStyle w:val="BodyText"/>
        <w:spacing w:line="316" w:lineRule="auto" w:before="76"/>
        <w:ind w:right="153" w:firstLine="480"/>
        <w:jc w:val="both"/>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54"/>
        </w:rPr>
        <w:t> </w:t>
      </w:r>
      <w:r>
        <w:rPr/>
        <w:t>就和仁科技公司中实体或业务活动的财务信息获取充分、适当的审计证据，以对财务报表发表审计意见。我们 负责指导、监督和执行集团审计，并对审计意见承担全部责任。</w:t>
      </w:r>
    </w:p>
    <w:p>
      <w:pPr>
        <w:pStyle w:val="BodyText"/>
        <w:spacing w:line="316" w:lineRule="auto" w:before="19"/>
        <w:ind w:right="155" w:firstLine="480"/>
        <w:jc w:val="both"/>
      </w:pPr>
      <w:r>
        <w:rPr>
          <w:spacing w:val="-1"/>
        </w:rPr>
        <w:t>我们与治理层就计划的审计范围、时间安排和重大审计发现等事项进行沟通，包括沟通我们在审计中识别出的值得关</w:t>
      </w:r>
      <w:r>
        <w:rPr/>
        <w:t> 注的内部控制缺陷。</w:t>
      </w:r>
    </w:p>
    <w:p>
      <w:pPr>
        <w:pStyle w:val="BodyText"/>
        <w:spacing w:line="316" w:lineRule="auto" w:before="19"/>
        <w:ind w:right="152" w:firstLine="480"/>
        <w:jc w:val="both"/>
      </w:pPr>
      <w:r>
        <w:rPr>
          <w:spacing w:val="-1"/>
        </w:rPr>
        <w:t>我们还就已遵守与独立性相关的职业道德要求向治理层提供声明，并与治理层沟通可能被合理认为影响我们独立性的</w:t>
      </w:r>
      <w:r>
        <w:rPr/>
        <w:t> 所有关系和其他事项，以及相关的防范措施（如适用）。</w:t>
      </w:r>
    </w:p>
    <w:p>
      <w:pPr>
        <w:pStyle w:val="BodyText"/>
        <w:spacing w:line="319" w:lineRule="auto" w:before="19"/>
        <w:ind w:right="152" w:firstLine="480"/>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编制单位：浙江和仁科技股份有限公司</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117,112,048.56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128,929,938.28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17,939,556.00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195,808,655.22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145,841,686.43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5,863,135.54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2,496,712.35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21,087,299.06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19,211,164.12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1,243,382.97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301,568.39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136,089,855.38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98,161,399.60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477,899,676.73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412,882,025.17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19,780,080.00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59,713,966.13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118,970,098.40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6,795,504.68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155,570,537.30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10,104,332.66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7,656,681.53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2,511,792.95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1,256,911.21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551,215.46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5,195,546.36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3,023,616.88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215,020,934.76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176,109,348.80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692,920,611.49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588,991,373.97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4,504,275.20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3,216,421.50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112,218,667.23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67,805,152.67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5,852,039.28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7,699,513.26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16,917,134.14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13,229,159.95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8,026,316.05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6,600,897.76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30,103.94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5,550,280.22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3,553,157.15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177,298,816.06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102,104,302.29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1,097,104.79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559,235.05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1,097,104.79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559,235.05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178,395,920.85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102,663,537.34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226,783,020.02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226,783,020.02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20,763,715.09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17,715,168.46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177,293,242.59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155,437,215.88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504,839,977.70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479,935,404.36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9,684,712.94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6,392,432.27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514,524,690.64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486,327,836.63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692,920,611.49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588,991,373.97</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法定代表人：杨一兵</w:t>
        <w:tab/>
      </w:r>
      <w:r>
        <w:rPr>
          <w:spacing w:val="-1"/>
        </w:rPr>
        <w:t>主管会计工作负责人：张雪峰</w:t>
        <w:tab/>
      </w:r>
      <w:r>
        <w:rPr/>
        <w:t>会计机构负责人：刘双双</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92,802,107.84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111,707,938.33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17,939,556.00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189,610,487.60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148,818,359.30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5,324,042.39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2,972,765.74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26,768,264.21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21,520,110.03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451,721.21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135,721,838.97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98,044,338.71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451,373,762.22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401,003,068.11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19,780,080.00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16,073,000.00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11,873,000.00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59,713,966.13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115,720,067.23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3,019,801.51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155,570,537.30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4,497,500.00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4,879,033.13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56,960.35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5,175,215.66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3,011,938.04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221,016,789.37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178,354,309.98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672,390,551.59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579,357,378.09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4,504,275.20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3,216,421.50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104,637,334.22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63,333,541.63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5,850,717.03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6,353,281.26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14,849,054.06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12,380,415.37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6,460,754.97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5,912,798.09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30,103.94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4,400,302.17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3,541,403.97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164,932,541.59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94,737,861.82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794,182.10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441,154.64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794,182.10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441,154.64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165,726,723.69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95,179,016.46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227,026,677.05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227,026,677.05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20,763,715.09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17,715,168.46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178,873,435.76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159,436,516.12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506,663,827.90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484,178,361.63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672,390,551.59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579,357,378.09</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after="0" w:line="240" w:lineRule="auto"/>
        <w:jc w:val="right"/>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211.009995pt;margin-top:581.200012pt;width:158.9pt;height:20.65pt;mso-position-horizontal-relative:page;mso-position-vertical-relative:page;z-index:-802960" coordorigin="4220,11624" coordsize="3178,413">
            <v:group style="position:absolute;left:4231;top:11635;width:2;height:392" coordorigin="4231,11635" coordsize="2,392">
              <v:shape style="position:absolute;left:4231;top:11635;width:2;height:392" coordorigin="4231,11635" coordsize="0,392" path="m4231,11635l4231,12026e" filled="false" stroked="true" strokeweight="1.08pt" strokecolor="#ffffff">
                <v:path arrowok="t"/>
              </v:shape>
            </v:group>
            <v:group style="position:absolute;left:4242;top:11635;width:3157;height:392" coordorigin="4242,11635" coordsize="3157,392">
              <v:shape style="position:absolute;left:4242;top:11635;width:3157;height:392" coordorigin="4242,11635" coordsize="3157,392" path="m4242,12026l7398,12026,7398,11635,4242,11635,4242,12026xe" filled="true" fillcolor="#ffffff" stroked="false">
                <v:path arrowok="t"/>
                <v:fill type="solid"/>
              </v:shape>
            </v:group>
            <w10:wrap type="none"/>
          </v:group>
        </w:pict>
      </w:r>
      <w:r>
        <w:rPr/>
        <w:pict>
          <v:group style="position:absolute;margin-left:211.009995pt;margin-top:717.395996pt;width:158.9pt;height:20.7pt;mso-position-horizontal-relative:page;mso-position-vertical-relative:page;z-index:-802936" coordorigin="4220,14348" coordsize="3178,414">
            <v:group style="position:absolute;left:4231;top:14359;width:2;height:392" coordorigin="4231,14359" coordsize="2,392">
              <v:shape style="position:absolute;left:4231;top:14359;width:2;height:392" coordorigin="4231,14359" coordsize="0,392" path="m4231,14359l4231,14750e" filled="false" stroked="true" strokeweight="1.08pt" strokecolor="#ffffff">
                <v:path arrowok="t"/>
              </v:shape>
            </v:group>
            <v:group style="position:absolute;left:4242;top:14359;width:3157;height:392" coordorigin="4242,14359" coordsize="3157,392">
              <v:shape style="position:absolute;left:4242;top:14359;width:3157;height:392" coordorigin="4242,14359" coordsize="3157,392" path="m4242,14750l7398,14750,7398,14359,4242,14359,4242,1475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7"/>
        <w:gridCol w:w="1117"/>
        <w:gridCol w:w="2105"/>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276,257,927.40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235,640,231.16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276,257,927.40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235,640,231.16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255,095,487.08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195,034,673.36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143,190,181.56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104,563,538.13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4,875,547.43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2,697,449.44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29,007,346.51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18,129,955.76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64,787,914.95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60,078,498.13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16,035.62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-346,428.98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13,218,461.01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9,911,660.88</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3,945,477.07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390,663.25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-16,863.53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28,125.30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12,352,860.22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37,443,914.08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41,024,346.35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508,547.26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17,251,934.65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266,104.80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137,382.73</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42" w:right="0"/>
              <w:jc w:val="left"/>
              <w:rPr>
                <w:rFonts w:ascii="Times New Roman" w:hAnsi="Times New Roman" w:cs="Times New Roman" w:eastAsia="Times New Roman" w:hint="default"/>
                <w:sz w:val="18"/>
                <w:szCs w:val="18"/>
              </w:rPr>
            </w:pPr>
            <w:r>
              <w:rPr>
                <w:rFonts w:ascii="Times New Roman"/>
                <w:sz w:val="18"/>
              </w:rPr>
              <w:t>37,686,356.54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58,138,898.27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4,289,502.53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6,411,180.62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33,396,854.01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51,727,717.65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33,396,854.01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51,727,717.65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32,904,573.34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52,070,995.55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492,280.67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-343,277.90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33,396,854.01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51,727,717.65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32,904,573.34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52,070,995.55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492,280.67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-343,277.90</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0.820</w:t>
            </w:r>
          </w:p>
        </w:tc>
      </w:tr>
    </w:tbl>
    <w:p>
      <w:pPr>
        <w:pStyle w:val="BodyText"/>
        <w:tabs>
          <w:tab w:pos="3578" w:val="left" w:leader="none"/>
          <w:tab w:pos="7721" w:val="left" w:leader="none"/>
        </w:tabs>
        <w:spacing w:line="595" w:lineRule="auto" w:before="49"/>
        <w:ind w:right="243"/>
        <w:jc w:val="left"/>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 </w:t>
      </w:r>
      <w:r>
        <w:rPr/>
        <w:t>元，上期被合并方实现的净利润为：</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 法定代表人：杨一兵</w:t>
        <w:tab/>
      </w:r>
      <w:r>
        <w:rPr>
          <w:spacing w:val="-1"/>
        </w:rPr>
        <w:t>主管会计工作负责人：张雪峰</w:t>
        <w:tab/>
      </w:r>
      <w:r>
        <w:rPr/>
        <w:t>会计机构负责人：刘双双</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245,099,871.30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223,659,479.45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132,405,914.89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100,980,327.39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4,695,297.31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2,596,427.60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23,076,680.89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15,524,512.50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52,508,531.73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52,510,167.48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47,830.02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-180,197.87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13,615,786.61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9,906,801.94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3,814,095.06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390,663.25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-14,386.53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28,847.70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11,570,596.09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34,120,134.47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42,740,951.36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508,547.26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17,470,353.43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251,660.64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129,946.61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34,377,021.09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60,081,358.18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3,891,554.82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5,875,306.64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30,485,466.27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54,206,051.54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30,485,466.27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54,206,051.54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30,485,466.27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54,206,051.54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2148" w:right="0"/>
              <w:jc w:val="left"/>
              <w:rPr>
                <w:rFonts w:ascii="Times New Roman" w:hAnsi="Times New Roman" w:cs="Times New Roman" w:eastAsia="Times New Roman" w:hint="default"/>
                <w:sz w:val="18"/>
                <w:szCs w:val="18"/>
              </w:rPr>
            </w:pPr>
            <w:r>
              <w:rPr>
                <w:rFonts w:ascii="Times New Roman"/>
                <w:sz w:val="18"/>
              </w:rPr>
              <w:t>247,654,196.81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221,312,599.01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8,456,447.34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9,845,248.32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8,938,307.87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15,969,873.58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265,048,952.02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247,127,720.91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73,508,693.77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86,217,281.56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85,097,872.80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74,000,368.83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29,247,309.97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32,401,049.73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32,519,208.39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38,624,820.65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220,373,084.93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231,243,520.77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44,675,867.09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15,884,200.14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3,945,477.07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390,663.25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192,066.66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208,916.94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976,037,543.73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205,599,580.19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38,351,401.18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45,869,655.55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1,011,900,000.00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1,050,251,401.18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315,869,655.55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-74,213,857.45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-110,270,075.36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224,332,000.00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3,412,000.00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18,719,618.00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23,938.30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27,023,938.30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243,051,618.00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82,262,172.30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8,673,220.67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3,207,853.79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9,533,220.67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93,940,026.09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17,490,717.63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149,111,591.91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-12,047,272.73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54,725,716.69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125,961,468.23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71,235,751.54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113,914,195.50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125,961,468.23</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223,809,665.00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201,195,779.44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8,288,327.68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9,845,248.32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8,116,288.93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15,224,577.58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240,214,281.61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226,265,605.34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68,746,538.52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88,488,170.18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71,757,325.11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65,941,796.20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27,452,698.82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31,496,985.86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27,808,248.54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34,615,168.77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195,764,810.99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220,542,121.01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44,449,470.62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5,723,484.33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3,814,095.06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390,663.25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184,209.96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1,181,175.91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500,772.70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17,549,700.00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963,499,077.72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224,121,539.16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35,681,941.17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37,643,458.90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1,003,200,000.00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274,388,000.00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2,868,600.00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1,041,750,541.17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329,981,458.90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-78,251,463.45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-105,859,919.74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220,920,000.00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18,719,618.00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239,639,618.00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82,262,172.30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8,673,220.67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3,207,853.79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15,126,000.00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9,533,220.67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100,596,026.09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14,666,779.33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139,043,591.91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2"/>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-19,135,213.50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38,907,156.50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108,739,468.28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69,832,311.78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89,604,254.78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108,739,468.28</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1"/>
        <w:gridCol w:w="530"/>
        <w:gridCol w:w="665"/>
        <w:gridCol w:w="665"/>
        <w:gridCol w:w="665"/>
        <w:gridCol w:w="665"/>
        <w:gridCol w:w="665"/>
        <w:gridCol w:w="665"/>
        <w:gridCol w:w="665"/>
        <w:gridCol w:w="665"/>
        <w:gridCol w:w="660"/>
      </w:tblGrid>
      <w:tr>
        <w:trPr>
          <w:trHeight w:val="403"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5"/>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226,783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,020.02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17,715,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168.46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155,437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,215.88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6,392,4</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32.27</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486,327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,836.63</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226,783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,020.02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17,715,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168.46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155,437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,215.88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6,392,4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32.27</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486,327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,836.63</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3,048,5</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46.63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21,856,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026.71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3,292,2</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80.67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28,196,</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854.01</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32,904,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573.34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492,280</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.67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33,396,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854.01</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3,048,5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46.63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-11,048,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546.63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3,048,5</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46.63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-3,048,5</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46.63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226,783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,020.02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20,763,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715.09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177,293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,242.59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9,684,7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12.94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514,524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,690.64</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9"/>
        <w:gridCol w:w="562"/>
        <w:gridCol w:w="518"/>
        <w:gridCol w:w="531"/>
        <w:gridCol w:w="533"/>
        <w:gridCol w:w="662"/>
        <w:gridCol w:w="665"/>
        <w:gridCol w:w="668"/>
        <w:gridCol w:w="665"/>
        <w:gridCol w:w="662"/>
        <w:gridCol w:w="665"/>
        <w:gridCol w:w="680"/>
        <w:gridCol w:w="653"/>
        <w:gridCol w:w="647"/>
      </w:tblGrid>
      <w:tr>
        <w:trPr>
          <w:trHeight w:val="401" w:hRule="exact"/>
        </w:trPr>
        <w:tc>
          <w:tcPr>
            <w:tcW w:w="1449" w:type="dxa"/>
            <w:vMerge w:val="restart"/>
            <w:tcBorders>
              <w:top w:val="single" w:sz="4" w:space="0" w:color="000000"/>
              <w:left w:val="single" w:sz="4" w:space="0" w:color="000000"/>
              <w:right w:val="single" w:sz="4" w:space="0" w:color="000000"/>
            </w:tcBorders>
            <w:shd w:val="clear" w:color="auto" w:fill="D2D2D2"/>
          </w:tcPr>
          <w:p>
            <w:pPr/>
          </w:p>
        </w:tc>
        <w:tc>
          <w:tcPr>
            <w:tcW w:w="811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49"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4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4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39"/>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47" w:type="dxa"/>
            <w:vMerge/>
            <w:tcBorders>
              <w:left w:val="single" w:sz="4" w:space="0" w:color="000000"/>
              <w:right w:val="single" w:sz="4" w:space="0" w:color="000000"/>
            </w:tcBorders>
            <w:shd w:val="clear" w:color="auto" w:fill="D2D2D2"/>
          </w:tcPr>
          <w:p>
            <w:pPr/>
          </w:p>
        </w:tc>
      </w:tr>
      <w:tr>
        <w:trPr>
          <w:trHeight w:val="172"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82"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84" w:hRule="exact"/>
        </w:trPr>
        <w:tc>
          <w:tcPr>
            <w:tcW w:w="1449"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158"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69" w:hRule="exact"/>
        </w:trPr>
        <w:tc>
          <w:tcPr>
            <w:tcW w:w="1449"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56" w:hRule="exact"/>
        </w:trPr>
        <w:tc>
          <w:tcPr>
            <w:tcW w:w="1449"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47" w:type="dxa"/>
            <w:vMerge/>
            <w:tcBorders>
              <w:left w:val="single" w:sz="4" w:space="0" w:color="000000"/>
              <w:bottom w:val="nil" w:sz="6" w:space="0" w:color="auto"/>
              <w:right w:val="single" w:sz="4" w:space="0" w:color="000000"/>
            </w:tcBorders>
            <w:shd w:val="clear" w:color="auto" w:fill="D2D2D2"/>
          </w:tcPr>
          <w:p>
            <w:pPr/>
          </w:p>
        </w:tc>
      </w:tr>
      <w:tr>
        <w:trPr>
          <w:trHeight w:val="230" w:hRule="exact"/>
        </w:trPr>
        <w:tc>
          <w:tcPr>
            <w:tcW w:w="1449"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18"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4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9" w:hRule="exact"/>
        </w:trPr>
        <w:tc>
          <w:tcPr>
            <w:tcW w:w="144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2" w:space="0" w:color="D2D2D2"/>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2"/>
              <w:ind w:left="56" w:right="0"/>
              <w:jc w:val="left"/>
              <w:rPr>
                <w:rFonts w:ascii="Times New Roman" w:hAnsi="Times New Roman" w:cs="Times New Roman" w:eastAsia="Times New Roman" w:hint="default"/>
                <w:sz w:val="18"/>
                <w:szCs w:val="18"/>
              </w:rPr>
            </w:pPr>
            <w:r>
              <w:rPr>
                <w:rFonts w:ascii="Times New Roman"/>
                <w:sz w:val="18"/>
              </w:rPr>
              <w:t>,000.0</w:t>
            </w:r>
          </w:p>
        </w:tc>
        <w:tc>
          <w:tcPr>
            <w:tcW w:w="518"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32,979,</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12,294,</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108,786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3,323,7</w:t>
            </w:r>
          </w:p>
        </w:tc>
        <w:tc>
          <w:tcPr>
            <w:tcW w:w="64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217,384</w:t>
            </w:r>
          </w:p>
        </w:tc>
      </w:tr>
      <w:tr>
        <w:trPr>
          <w:trHeight w:val="535" w:hRule="exact"/>
        </w:trPr>
        <w:tc>
          <w:tcPr>
            <w:tcW w:w="144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2" w:space="0" w:color="D2D2D2"/>
              <w:bottom w:val="single" w:sz="4" w:space="0" w:color="000000"/>
              <w:right w:val="single" w:sz="4" w:space="0" w:color="000000"/>
            </w:tcBorders>
          </w:tcPr>
          <w:p>
            <w:pPr/>
          </w:p>
        </w:tc>
        <w:tc>
          <w:tcPr>
            <w:tcW w:w="518"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Times New Roman"/>
                <w:sz w:val="18"/>
              </w:rPr>
              <w:t>011.64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563.31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,825.48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3" w:right="0"/>
              <w:jc w:val="left"/>
              <w:rPr>
                <w:rFonts w:ascii="Times New Roman" w:hAnsi="Times New Roman" w:cs="Times New Roman" w:eastAsia="Times New Roman" w:hint="default"/>
                <w:sz w:val="18"/>
                <w:szCs w:val="18"/>
              </w:rPr>
            </w:pPr>
            <w:r>
              <w:rPr>
                <w:rFonts w:ascii="Times New Roman"/>
                <w:sz w:val="18"/>
              </w:rPr>
              <w:t>10.17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left"/>
              <w:rPr>
                <w:rFonts w:ascii="Times New Roman" w:hAnsi="Times New Roman" w:cs="Times New Roman" w:eastAsia="Times New Roman" w:hint="default"/>
                <w:sz w:val="18"/>
                <w:szCs w:val="18"/>
              </w:rPr>
            </w:pPr>
            <w:r>
              <w:rPr>
                <w:rFonts w:ascii="Times New Roman"/>
                <w:sz w:val="18"/>
              </w:rPr>
              <w:t>,110.60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32,979,</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011.64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12,294,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563.31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108,786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,825.48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3,323,7</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10.17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217,384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,110.60</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193,804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,008.38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5,420,6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05.15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46,650,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390.40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3,068,7</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22.10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268,943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,726.03</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52,070,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995.55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-343,27</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7.90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51,727,</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717.65</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193,804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,008.38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3,412,0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217,216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,008.38</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193,804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,008.38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3,412,0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217,216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,008.38</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5,420,6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05.15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-5,420,6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05.15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5,420,6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05.15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-5,420,6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05.15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226,783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,020.02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17,715,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168.46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155,437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,215.88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6,392,4</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32.27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486,327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,836.63</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799"/>
        <w:gridCol w:w="797"/>
        <w:gridCol w:w="677"/>
        <w:gridCol w:w="780"/>
      </w:tblGrid>
      <w:tr>
        <w:trPr>
          <w:trHeight w:val="396"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227,026,6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77.05</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17,715,16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8.46</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159,436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,516.12</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484,178,3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61.63</w:t>
            </w:r>
          </w:p>
        </w:tc>
      </w:tr>
      <w:tr>
        <w:trPr>
          <w:trHeight w:val="39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227,026,6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77.05</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17,715,16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159,436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,516.12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484,178,3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61.63</w:t>
            </w:r>
          </w:p>
        </w:tc>
      </w:tr>
      <w:tr>
        <w:trPr>
          <w:trHeight w:val="39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3,048,546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19,436,</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919.64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22,485,46</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6.27</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30,485,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466.27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30,485,46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6.27</w:t>
            </w: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3,048,546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-11,048,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546.63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3,048,546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-3,048,5</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46.63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227,026,6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77.05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20,763,71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5.09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178,873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,435.76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506,663,8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27.90</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799"/>
        <w:gridCol w:w="797"/>
        <w:gridCol w:w="677"/>
        <w:gridCol w:w="780"/>
      </w:tblGrid>
      <w:tr>
        <w:trPr>
          <w:trHeight w:val="39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33,222,66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8.67</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12,294,56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3.31</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64" w:right="0"/>
              <w:jc w:val="left"/>
              <w:rPr>
                <w:rFonts w:ascii="Times New Roman" w:hAnsi="Times New Roman" w:cs="Times New Roman" w:eastAsia="Times New Roman" w:hint="default"/>
                <w:sz w:val="18"/>
                <w:szCs w:val="18"/>
              </w:rPr>
            </w:pPr>
            <w:r>
              <w:rPr>
                <w:rFonts w:ascii="Times New Roman"/>
                <w:sz w:val="18"/>
              </w:rPr>
              <w:t>110,651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,069.73</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216,168,3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01.71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33,222,66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12,294,56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3.31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110,651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,069.73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216,168,3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01.71</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193,804,0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08.38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5,420,605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48,785,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446.39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268,010,0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59.92</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54,206,</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051.54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54,206,05</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1.54</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193,804,0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08.38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213,804,0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08.38</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193,804,0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08.38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213,804,0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08.38</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5,420,605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-5,420,6</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05.15</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5,420,605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-5,420,6</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05.15</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227,026,6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77.05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17,715,16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159,436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,516.12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484,178,3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61.63</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94"/>
        <w:jc w:val="left"/>
        <w:rPr>
          <w:b w:val="0"/>
          <w:bCs w:val="0"/>
        </w:rPr>
      </w:pPr>
      <w:r>
        <w:rPr/>
        <w:t>三、公司基本情况</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189" w:firstLine="420"/>
        <w:jc w:val="both"/>
      </w:pPr>
      <w:r>
        <w:rPr/>
        <w:t>浙江和仁科技股份有限公司（以下简称公司或本公司）系由浙江和仁科技有限公司整体变更设立的股份有限公司，于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日在杭州市工商局高新区（滨江）分局登记注册，取得注册号为</w:t>
      </w:r>
      <w:r>
        <w:rPr>
          <w:rFonts w:ascii="Times New Roman" w:hAnsi="Times New Roman" w:cs="Times New Roman" w:eastAsia="Times New Roman" w:hint="default"/>
        </w:rPr>
        <w:t>330108000063896</w:t>
      </w:r>
      <w:r>
        <w:rPr/>
        <w:t>的企业法人营业执照。浙江 </w:t>
      </w:r>
      <w:r>
        <w:rPr>
          <w:spacing w:val="-2"/>
        </w:rPr>
        <w:t>和仁科技有限公司以</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日为基准日，采取整体变更方式设立本公司，本公司于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日在杭州市工商行政</w:t>
      </w:r>
      <w:r>
        <w:rPr>
          <w:spacing w:val="-55"/>
        </w:rPr>
        <w:t> </w:t>
      </w:r>
      <w:r>
        <w:rPr>
          <w:spacing w:val="-55"/>
        </w:rPr>
      </w:r>
      <w:r>
        <w:rPr/>
        <w:t>管理局办妥工商变更登记。总部位于浙江省杭州市。公司现持有统一社会信用代码为</w:t>
      </w:r>
      <w:r>
        <w:rPr>
          <w:rFonts w:ascii="Times New Roman" w:hAnsi="Times New Roman" w:cs="Times New Roman" w:eastAsia="Times New Roman" w:hint="default"/>
        </w:rPr>
        <w:t>91330100563023775L</w:t>
      </w:r>
      <w:r>
        <w:rPr/>
        <w:t>的营业执照，注</w:t>
      </w:r>
      <w:r>
        <w:rPr>
          <w:spacing w:val="-22"/>
        </w:rPr>
        <w:t> </w:t>
      </w:r>
      <w:r>
        <w:rPr>
          <w:spacing w:val="-22"/>
        </w:rPr>
      </w:r>
      <w:r>
        <w:rPr>
          <w:spacing w:val="-2"/>
        </w:rPr>
        <w:t>册资本</w:t>
      </w:r>
      <w:r>
        <w:rPr>
          <w:rFonts w:ascii="Times New Roman" w:hAnsi="Times New Roman" w:cs="Times New Roman" w:eastAsia="Times New Roman" w:hint="default"/>
          <w:spacing w:val="-2"/>
        </w:rPr>
        <w:t>8,322</w:t>
      </w:r>
      <w:r>
        <w:rPr>
          <w:spacing w:val="-2"/>
        </w:rPr>
        <w:t>万元，股份总数</w:t>
      </w:r>
      <w:r>
        <w:rPr>
          <w:rFonts w:ascii="Times New Roman" w:hAnsi="Times New Roman" w:cs="Times New Roman" w:eastAsia="Times New Roman" w:hint="default"/>
          <w:spacing w:val="-2"/>
        </w:rPr>
        <w:t>8,322</w:t>
      </w:r>
      <w:r>
        <w:rPr>
          <w:spacing w:val="-2"/>
        </w:rPr>
        <w:t>万股（每股面值</w:t>
      </w:r>
      <w:r>
        <w:rPr>
          <w:rFonts w:ascii="Times New Roman" w:hAnsi="Times New Roman" w:cs="Times New Roman" w:eastAsia="Times New Roman" w:hint="default"/>
          <w:spacing w:val="-2"/>
        </w:rPr>
        <w:t>1</w:t>
      </w:r>
      <w:r>
        <w:rPr>
          <w:spacing w:val="-2"/>
        </w:rPr>
        <w:t>元）。其中，有限售条件的流通股份：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5,395</w:t>
      </w:r>
      <w:r>
        <w:rPr>
          <w:spacing w:val="-2"/>
        </w:rPr>
        <w:t>万股；无限售条件的流通</w:t>
      </w:r>
      <w:r>
        <w:rPr>
          <w:spacing w:val="-52"/>
        </w:rPr>
        <w:t> </w:t>
      </w:r>
      <w:r>
        <w:rPr>
          <w:spacing w:val="-52"/>
        </w:rPr>
      </w:r>
      <w:r>
        <w:rPr/>
        <w:t>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2,927</w:t>
      </w:r>
      <w:r>
        <w:rPr/>
        <w:t>万股。公司股票已于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日在深圳证券交易所挂牌交易。</w:t>
      </w:r>
    </w:p>
    <w:p>
      <w:pPr>
        <w:pStyle w:val="BodyText"/>
        <w:spacing w:line="316" w:lineRule="auto" w:before="9"/>
        <w:ind w:right="94" w:firstLine="420"/>
        <w:jc w:val="left"/>
      </w:pPr>
      <w:r>
        <w:rPr/>
        <w:t>本公司属软件与信息服务行业。公司主要经营活动是医疗机构医疗信息系统及数字化场景应用系统的研发销售、实施 集成、服务支持。主要产品或提供的劳务：医疗信息系统的开发与服务、数字化场景应用系统的实施。</w:t>
      </w:r>
    </w:p>
    <w:p>
      <w:pPr>
        <w:pStyle w:val="BodyText"/>
        <w:spacing w:line="240" w:lineRule="auto" w:before="19"/>
        <w:ind w:left="513" w:right="94"/>
        <w:jc w:val="left"/>
      </w:pPr>
      <w:r>
        <w:rPr/>
        <w:t>本财务报表业经公司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日第二届董事会第八次会议批准对外报出。</w:t>
      </w:r>
    </w:p>
    <w:p>
      <w:pPr>
        <w:spacing w:line="240" w:lineRule="auto" w:before="0"/>
        <w:rPr>
          <w:rFonts w:ascii="宋体" w:hAnsi="宋体" w:cs="宋体" w:eastAsia="宋体" w:hint="default"/>
          <w:sz w:val="18"/>
          <w:szCs w:val="18"/>
        </w:rPr>
      </w:pPr>
    </w:p>
    <w:p>
      <w:pPr>
        <w:pStyle w:val="BodyText"/>
        <w:spacing w:line="240" w:lineRule="auto" w:before="139"/>
        <w:ind w:left="573" w:right="94"/>
        <w:jc w:val="left"/>
      </w:pPr>
      <w:r>
        <w:rPr/>
        <w:t>本公司将湖南和仁湘雅数字医疗技术有限公司、江西和仁云慧信息服务有限公司、和仁（天津）科技有限公司、和仁</w:t>
      </w:r>
    </w:p>
    <w:p>
      <w:pPr>
        <w:pStyle w:val="BodyText"/>
        <w:spacing w:line="314" w:lineRule="auto" w:before="77"/>
        <w:ind w:right="94"/>
        <w:jc w:val="left"/>
      </w:pPr>
      <w:r>
        <w:rPr>
          <w:spacing w:val="-2"/>
        </w:rPr>
        <w:t>（湖北）科技有限公司、赣州和仁信息服务有限公司、重庆和仁同创科技有限公司、黑龙江和仁科技有限公司、广西和仁医</w:t>
      </w:r>
      <w:r>
        <w:rPr>
          <w:spacing w:val="-67"/>
        </w:rPr>
        <w:t> </w:t>
      </w:r>
      <w:r>
        <w:rPr>
          <w:spacing w:val="-67"/>
        </w:rPr>
      </w:r>
      <w:r>
        <w:rPr>
          <w:spacing w:val="-2"/>
        </w:rPr>
        <w:t>铭科技有限公司、西安和仁汇达信息科技有限公司、江苏和仁泰颐智能科技有限公司（以下分别简称和仁湘雅公司、和仁云</w:t>
      </w:r>
      <w:r>
        <w:rPr>
          <w:spacing w:val="-65"/>
        </w:rPr>
        <w:t> </w:t>
      </w:r>
      <w:r>
        <w:rPr>
          <w:spacing w:val="-65"/>
        </w:rPr>
      </w:r>
      <w:r>
        <w:rPr/>
        <w:t>慧公司、天津和仁公司、湖北和仁公司、赣州和仁公司、重庆和仁公司、黑龙江和仁公司、广西和仁公司、西安和仁公司、</w:t>
      </w:r>
      <w:r>
        <w:rPr>
          <w:spacing w:val="-82"/>
        </w:rPr>
        <w:t> </w:t>
      </w:r>
      <w:r>
        <w:rPr>
          <w:spacing w:val="-82"/>
        </w:rPr>
      </w:r>
      <w:r>
        <w:rPr>
          <w:spacing w:val="-2"/>
        </w:rPr>
        <w:t>江苏和仁公司）</w:t>
      </w:r>
      <w:r>
        <w:rPr>
          <w:rFonts w:ascii="Times New Roman" w:hAnsi="Times New Roman" w:cs="Times New Roman" w:eastAsia="Times New Roman" w:hint="default"/>
          <w:spacing w:val="-2"/>
        </w:rPr>
        <w:t>10</w:t>
      </w:r>
      <w:r>
        <w:rPr>
          <w:spacing w:val="-2"/>
        </w:rPr>
        <w:t>家子公司纳入报告期合并财务报表范围，情况详见本财务报表附注合并范围的变更和在其他主体中的权益</w:t>
      </w:r>
      <w:r>
        <w:rPr>
          <w:spacing w:val="-63"/>
        </w:rPr>
        <w:t> </w:t>
      </w:r>
      <w:r>
        <w:rPr>
          <w:spacing w:val="-63"/>
        </w:rPr>
      </w:r>
      <w:r>
        <w:rPr/>
        <w:t>之说明。</w:t>
      </w:r>
    </w:p>
    <w:p>
      <w:pPr>
        <w:spacing w:line="240" w:lineRule="auto" w:before="13"/>
        <w:rPr>
          <w:rFonts w:ascii="宋体" w:hAnsi="宋体" w:cs="宋体" w:eastAsia="宋体" w:hint="default"/>
          <w:sz w:val="20"/>
          <w:szCs w:val="20"/>
        </w:rPr>
      </w:pPr>
    </w:p>
    <w:p>
      <w:pPr>
        <w:pStyle w:val="Heading2"/>
        <w:spacing w:line="240" w:lineRule="auto"/>
        <w:ind w:right="94"/>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94"/>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94"/>
        <w:jc w:val="left"/>
      </w:pPr>
      <w:r>
        <w:rPr/>
        <w:t>本公司财务报表以持续经营为编制基础。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5"/>
        <w:spacing w:line="240" w:lineRule="auto"/>
        <w:ind w:right="9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94"/>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94"/>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240" w:lineRule="auto" w:before="27"/>
        <w:ind w:right="94"/>
        <w:jc w:val="left"/>
      </w:pPr>
      <w:r>
        <w:rPr/>
        <w:t>具体会计政策和会计估计提示：</w:t>
      </w:r>
    </w:p>
    <w:p>
      <w:pPr>
        <w:spacing w:after="0" w:line="240" w:lineRule="auto"/>
        <w:jc w:val="left"/>
        <w:sectPr>
          <w:pgSz w:w="11910" w:h="16840"/>
          <w:pgMar w:header="877" w:footer="1186" w:top="1100" w:bottom="138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94"/>
        <w:jc w:val="left"/>
      </w:pPr>
      <w:r>
        <w:rPr>
          <w:spacing w:val="-2"/>
        </w:rPr>
        <w:t>本公司根据实际生产经营特点针对应收款项坏账准备计提、固定资产折旧、无形资产摊销、收入确认等交易或事项制定了具</w:t>
      </w:r>
      <w:r>
        <w:rPr>
          <w:spacing w:val="-63"/>
        </w:rPr>
        <w:t> </w:t>
      </w:r>
      <w:r>
        <w:rPr>
          <w:spacing w:val="-63"/>
        </w:rPr>
      </w:r>
      <w:r>
        <w:rPr/>
        <w:t>体会计政策和会计估计。</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420"/>
        <w:jc w:val="left"/>
      </w:pPr>
      <w:r>
        <w:rPr/>
        <w:t>本公司所编制的财务报表符合企业会计准则的要求，真实、完整地反映了公司的财务状况、经营成果和现金流量等有 关信息。</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94"/>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5"/>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right="94"/>
        <w:jc w:val="left"/>
        <w:rPr>
          <w:i w:val="0"/>
        </w:rPr>
      </w:pPr>
      <w:r>
        <w:rPr/>
        <w:t>公司经营业务的营业周期较短，以</w:t>
      </w:r>
      <w:r>
        <w:rPr>
          <w:rFonts w:ascii="Times New Roman" w:hAnsi="Times New Roman" w:cs="Times New Roman" w:eastAsia="Times New Roman" w:hint="default"/>
          <w:i/>
          <w:sz w:val="21"/>
          <w:szCs w:val="21"/>
        </w:rPr>
        <w:t>12</w:t>
      </w:r>
      <w:r>
        <w:rPr/>
        <w:t>个月作为资产和负债的流动性划分标准。</w:t>
      </w:r>
      <w:r>
        <w:rPr>
          <w:i w:val="0"/>
        </w:rPr>
      </w:r>
    </w:p>
    <w:p>
      <w:pPr>
        <w:spacing w:line="240" w:lineRule="auto" w:before="0"/>
        <w:rPr>
          <w:rFonts w:ascii="宋体" w:hAnsi="宋体" w:cs="宋体" w:eastAsia="宋体" w:hint="default"/>
          <w:i/>
          <w:sz w:val="22"/>
          <w:szCs w:val="22"/>
        </w:rPr>
      </w:pPr>
    </w:p>
    <w:p>
      <w:pPr>
        <w:spacing w:line="240" w:lineRule="auto" w:before="5"/>
        <w:rPr>
          <w:rFonts w:ascii="宋体" w:hAnsi="宋体" w:cs="宋体" w:eastAsia="宋体" w:hint="default"/>
          <w:i/>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Heading6"/>
        <w:spacing w:line="240" w:lineRule="auto" w:before="0"/>
        <w:ind w:left="573" w:right="94"/>
        <w:jc w:val="left"/>
      </w:pPr>
      <w:r>
        <w:rPr/>
        <w:t>采用人民币为记账本位币。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73"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同一控制下企业合并的会计处理方法 公司在企业合并中取得的资产和负债，按照合并日被合并方在最终控制方合并财务报表中的账面价值计量。公司按照</w:t>
      </w:r>
    </w:p>
    <w:p>
      <w:pPr>
        <w:pStyle w:val="BodyText"/>
        <w:spacing w:line="316" w:lineRule="auto" w:before="31"/>
        <w:ind w:right="94"/>
        <w:jc w:val="left"/>
      </w:pPr>
      <w:r>
        <w:rPr/>
        <w:t>被合并方所有者权益在最终控制方合并财务报表中的账面价值份额与支付的合并对价账面价值或发行股份面值总额的差额，</w:t>
      </w:r>
      <w:r>
        <w:rPr>
          <w:spacing w:val="-83"/>
        </w:rPr>
        <w:t> </w:t>
      </w:r>
      <w:r>
        <w:rPr>
          <w:spacing w:val="-83"/>
        </w:rPr>
      </w:r>
      <w:r>
        <w:rPr/>
        <w:t>调整资本公积；资本公积不足冲减的，调整留存收益。</w:t>
      </w:r>
    </w:p>
    <w:p>
      <w:pPr>
        <w:pStyle w:val="BodyText"/>
        <w:spacing w:line="300" w:lineRule="auto" w:before="19"/>
        <w:ind w:left="573" w:right="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非同一控制下企业合并的会计处理方法 公司在购买日对合并成本大于合并中取得的被购买方可辨认净资产公允价值份额的差额，确认为商誉；如果合并成本</w:t>
      </w:r>
    </w:p>
    <w:p>
      <w:pPr>
        <w:pStyle w:val="BodyText"/>
        <w:spacing w:line="319" w:lineRule="auto" w:before="31"/>
        <w:ind w:right="192"/>
        <w:jc w:val="both"/>
      </w:pPr>
      <w:r>
        <w:rPr>
          <w:spacing w:val="-2"/>
        </w:rPr>
        <w:t>小于合并中取得的被购买方可辨认净资产公允价值份额，首先对取得的被购买方各项可辨认资产、负债及或有负债的公允价</w:t>
      </w:r>
      <w:r>
        <w:rPr>
          <w:spacing w:val="-64"/>
        </w:rPr>
        <w:t> </w:t>
      </w:r>
      <w:r>
        <w:rPr>
          <w:spacing w:val="-64"/>
        </w:rPr>
      </w:r>
      <w:r>
        <w:rPr>
          <w:spacing w:val="-2"/>
        </w:rPr>
        <w:t>值以及合并成本的计量进行复核，经复核后合并成本仍小于合并中取得的被购买方可辨认净资产公允价值份额的，其差额计</w:t>
      </w:r>
      <w:r>
        <w:rPr>
          <w:spacing w:val="-64"/>
        </w:rPr>
        <w:t> </w:t>
      </w:r>
      <w:r>
        <w:rPr>
          <w:spacing w:val="-64"/>
        </w:rPr>
      </w:r>
      <w:r>
        <w:rPr/>
        <w:t>入当期损益。</w:t>
      </w:r>
    </w:p>
    <w:p>
      <w:pPr>
        <w:spacing w:line="240" w:lineRule="auto" w:before="9"/>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297" w:lineRule="auto"/>
        <w:ind w:right="94" w:firstLine="420"/>
        <w:jc w:val="left"/>
        <w:rPr>
          <w:sz w:val="21"/>
          <w:szCs w:val="21"/>
        </w:rPr>
      </w:pPr>
      <w:r>
        <w:rPr/>
        <w:t>母公司将其控制的所有子公司纳入合并财务报表的合并范围。合并财务报表以母公司及其子公司的财务报表为基础， 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r>
        <w:rPr>
          <w:sz w:val="21"/>
          <w:szCs w:val="21"/>
        </w:rPr>
        <w:t>。</w:t>
      </w:r>
    </w:p>
    <w:p>
      <w:pPr>
        <w:spacing w:line="240" w:lineRule="auto" w:before="0"/>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4" w:firstLine="420"/>
        <w:jc w:val="left"/>
      </w:pPr>
      <w:r>
        <w:rPr/>
        <w:t>列示于现金流量表中的现金是指库存现金以及可以随时用于支付的存款。现金等价物是指企业持有的期限短、流动性 强、易于转换为已知金额现金、价值变动风险很小的投资。</w:t>
      </w:r>
    </w:p>
    <w:p>
      <w:pPr>
        <w:spacing w:after="0" w:line="319" w:lineRule="auto"/>
        <w:jc w:val="left"/>
        <w:sectPr>
          <w:pgSz w:w="11910" w:h="16840"/>
          <w:pgMar w:header="877" w:footer="1186" w:top="1100" w:bottom="1380" w:left="980" w:right="940"/>
        </w:sectPr>
      </w:pPr>
    </w:p>
    <w:p>
      <w:pPr>
        <w:spacing w:line="240" w:lineRule="auto" w:before="12"/>
        <w:rPr>
          <w:rFonts w:ascii="宋体" w:hAnsi="宋体" w:cs="宋体" w:eastAsia="宋体" w:hint="default"/>
          <w:sz w:val="20"/>
          <w:szCs w:val="20"/>
        </w:rPr>
      </w:pPr>
    </w:p>
    <w:p>
      <w:pPr>
        <w:pStyle w:val="Heading5"/>
        <w:spacing w:line="240" w:lineRule="auto" w:before="36"/>
        <w:ind w:right="0"/>
        <w:jc w:val="both"/>
        <w:rPr>
          <w:b w:val="0"/>
          <w:bCs w:val="0"/>
        </w:rPr>
      </w:pPr>
      <w:r>
        <w:rPr>
          <w:rFonts w:ascii="Times New Roman" w:hAnsi="Times New Roman" w:cs="Times New Roman" w:eastAsia="Times New Roman" w:hint="default"/>
        </w:rPr>
        <w:t>8</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73"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金融资产和金融负债的分类 金融资产在初始确认时划分为以下四类：以公允价值计量且其变动计入当期损益的金融资产（包括交易性金融资产和</w:t>
      </w:r>
    </w:p>
    <w:p>
      <w:pPr>
        <w:pStyle w:val="BodyText"/>
        <w:spacing w:line="316" w:lineRule="auto" w:before="31"/>
        <w:ind w:right="193"/>
        <w:jc w:val="both"/>
      </w:pPr>
      <w:r>
        <w:rPr>
          <w:spacing w:val="-2"/>
        </w:rPr>
        <w:t>在初始确认时指定为以公允价值计量且其变动计入当期损益的金融资产）、持有至到期投资、贷款和应收款项、可供出售金</w:t>
      </w:r>
      <w:r>
        <w:rPr>
          <w:spacing w:val="-66"/>
        </w:rPr>
        <w:t> </w:t>
      </w:r>
      <w:r>
        <w:rPr>
          <w:spacing w:val="-66"/>
        </w:rPr>
      </w:r>
      <w:r>
        <w:rPr/>
        <w:t>融资产。</w:t>
      </w:r>
    </w:p>
    <w:p>
      <w:pPr>
        <w:pStyle w:val="BodyText"/>
        <w:spacing w:line="316" w:lineRule="auto" w:before="19"/>
        <w:ind w:right="198" w:firstLine="420"/>
        <w:jc w:val="both"/>
      </w:pPr>
      <w:r>
        <w:rPr/>
        <w:t>金融负债在初始确认时划分为以下两类：以公允价值计量且其变动计入当期损益的金融负债（包括交易性金融负债和 在初始确认时指定为以公允价值计量且其变动计入当期损益的金融负债）、其他金融负债。</w:t>
      </w:r>
    </w:p>
    <w:p>
      <w:pPr>
        <w:pStyle w:val="BodyText"/>
        <w:spacing w:line="300" w:lineRule="auto" w:before="19"/>
        <w:ind w:left="573" w:right="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金融资产和金融负债的确认依据、计量方法和终止确认条件 公司成为金融工具合同的一方时，确认一项金融资产或金融负债。初始确认金融资产或金融负债时，按照公允价值计</w:t>
      </w:r>
    </w:p>
    <w:p>
      <w:pPr>
        <w:pStyle w:val="BodyText"/>
        <w:spacing w:line="319" w:lineRule="auto" w:before="31"/>
        <w:ind w:right="190"/>
        <w:jc w:val="both"/>
      </w:pPr>
      <w:r>
        <w:rPr>
          <w:spacing w:val="-2"/>
        </w:rPr>
        <w:t>量；对于以公允价值计量且其变动计入当期损益的金融资产和金融负债，相关交易费用直接计入当期损益；对于其他类别的</w:t>
      </w:r>
      <w:r>
        <w:rPr>
          <w:spacing w:val="-63"/>
        </w:rPr>
        <w:t> </w:t>
      </w:r>
      <w:r>
        <w:rPr>
          <w:spacing w:val="-63"/>
        </w:rPr>
      </w:r>
      <w:r>
        <w:rPr/>
        <w:t>金融资产或金融负债，相关交易费用计入初始确认金额。</w:t>
      </w:r>
    </w:p>
    <w:p>
      <w:pPr>
        <w:pStyle w:val="BodyText"/>
        <w:spacing w:line="309" w:lineRule="auto" w:before="17"/>
        <w:ind w:right="191" w:firstLine="420"/>
        <w:jc w:val="both"/>
      </w:pPr>
      <w:r>
        <w:rPr>
          <w:spacing w:val="-3"/>
        </w:rPr>
        <w:t>公司按照公允价值对金融资产进行后续计量，且不扣除将来处置该金融资产时可能发生的交易费用，但下列情况除外：</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持有至到期投资以及贷款和应收款项采用实际利率法，按摊余成本计量；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在活跃市场中没有报价且其公允价值不能</w:t>
      </w:r>
      <w:r>
        <w:rPr>
          <w:spacing w:val="-85"/>
        </w:rPr>
        <w:t> </w:t>
      </w:r>
      <w:r>
        <w:rPr>
          <w:spacing w:val="-85"/>
        </w:rPr>
      </w:r>
      <w:r>
        <w:rPr/>
        <w:t>可靠计量的权益工具投资，以及与该权益工具挂钩并须通过交付该权益工具结算的衍生金融资产，按照成本计量。</w:t>
      </w:r>
    </w:p>
    <w:p>
      <w:pPr>
        <w:pStyle w:val="BodyText"/>
        <w:spacing w:line="302" w:lineRule="auto" w:before="24"/>
        <w:ind w:right="94" w:firstLine="420"/>
        <w:jc w:val="left"/>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以公允价值计量且其变动计入当期 损益的金融负债，按照公允价值计量，且不扣除将来结清金融负债时可能发生的交易费用；</w:t>
      </w:r>
      <w:r>
        <w:rPr>
          <w:rFonts w:ascii="Times New Roman" w:hAnsi="Times New Roman" w:cs="Times New Roman" w:eastAsia="Times New Roman" w:hint="default"/>
        </w:rPr>
        <w:t>(2) </w:t>
      </w:r>
      <w:r>
        <w:rPr/>
        <w:t>与在活跃市场中没有报价、</w:t>
      </w:r>
      <w:r>
        <w:rPr>
          <w:spacing w:val="-73"/>
        </w:rPr>
        <w:t> </w:t>
      </w:r>
      <w:r>
        <w:rPr>
          <w:spacing w:val="-73"/>
        </w:rPr>
      </w:r>
      <w:r>
        <w:rPr/>
        <w:t>公允价值不能可靠计量的权益工具挂钩并须通过交付该权益工具结算的衍生金融负债，按照成本计量；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不属于指定为以 </w:t>
      </w:r>
      <w:r>
        <w:rPr>
          <w:spacing w:val="-2"/>
        </w:rPr>
        <w:t>公允价值计量且其变动计入当期损益的金融负债的财务担保合同，或没有指定为以公允价值计量且其变动计入当期损益并将</w:t>
      </w:r>
      <w:r>
        <w:rPr>
          <w:spacing w:val="-64"/>
        </w:rPr>
        <w:t> </w:t>
      </w:r>
      <w:r>
        <w:rPr>
          <w:spacing w:val="-64"/>
        </w:rPr>
      </w:r>
      <w:r>
        <w:rPr/>
        <w:t>以低于市场利率贷款的贷款承诺，在初始确认后按照下列两项金额之中的较高者进行后续计量：</w:t>
      </w:r>
      <w:r>
        <w:rPr>
          <w:rFonts w:ascii="Times New Roman" w:hAnsi="Times New Roman" w:cs="Times New Roman" w:eastAsia="Times New Roman" w:hint="default"/>
        </w:rPr>
        <w:t>1) </w:t>
      </w:r>
      <w:r>
        <w:rPr/>
        <w:t>按照《企业会计准则第</w:t>
      </w:r>
      <w:r>
        <w:rPr>
          <w:spacing w:val="-56"/>
        </w:rPr>
        <w:t> </w:t>
      </w:r>
      <w:r>
        <w:rPr>
          <w:spacing w:val="-56"/>
        </w:rPr>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收入》的原则确定的累积摊销额后</w:t>
      </w:r>
      <w:r>
        <w:rPr>
          <w:spacing w:val="-57"/>
        </w:rPr>
        <w:t> </w:t>
      </w:r>
      <w:r>
        <w:rPr>
          <w:spacing w:val="-57"/>
        </w:rPr>
      </w:r>
      <w:r>
        <w:rPr/>
        <w:t>的余额。</w:t>
      </w:r>
    </w:p>
    <w:p>
      <w:pPr>
        <w:pStyle w:val="BodyText"/>
        <w:spacing w:line="312" w:lineRule="auto" w:before="29"/>
        <w:ind w:right="190"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6"/>
        </w:rPr>
        <w:t> </w:t>
      </w:r>
      <w:r>
        <w:rPr/>
        <w:t>以公允价值计量 </w:t>
      </w:r>
      <w:r>
        <w:rPr>
          <w:spacing w:val="-2"/>
        </w:rPr>
        <w:t>且其变动计入当期损益的金融资产或金融负债公允价值变动形成的利得或损失，计入公允价值变动收益；在资产持有期间所</w:t>
      </w:r>
      <w:r>
        <w:rPr>
          <w:spacing w:val="-64"/>
        </w:rPr>
        <w:t> </w:t>
      </w:r>
      <w:r>
        <w:rPr>
          <w:spacing w:val="-64"/>
        </w:rPr>
      </w:r>
      <w:r>
        <w:rPr>
          <w:spacing w:val="-2"/>
        </w:rPr>
        <w:t>取得的利息或现金股利，确认为投资收益；处置时，将实际收到的金额与初始入账金额之间的差额确认为投资收益，同时调</w:t>
      </w:r>
      <w:r>
        <w:rPr>
          <w:spacing w:val="-64"/>
        </w:rPr>
        <w:t> </w:t>
      </w:r>
      <w:r>
        <w:rPr>
          <w:spacing w:val="-64"/>
        </w:rPr>
      </w:r>
      <w:r>
        <w:rPr/>
        <w:t>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可供出售金融资产的公允价值变动计入其他综合收益；持有期间按实际利率法计算的利息，计入 </w:t>
      </w:r>
      <w:r>
        <w:rPr>
          <w:spacing w:val="-2"/>
        </w:rPr>
        <w:t>投资收益；可供出售权益工具投资的现金股利，于被投资单位宣告发放股利时计入投资收益；处置时，将实际收到的金额与</w:t>
      </w:r>
      <w:r>
        <w:rPr>
          <w:spacing w:val="-64"/>
        </w:rPr>
        <w:t> </w:t>
      </w:r>
      <w:r>
        <w:rPr>
          <w:spacing w:val="-64"/>
        </w:rPr>
      </w:r>
      <w:r>
        <w:rPr/>
        <w:t>账面价值扣除原直接计入其他综合收益的公允价值变动累计额之后的差额确认为投资收益。</w:t>
      </w:r>
    </w:p>
    <w:p>
      <w:pPr>
        <w:pStyle w:val="BodyText"/>
        <w:spacing w:line="316" w:lineRule="auto" w:before="22"/>
        <w:ind w:right="198" w:firstLine="420"/>
        <w:jc w:val="both"/>
      </w:pPr>
      <w:r>
        <w:rPr/>
        <w:t>当收取某项金融资产现金流量的合同权利已终止或该金融资产所有权上几乎所有的风险和报酬已转移时，终止确认该 金融资产；当金融负债的现时义务全部或部分解除时，相应终止确认该金融负债或其一部分。</w:t>
      </w:r>
    </w:p>
    <w:p>
      <w:pPr>
        <w:pStyle w:val="BodyText"/>
        <w:spacing w:line="300" w:lineRule="auto" w:before="19"/>
        <w:ind w:left="573" w:right="9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金融资产转移的确认依据和计量方法 公司已将金融资产所有权上几乎所有的风险和报酬转移给了转入方的，终止确认该金融资产；保留了金融资产所有权</w:t>
      </w:r>
    </w:p>
    <w:p>
      <w:pPr>
        <w:pStyle w:val="BodyText"/>
        <w:spacing w:line="309" w:lineRule="auto" w:before="32"/>
        <w:ind w:right="189"/>
        <w:jc w:val="both"/>
      </w:pPr>
      <w:r>
        <w:rPr>
          <w:spacing w:val="-2"/>
        </w:rPr>
        <w:t>上几乎所有的风险和报酬的，继续确认所转移的金融资产，并将收到的对价确认为一项金融负债。公司既没有转移也没有保</w:t>
      </w:r>
      <w:r>
        <w:rPr>
          <w:spacing w:val="-63"/>
        </w:rPr>
        <w:t> </w:t>
      </w:r>
      <w:r>
        <w:rPr>
          <w:spacing w:val="-63"/>
        </w:rPr>
      </w:r>
      <w:r>
        <w:rPr>
          <w:spacing w:val="-4"/>
        </w:rPr>
        <w:t>留金融资产所有权上几乎所有的风险和报酬的，分别下列情况处理：</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2"/>
        </w:rPr>
        <w:t> </w:t>
      </w:r>
      <w:r>
        <w:rPr>
          <w:spacing w:val="-3"/>
        </w:rPr>
        <w:t>放弃了对该金融资产控制的，终止确认该金融资产；</w:t>
      </w:r>
      <w:r>
        <w:rPr>
          <w:spacing w:val="-88"/>
        </w:rPr>
        <w:t> </w:t>
      </w:r>
      <w:r>
        <w:rPr>
          <w:spacing w:val="-88"/>
        </w:rPr>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未放弃对该金融资产控制的，按照继续涉入所转移金融资产的程度确认有关金融资产，并相应确认有关负债。</w:t>
      </w:r>
    </w:p>
    <w:p>
      <w:pPr>
        <w:pStyle w:val="BodyText"/>
        <w:spacing w:line="309" w:lineRule="auto" w:before="2"/>
        <w:ind w:right="188" w:firstLine="420"/>
        <w:jc w:val="both"/>
      </w:pPr>
      <w:r>
        <w:rPr>
          <w:spacing w:val="-3"/>
        </w:rPr>
        <w:t>金融资产整体转移满足终止确认条件的，将下列两项金额的差额计入当期损益：</w:t>
      </w:r>
      <w:r>
        <w:rPr>
          <w:rFonts w:ascii="Times New Roman" w:hAnsi="Times New Roman" w:cs="Times New Roman" w:eastAsia="Times New Roman" w:hint="default"/>
          <w:spacing w:val="-3"/>
        </w:rPr>
        <w:t>(1) </w:t>
      </w:r>
      <w:r>
        <w:rPr>
          <w:spacing w:val="-4"/>
        </w:rPr>
        <w:t>所转移金融资产的账面价值；</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28"/>
        </w:rPr>
        <w:t> </w:t>
      </w:r>
      <w:r>
        <w:rPr/>
        <w:t>因 </w:t>
      </w:r>
      <w:r>
        <w:rPr>
          <w:spacing w:val="-2"/>
        </w:rPr>
        <w:t>转移而收到的对价，与原直接计入所有者权益的公允价值变动累计额之和。金融资产部分转移满足终止确认条件的，将所转</w:t>
      </w:r>
      <w:r>
        <w:rPr>
          <w:spacing w:val="-63"/>
        </w:rPr>
        <w:t> </w:t>
      </w:r>
      <w:r>
        <w:rPr>
          <w:spacing w:val="-63"/>
        </w:rPr>
      </w:r>
      <w:r>
        <w:rPr>
          <w:spacing w:val="-2"/>
        </w:rPr>
        <w:t>移金融资产整体的账面价值，在终止确认部分和未终止确认部分之间，按照各自的相对公允价值进行分摊，并将下列两项金</w:t>
      </w:r>
      <w:r>
        <w:rPr>
          <w:spacing w:val="-63"/>
        </w:rPr>
        <w:t> </w:t>
      </w:r>
      <w:r>
        <w:rPr>
          <w:spacing w:val="-63"/>
        </w:rPr>
      </w:r>
      <w:r>
        <w:rPr/>
        <w:t>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终止确认部分的对价，与原直接计入所有者权益的公允价值变</w:t>
      </w:r>
      <w:r>
        <w:rPr>
          <w:spacing w:val="-83"/>
        </w:rPr>
        <w:t> </w:t>
      </w:r>
      <w:r>
        <w:rPr>
          <w:spacing w:val="-83"/>
        </w:rPr>
      </w:r>
      <w:r>
        <w:rPr/>
        <w:t>动累计额中对应终止确认部分的金额之和。</w:t>
      </w:r>
    </w:p>
    <w:p>
      <w:pPr>
        <w:pStyle w:val="BodyText"/>
        <w:spacing w:line="300" w:lineRule="auto" w:before="24"/>
        <w:ind w:left="573" w:right="9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金融资产和金融负债的公允价值确定方法 公司采用在当前情况下适用并且有足够可利用数据和其他信息支持的估值技术确定相关金融资产和金融负债的公允价</w:t>
      </w:r>
    </w:p>
    <w:p>
      <w:pPr>
        <w:pStyle w:val="BodyText"/>
        <w:spacing w:line="240" w:lineRule="auto" w:before="32"/>
        <w:ind w:right="0"/>
        <w:jc w:val="both"/>
      </w:pPr>
      <w:r>
        <w:rPr/>
        <w:t>值。公司将估值技术使用的输入值分以下层级，并依次使用：</w:t>
      </w:r>
    </w:p>
    <w:p>
      <w:pPr>
        <w:pStyle w:val="BodyText"/>
        <w:spacing w:line="240" w:lineRule="auto" w:before="76"/>
        <w:ind w:left="573"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第一层次输入值是在计量日能够取得的相同资产或负债在活跃市场上未经调整的报价；</w:t>
      </w:r>
    </w:p>
    <w:p>
      <w:pPr>
        <w:spacing w:after="0" w:line="240" w:lineRule="auto"/>
        <w:jc w:val="left"/>
        <w:sectPr>
          <w:pgSz w:w="11910" w:h="16840"/>
          <w:pgMar w:header="877" w:footer="1186" w:top="1100" w:bottom="1380" w:left="980" w:right="940"/>
        </w:sectPr>
      </w:pPr>
    </w:p>
    <w:p>
      <w:pPr>
        <w:spacing w:line="240" w:lineRule="auto" w:before="11"/>
        <w:rPr>
          <w:rFonts w:ascii="宋体" w:hAnsi="宋体" w:cs="宋体" w:eastAsia="宋体" w:hint="default"/>
          <w:sz w:val="21"/>
          <w:szCs w:val="21"/>
        </w:rPr>
      </w:pPr>
    </w:p>
    <w:p>
      <w:pPr>
        <w:pStyle w:val="BodyText"/>
        <w:spacing w:line="309" w:lineRule="auto" w:before="44"/>
        <w:ind w:right="15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spacing w:val="-2"/>
        </w:rPr>
        <w:t>第二层次输入值是除第一层次输入值外相关资产或负债直接或间接可观察的输入值，包括：活跃市场中类似资产或</w:t>
      </w:r>
      <w:r>
        <w:rPr>
          <w:w w:val="99"/>
        </w:rPr>
        <w:t> </w:t>
      </w:r>
      <w:r>
        <w:rPr>
          <w:spacing w:val="-2"/>
        </w:rPr>
        <w:t>负债的报价；非活跃市场中相同或类似资产或负债的报价；除报价以外的其他可观察输入值，如在正常报价间隔期间可观察</w:t>
      </w:r>
      <w:r>
        <w:rPr>
          <w:spacing w:val="-64"/>
        </w:rPr>
        <w:t> </w:t>
      </w:r>
      <w:r>
        <w:rPr>
          <w:spacing w:val="-64"/>
        </w:rPr>
      </w:r>
      <w:r>
        <w:rPr/>
        <w:t>的利率和收益率曲线等；市场验证的输入值等；</w:t>
      </w:r>
    </w:p>
    <w:p>
      <w:pPr>
        <w:pStyle w:val="BodyText"/>
        <w:spacing w:line="300" w:lineRule="auto" w:before="24"/>
        <w:ind w:right="15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2"/>
        </w:rPr>
        <w:t>第三层次输入值是相关资产或负债的不可观察输入值，包括不能直接观察或无法由可观察市场数据验证的利率、股</w:t>
      </w:r>
      <w:r>
        <w:rPr>
          <w:w w:val="99"/>
        </w:rPr>
        <w:t> </w:t>
      </w:r>
      <w:r>
        <w:rPr/>
        <w:t>票波动率、企业合并中承担的弃置义务的未来现金流量、使用自身数据作出的财务预测等。</w:t>
      </w:r>
    </w:p>
    <w:p>
      <w:pPr>
        <w:pStyle w:val="BodyText"/>
        <w:spacing w:line="240" w:lineRule="auto" w:before="31"/>
        <w:ind w:left="57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金融资产的减值测试和减值准备计提方法</w:t>
      </w:r>
    </w:p>
    <w:p>
      <w:pPr>
        <w:pStyle w:val="BodyText"/>
        <w:spacing w:line="300" w:lineRule="auto" w:before="63"/>
        <w:ind w:right="15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2"/>
        </w:rPr>
        <w:t>资产负债表日对以公允价值计量且其变动计入当期损益的金融资产以外的金融资产的账面价值进行检查，如有客观</w:t>
      </w:r>
      <w:r>
        <w:rPr>
          <w:w w:val="99"/>
        </w:rPr>
        <w:t> </w:t>
      </w:r>
      <w:r>
        <w:rPr/>
        <w:t>证据表明该金融资产发生减值的，计提减值准备。</w:t>
      </w:r>
    </w:p>
    <w:p>
      <w:pPr>
        <w:pStyle w:val="BodyText"/>
        <w:spacing w:line="312" w:lineRule="auto" w:before="31"/>
        <w:ind w:right="15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spacing w:val="-2"/>
        </w:rPr>
        <w:t>对于持有至到期投资、贷款和应收款，先将单项金额重大的金融资产区分开来，单独进行减值测试；对单项金额不</w:t>
      </w:r>
      <w:r>
        <w:rPr>
          <w:w w:val="99"/>
        </w:rPr>
        <w:t> </w:t>
      </w:r>
      <w:r>
        <w:rPr>
          <w:spacing w:val="-2"/>
        </w:rPr>
        <w:t>重大的金融资产，可以单独进行减值测试，或包括在具有类似信用风险特征的金融资产组合中进行减值测试；单独测试未发</w:t>
      </w:r>
      <w:r>
        <w:rPr>
          <w:spacing w:val="-64"/>
        </w:rPr>
        <w:t> </w:t>
      </w:r>
      <w:r>
        <w:rPr>
          <w:spacing w:val="-64"/>
        </w:rPr>
      </w:r>
      <w:r>
        <w:rPr>
          <w:spacing w:val="-2"/>
        </w:rPr>
        <w:t>生减值的金融资产（包括单项金额重大和不重大的金融资产），包括在具有类似信用风险特征的金融资产组合中再进行减值</w:t>
      </w:r>
      <w:r>
        <w:rPr>
          <w:spacing w:val="-67"/>
        </w:rPr>
        <w:t> </w:t>
      </w:r>
      <w:r>
        <w:rPr>
          <w:spacing w:val="-67"/>
        </w:rPr>
      </w:r>
      <w:r>
        <w:rPr/>
        <w:t>测试。测试结果表明其发生了减值的，根据其账面价值高于预计未来现金流量现值的差额确认减值损失。</w:t>
      </w:r>
    </w:p>
    <w:p>
      <w:pPr>
        <w:pStyle w:val="BodyText"/>
        <w:spacing w:line="240" w:lineRule="auto" w:before="22"/>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可供出售金融资产</w:t>
      </w:r>
    </w:p>
    <w:p>
      <w:pPr>
        <w:pStyle w:val="BodyText"/>
        <w:spacing w:line="240" w:lineRule="auto" w:before="63"/>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表明可供出售债务工具投资发生减值的客观证据包括：</w:t>
      </w:r>
    </w:p>
    <w:p>
      <w:pPr>
        <w:pStyle w:val="BodyText"/>
        <w:spacing w:line="240" w:lineRule="auto" w:before="63"/>
        <w:ind w:left="573" w:right="0"/>
        <w:jc w:val="left"/>
      </w:pPr>
      <w:r>
        <w:rPr/>
        <w:t>①</w:t>
      </w:r>
      <w:r>
        <w:rPr>
          <w:spacing w:val="-18"/>
        </w:rPr>
        <w:t> </w:t>
      </w:r>
      <w:r>
        <w:rPr/>
        <w:t>债务人发生严重财务困难；</w:t>
      </w:r>
    </w:p>
    <w:p>
      <w:pPr>
        <w:pStyle w:val="BodyText"/>
        <w:spacing w:line="240" w:lineRule="auto" w:before="76"/>
        <w:ind w:left="573" w:right="0"/>
        <w:jc w:val="left"/>
      </w:pPr>
      <w:r>
        <w:rPr/>
        <w:t>②</w:t>
      </w:r>
      <w:r>
        <w:rPr>
          <w:spacing w:val="-18"/>
        </w:rPr>
        <w:t> </w:t>
      </w:r>
      <w:r>
        <w:rPr/>
        <w:t>债务人违反了合同条款，如偿付利息或本金发生违约或逾期；</w:t>
      </w:r>
    </w:p>
    <w:p>
      <w:pPr>
        <w:pStyle w:val="BodyText"/>
        <w:spacing w:line="240" w:lineRule="auto" w:before="76"/>
        <w:ind w:left="573" w:right="0"/>
        <w:jc w:val="left"/>
      </w:pPr>
      <w:r>
        <w:rPr/>
        <w:t>③</w:t>
      </w:r>
      <w:r>
        <w:rPr>
          <w:spacing w:val="-18"/>
        </w:rPr>
        <w:t> </w:t>
      </w:r>
      <w:r>
        <w:rPr/>
        <w:t>公司出于经济或法律等方面因素的考虑，对发生财务困难的债务人作出让步；</w:t>
      </w:r>
    </w:p>
    <w:p>
      <w:pPr>
        <w:pStyle w:val="BodyText"/>
        <w:spacing w:line="240" w:lineRule="auto" w:before="76"/>
        <w:ind w:left="573" w:right="0"/>
        <w:jc w:val="left"/>
      </w:pPr>
      <w:r>
        <w:rPr/>
        <w:t>④</w:t>
      </w:r>
      <w:r>
        <w:rPr>
          <w:spacing w:val="-18"/>
        </w:rPr>
        <w:t> </w:t>
      </w:r>
      <w:r>
        <w:rPr/>
        <w:t>债务人很可能倒闭或进行其他财务重组；</w:t>
      </w:r>
    </w:p>
    <w:p>
      <w:pPr>
        <w:pStyle w:val="BodyText"/>
        <w:spacing w:line="240" w:lineRule="auto" w:before="76"/>
        <w:ind w:left="573" w:right="0"/>
        <w:jc w:val="left"/>
      </w:pPr>
      <w:r>
        <w:rPr/>
        <w:t>⑤</w:t>
      </w:r>
      <w:r>
        <w:rPr>
          <w:spacing w:val="-18"/>
        </w:rPr>
        <w:t> </w:t>
      </w:r>
      <w:r>
        <w:rPr/>
        <w:t>因债务人发生重大财务困难，该债务工具无法在活跃市场继续交易；</w:t>
      </w:r>
    </w:p>
    <w:p>
      <w:pPr>
        <w:pStyle w:val="BodyText"/>
        <w:spacing w:line="240" w:lineRule="auto" w:before="76"/>
        <w:ind w:left="573" w:right="0"/>
        <w:jc w:val="left"/>
      </w:pPr>
      <w:r>
        <w:rPr/>
        <w:t>⑥</w:t>
      </w:r>
      <w:r>
        <w:rPr>
          <w:spacing w:val="-18"/>
        </w:rPr>
        <w:t> </w:t>
      </w:r>
      <w:r>
        <w:rPr/>
        <w:t>其他表明可供出售债务工具已经发生减值的情况。</w:t>
      </w:r>
    </w:p>
    <w:p>
      <w:pPr>
        <w:pStyle w:val="BodyText"/>
        <w:spacing w:line="300" w:lineRule="auto" w:before="76"/>
        <w:ind w:right="152"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表明可供出售权益工具投资发生减值的客观证据包括权益工具投资的公允价值发生严重或非暂时性下跌，以及被投 资单位经营所处的技术、市场、经济或法律环境等发生重大不利变化使公司可能无法收回投资成本。</w:t>
      </w:r>
    </w:p>
    <w:p>
      <w:pPr>
        <w:pStyle w:val="BodyText"/>
        <w:spacing w:line="307" w:lineRule="auto" w:before="31"/>
        <w:ind w:right="151" w:firstLine="420"/>
        <w:jc w:val="both"/>
      </w:pPr>
      <w:r>
        <w:rPr/>
        <w:t>本公司于资产负债表日对各项可供出售权益工具投资单独进行检查。对于以公允价值计量的权益工具投资，若其于资 </w:t>
      </w:r>
      <w:r>
        <w:rPr>
          <w:spacing w:val="-1"/>
        </w:rPr>
        <w:t>产负债表日的公允价值低于其成本超过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）或低于其成本持续时间超过</w:t>
      </w:r>
      <w:r>
        <w:rPr>
          <w:rFonts w:ascii="Times New Roman" w:hAnsi="Times New Roman" w:cs="Times New Roman" w:eastAsia="Times New Roman" w:hint="default"/>
          <w:spacing w:val="-1"/>
        </w:rPr>
        <w:t>12</w:t>
      </w:r>
      <w:r>
        <w:rPr>
          <w:spacing w:val="-1"/>
        </w:rPr>
        <w:t>个月（含</w:t>
      </w:r>
      <w:r>
        <w:rPr>
          <w:rFonts w:ascii="Times New Roman" w:hAnsi="Times New Roman" w:cs="Times New Roman" w:eastAsia="Times New Roman" w:hint="default"/>
          <w:spacing w:val="-1"/>
        </w:rPr>
        <w:t>12</w:t>
      </w:r>
      <w:r>
        <w:rPr>
          <w:spacing w:val="-1"/>
        </w:rPr>
        <w:t>个月）的，则表明其发生减</w:t>
      </w:r>
      <w:r>
        <w:rPr>
          <w:spacing w:val="-60"/>
        </w:rPr>
        <w:t> </w:t>
      </w:r>
      <w:r>
        <w:rPr>
          <w:spacing w:val="-60"/>
        </w:rPr>
      </w:r>
      <w:r>
        <w:rPr>
          <w:spacing w:val="-5"/>
        </w:rPr>
        <w:t>值；若其于资产负债表日的公允价值低于其成本超过</w:t>
      </w:r>
      <w:r>
        <w:rPr>
          <w:rFonts w:ascii="Times New Roman" w:hAnsi="Times New Roman" w:cs="Times New Roman" w:eastAsia="Times New Roman" w:hint="default"/>
          <w:spacing w:val="-5"/>
        </w:rPr>
        <w:t>20%</w:t>
      </w:r>
      <w:r>
        <w:rPr>
          <w:spacing w:val="-5"/>
        </w:rPr>
        <w:t>（含</w:t>
      </w:r>
      <w:r>
        <w:rPr>
          <w:rFonts w:ascii="Times New Roman" w:hAnsi="Times New Roman" w:cs="Times New Roman" w:eastAsia="Times New Roman" w:hint="default"/>
          <w:spacing w:val="-5"/>
        </w:rPr>
        <w:t>20%</w:t>
      </w:r>
      <w:r>
        <w:rPr>
          <w:spacing w:val="-5"/>
        </w:rPr>
        <w:t>）但尚未达到</w:t>
      </w:r>
      <w:r>
        <w:rPr>
          <w:rFonts w:ascii="Times New Roman" w:hAnsi="Times New Roman" w:cs="Times New Roman" w:eastAsia="Times New Roman" w:hint="default"/>
          <w:spacing w:val="-5"/>
        </w:rPr>
        <w:t>50%</w:t>
      </w:r>
      <w:r>
        <w:rPr>
          <w:spacing w:val="-5"/>
        </w:rPr>
        <w:t>的，或低于其成本持续时间超过</w:t>
      </w:r>
      <w:r>
        <w:rPr>
          <w:rFonts w:ascii="Times New Roman" w:hAnsi="Times New Roman" w:cs="Times New Roman" w:eastAsia="Times New Roman" w:hint="default"/>
          <w:spacing w:val="-5"/>
        </w:rPr>
        <w:t>6</w:t>
      </w:r>
      <w:r>
        <w:rPr>
          <w:spacing w:val="-5"/>
        </w:rPr>
        <w:t>个月（含</w:t>
      </w:r>
      <w:r>
        <w:rPr>
          <w:spacing w:val="-61"/>
        </w:rPr>
        <w:t> </w:t>
      </w:r>
      <w:r>
        <w:rPr>
          <w:spacing w:val="-61"/>
        </w:rPr>
      </w:r>
      <w:r>
        <w:rPr>
          <w:rFonts w:ascii="Times New Roman" w:hAnsi="Times New Roman" w:cs="Times New Roman" w:eastAsia="Times New Roman" w:hint="default"/>
        </w:rPr>
        <w:t>6</w:t>
      </w:r>
      <w:r>
        <w:rPr/>
        <w:t>个月）但未超过</w:t>
      </w:r>
      <w:r>
        <w:rPr>
          <w:rFonts w:ascii="Times New Roman" w:hAnsi="Times New Roman" w:cs="Times New Roman" w:eastAsia="Times New Roman" w:hint="default"/>
        </w:rPr>
        <w:t>12</w:t>
      </w:r>
      <w:r>
        <w:rPr/>
        <w:t>个月的，本公司会综合考虑其他相关因素，诸如价格波动率等，判断该权益工具投资是否发生减值。对</w:t>
      </w:r>
      <w:r>
        <w:rPr>
          <w:spacing w:val="-85"/>
        </w:rPr>
        <w:t> </w:t>
      </w:r>
      <w:r>
        <w:rPr>
          <w:spacing w:val="-85"/>
        </w:rPr>
      </w:r>
      <w:r>
        <w:rPr>
          <w:spacing w:val="-5"/>
        </w:rPr>
        <w:t>于以成本计量的权益工具投资，公司综合考虑被投资单位经营所处的技术、市场、经济或法律环境等是否发生重大不利变化，</w:t>
      </w:r>
      <w:r>
        <w:rPr>
          <w:spacing w:val="-79"/>
        </w:rPr>
        <w:t> </w:t>
      </w:r>
      <w:r>
        <w:rPr>
          <w:spacing w:val="-79"/>
        </w:rPr>
      </w:r>
      <w:r>
        <w:rPr/>
        <w:t>判断该权益工具是否发生减值。</w:t>
      </w:r>
    </w:p>
    <w:p>
      <w:pPr>
        <w:pStyle w:val="BodyText"/>
        <w:spacing w:line="316" w:lineRule="auto" w:before="26"/>
        <w:ind w:right="150" w:firstLine="420"/>
        <w:jc w:val="both"/>
      </w:pPr>
      <w:r>
        <w:rPr/>
        <w:t>以公允价值计量的可供出售金融资产发生减值时，原直接计入其他综合收益的因公允价值下降形成的累计损失予以转 </w:t>
      </w:r>
      <w:r>
        <w:rPr>
          <w:spacing w:val="-2"/>
        </w:rPr>
        <w:t>出并计入减值损失。对已确认减值损失的可供出售债务工具投资，在期后公允价值回升且客观上与确认原减值损失后发生的</w:t>
      </w:r>
      <w:r>
        <w:rPr>
          <w:spacing w:val="-64"/>
        </w:rPr>
        <w:t> </w:t>
      </w:r>
      <w:r>
        <w:rPr>
          <w:spacing w:val="-64"/>
        </w:rPr>
      </w:r>
      <w:r>
        <w:rPr>
          <w:spacing w:val="-2"/>
        </w:rPr>
        <w:t>事项有关的，原确认的减值损失予以转回并计入当期损益。对已确认减值损失的可供出售权益工具投资，期后公允价值回升</w:t>
      </w:r>
      <w:r>
        <w:rPr>
          <w:spacing w:val="-63"/>
        </w:rPr>
        <w:t> </w:t>
      </w:r>
      <w:r>
        <w:rPr>
          <w:spacing w:val="-63"/>
        </w:rPr>
      </w:r>
      <w:r>
        <w:rPr/>
        <w:t>直接计入其他综合收益。</w:t>
      </w:r>
    </w:p>
    <w:p>
      <w:pPr>
        <w:pStyle w:val="BodyText"/>
        <w:spacing w:line="316" w:lineRule="auto" w:before="19"/>
        <w:ind w:right="158" w:firstLine="420"/>
        <w:jc w:val="both"/>
      </w:pPr>
      <w:r>
        <w:rPr/>
        <w:t>以成本计量的可供出售权益工具发生减值时，将该权益工具投资的账面价值，与按照类似金融资产当时市场收益率对 未来现金流量折现确定的现值之间的差额，确认为减值损失，计入当期损益，发生的减值损失一经确认，不予转回。</w:t>
      </w:r>
    </w:p>
    <w:p>
      <w:pPr>
        <w:spacing w:line="240" w:lineRule="auto" w:before="10"/>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9</w:t>
      </w:r>
      <w:r>
        <w:rPr/>
        <w:t>、应收款项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万元以上（含）且占应收款项账面余额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 款项</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after="0" w:line="316" w:lineRule="auto"/>
        <w:jc w:val="left"/>
        <w:rPr>
          <w:rFonts w:ascii="宋体" w:hAnsi="宋体" w:cs="宋体" w:eastAsia="宋体" w:hint="default"/>
          <w:sz w:val="18"/>
          <w:szCs w:val="18"/>
        </w:rPr>
        <w:sectPr>
          <w:footerReference w:type="default" r:id="rId22"/>
          <w:pgSz w:w="11910" w:h="16840"/>
          <w:pgMar w:footer="1186" w:header="877" w:top="1100" w:bottom="1380" w:left="980" w:right="980"/>
        </w:sectPr>
      </w:pPr>
    </w:p>
    <w:p>
      <w:pPr>
        <w:spacing w:line="240" w:lineRule="auto" w:before="12"/>
        <w:rPr>
          <w:rFonts w:ascii="宋体" w:hAnsi="宋体" w:cs="宋体" w:eastAsia="宋体" w:hint="default"/>
          <w:b/>
          <w:bCs/>
          <w:sz w:val="20"/>
          <w:szCs w:val="20"/>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0"/>
        <w:jc w:val="left"/>
      </w:pPr>
      <w:r>
        <w:rPr/>
        <w:t>组合中，采用账龄分析法计提坏账准备的：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38" w:lineRule="auto" w:before="117"/>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pStyle w:val="Heading6"/>
        <w:spacing w:line="256" w:lineRule="auto" w:before="6"/>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存货的分类</w:t>
      </w:r>
      <w:r>
        <w:rPr>
          <w:w w:val="100"/>
        </w:rPr>
        <w:t> </w:t>
      </w:r>
      <w:r>
        <w:rPr>
          <w:spacing w:val="-2"/>
        </w:rPr>
        <w:t>存货包括在日常活动中持有以备出售的产成品或商品、处在生产过程中的在产品、在生产过程或提供</w:t>
      </w:r>
    </w:p>
    <w:p>
      <w:pPr>
        <w:pStyle w:val="Heading6"/>
        <w:spacing w:line="264" w:lineRule="auto"/>
        <w:ind w:left="573" w:right="6536" w:hanging="421"/>
        <w:jc w:val="left"/>
      </w:pPr>
      <w:r>
        <w:rPr>
          <w:spacing w:val="-2"/>
        </w:rPr>
        <w:t>劳务过程中耗用的材料和物料等。</w:t>
      </w:r>
      <w:r>
        <w:rPr>
          <w:spacing w:val="-75"/>
        </w:rPr>
        <w:t> </w:t>
      </w:r>
      <w:r>
        <w:rPr>
          <w:spacing w:val="-75"/>
        </w:rPr>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发出存货的计价方法</w:t>
      </w:r>
      <w:r>
        <w:rPr>
          <w:w w:val="100"/>
        </w:rPr>
        <w:t> </w:t>
      </w:r>
      <w:r>
        <w:rPr/>
        <w:t>发出存货采用个别计价法。</w:t>
      </w:r>
    </w:p>
    <w:p>
      <w:pPr>
        <w:pStyle w:val="Heading6"/>
        <w:spacing w:line="256" w:lineRule="auto" w:before="16"/>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存货可变现净值的确定依据</w:t>
      </w:r>
      <w:r>
        <w:rPr>
          <w:w w:val="100"/>
        </w:rPr>
        <w:t> </w:t>
      </w:r>
      <w:r>
        <w:rPr>
          <w:spacing w:val="-2"/>
        </w:rPr>
        <w:t>资产负债表日，存货采用成本与可变现净值孰低计量，按照单个存货成本高于可变现净值的差额计提</w:t>
      </w:r>
    </w:p>
    <w:p>
      <w:pPr>
        <w:pStyle w:val="Heading6"/>
        <w:spacing w:line="273" w:lineRule="auto"/>
        <w:ind w:right="146"/>
        <w:jc w:val="both"/>
      </w:pPr>
      <w:r>
        <w:rPr>
          <w:spacing w:val="-2"/>
        </w:rPr>
        <w:t>存货跌价准备。直接用于出售的存货，在正常生产经营过程中以该存货的估计售价减去估计的销售费用和</w:t>
      </w:r>
      <w:r>
        <w:rPr>
          <w:spacing w:val="-43"/>
        </w:rPr>
        <w:t> </w:t>
      </w:r>
      <w:r>
        <w:rPr>
          <w:spacing w:val="-43"/>
        </w:rPr>
      </w:r>
      <w:r>
        <w:rPr>
          <w:spacing w:val="-2"/>
        </w:rPr>
        <w:t>相关税费后的金额确定其可变现净值；需要经过加工的存货，在正常生产经营过程中以所生产的产成品的</w:t>
      </w:r>
      <w:r>
        <w:rPr>
          <w:spacing w:val="-43"/>
        </w:rPr>
        <w:t> </w:t>
      </w:r>
      <w:r>
        <w:rPr>
          <w:spacing w:val="-43"/>
        </w:rPr>
      </w:r>
      <w:r>
        <w:rPr>
          <w:spacing w:val="-2"/>
        </w:rPr>
        <w:t>估计售价减去至完工时估计将要发生的成本、估计的销售费用和相关税费后的金额确定其可变现净值；资</w:t>
      </w:r>
      <w:r>
        <w:rPr>
          <w:spacing w:val="-43"/>
        </w:rPr>
        <w:t> </w:t>
      </w:r>
      <w:r>
        <w:rPr>
          <w:spacing w:val="-43"/>
        </w:rPr>
      </w:r>
      <w:r>
        <w:rPr>
          <w:spacing w:val="-7"/>
        </w:rPr>
        <w:t>产负债表日，同一项存货中一部分有合同价格约定、其他部分不存在合同价格的，分别确定其可变现净值，</w:t>
      </w:r>
    </w:p>
    <w:p>
      <w:pPr>
        <w:spacing w:after="0" w:line="273" w:lineRule="auto"/>
        <w:jc w:val="both"/>
        <w:sectPr>
          <w:footerReference w:type="default" r:id="rId23"/>
          <w:pgSz w:w="11910" w:h="16840"/>
          <w:pgMar w:footer="1186" w:header="877" w:top="1100" w:bottom="1380" w:left="980" w:right="980"/>
          <w:pgNumType w:start="101"/>
        </w:sectPr>
      </w:pPr>
    </w:p>
    <w:p>
      <w:pPr>
        <w:spacing w:line="240" w:lineRule="auto" w:before="12"/>
        <w:rPr>
          <w:rFonts w:ascii="宋体" w:hAnsi="宋体" w:cs="宋体" w:eastAsia="宋体" w:hint="default"/>
          <w:sz w:val="20"/>
          <w:szCs w:val="20"/>
        </w:rPr>
      </w:pPr>
    </w:p>
    <w:p>
      <w:pPr>
        <w:pStyle w:val="Heading6"/>
        <w:spacing w:line="240" w:lineRule="auto" w:before="36"/>
        <w:ind w:right="0"/>
        <w:jc w:val="both"/>
      </w:pPr>
      <w:r>
        <w:rPr/>
        <w:t>并与其对应的成本进行比较，分别确定存货跌价准备的计提或转回的金额。</w:t>
      </w:r>
    </w:p>
    <w:p>
      <w:pPr>
        <w:pStyle w:val="Heading6"/>
        <w:spacing w:line="256" w:lineRule="auto" w:before="37"/>
        <w:ind w:left="573" w:right="581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存货的盘存制度</w:t>
      </w:r>
      <w:r>
        <w:rPr>
          <w:w w:val="100"/>
        </w:rPr>
        <w:t> </w:t>
      </w:r>
      <w:r>
        <w:rPr>
          <w:spacing w:val="-2"/>
        </w:rPr>
        <w:t>存货的盘存制度为永续盘存制。</w:t>
      </w:r>
    </w:p>
    <w:p>
      <w:pPr>
        <w:pStyle w:val="Heading6"/>
        <w:spacing w:line="240" w:lineRule="auto"/>
        <w:ind w:left="573" w:right="253"/>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低值易耗品和包装物的摊销方法</w:t>
      </w:r>
    </w:p>
    <w:p>
      <w:pPr>
        <w:pStyle w:val="Heading6"/>
        <w:spacing w:line="261" w:lineRule="auto" w:before="21"/>
        <w:ind w:left="573" w:right="677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低值易耗品</w:t>
      </w:r>
      <w:r>
        <w:rPr>
          <w:spacing w:val="-102"/>
        </w:rPr>
        <w:t> </w:t>
      </w:r>
      <w:r>
        <w:rPr>
          <w:spacing w:val="-102"/>
        </w:rPr>
      </w:r>
      <w:r>
        <w:rPr>
          <w:spacing w:val="-2"/>
        </w:rPr>
        <w:t>按照一次转销法进行摊销。</w:t>
      </w:r>
      <w:r>
        <w:rPr>
          <w:spacing w:val="-82"/>
        </w:rPr>
        <w:t> </w:t>
      </w:r>
      <w:r>
        <w:rPr>
          <w:spacing w:val="-82"/>
        </w:rPr>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包装物</w:t>
      </w:r>
      <w:r>
        <w:rPr>
          <w:spacing w:val="-102"/>
        </w:rPr>
        <w:t> </w:t>
      </w:r>
      <w:r>
        <w:rPr>
          <w:spacing w:val="-2"/>
        </w:rPr>
        <w:t>按照一次转销法进行摊销。</w:t>
      </w:r>
    </w:p>
    <w:p>
      <w:pPr>
        <w:spacing w:line="240" w:lineRule="auto" w:before="4"/>
        <w:rPr>
          <w:rFonts w:ascii="宋体" w:hAnsi="宋体" w:cs="宋体" w:eastAsia="宋体" w:hint="default"/>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10"/>
        <w:rPr>
          <w:rFonts w:ascii="宋体" w:hAnsi="宋体" w:cs="宋体" w:eastAsia="宋体" w:hint="default"/>
          <w:b/>
          <w:bCs/>
          <w:sz w:val="24"/>
          <w:szCs w:val="24"/>
        </w:rPr>
      </w:pPr>
    </w:p>
    <w:p>
      <w:pPr>
        <w:pStyle w:val="Heading6"/>
        <w:spacing w:line="256" w:lineRule="auto" w:before="0"/>
        <w:ind w:left="573" w:right="10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共同控制、重要影响的判断</w:t>
      </w:r>
      <w:r>
        <w:rPr>
          <w:w w:val="100"/>
        </w:rPr>
        <w:t> </w:t>
      </w:r>
      <w:r>
        <w:rPr>
          <w:spacing w:val="-2"/>
        </w:rPr>
        <w:t>按照相关约定对某项安排存在共有的控制，并且该安排的相关活动必须经过分享控制权的参与方一致</w:t>
      </w:r>
    </w:p>
    <w:p>
      <w:pPr>
        <w:pStyle w:val="Heading6"/>
        <w:spacing w:line="273" w:lineRule="auto"/>
        <w:ind w:right="106"/>
        <w:jc w:val="left"/>
      </w:pPr>
      <w:r>
        <w:rPr>
          <w:spacing w:val="-2"/>
        </w:rPr>
        <w:t>同意后才能决策，认定为共同控制。对被投资单位的财务和经营政策有参与决策的权力，但并不能够控制</w:t>
      </w:r>
      <w:r>
        <w:rPr>
          <w:spacing w:val="-44"/>
        </w:rPr>
        <w:t> </w:t>
      </w:r>
      <w:r>
        <w:rPr>
          <w:spacing w:val="-44"/>
        </w:rPr>
      </w:r>
      <w:r>
        <w:rPr/>
        <w:t>或者与其他方一起共同控制这些政策的制定，认定为重大影响。</w:t>
      </w:r>
    </w:p>
    <w:p>
      <w:pPr>
        <w:pStyle w:val="Heading6"/>
        <w:spacing w:line="240" w:lineRule="auto" w:before="7"/>
        <w:ind w:left="573" w:right="2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投资成本的确定</w:t>
      </w:r>
    </w:p>
    <w:p>
      <w:pPr>
        <w:pStyle w:val="Heading6"/>
        <w:spacing w:line="266" w:lineRule="auto" w:before="21"/>
        <w:ind w:right="20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同一控制下的企业合并形成的，合并方以支付现金、转让非现金资产、承担债务或发行权益性证</w:t>
      </w:r>
      <w:r>
        <w:rPr>
          <w:w w:val="100"/>
        </w:rPr>
        <w:t> </w:t>
      </w:r>
      <w:r>
        <w:rPr>
          <w:spacing w:val="-2"/>
        </w:rPr>
        <w:t>券作为合并对价的，在合并日按照取得被合并方所有者权益在最终控制方合并财务报表中的账面价值的份</w:t>
      </w:r>
      <w:r>
        <w:rPr>
          <w:spacing w:val="-43"/>
        </w:rPr>
        <w:t> </w:t>
      </w:r>
      <w:r>
        <w:rPr>
          <w:spacing w:val="-43"/>
        </w:rPr>
      </w:r>
      <w:r>
        <w:rPr>
          <w:spacing w:val="-2"/>
        </w:rPr>
        <w:t>额作为其初始投资成本。长期股权投资初始投资成本与支付的合并对价的账面价值或发行股份的面值总额</w:t>
      </w:r>
      <w:r>
        <w:rPr>
          <w:spacing w:val="-43"/>
        </w:rPr>
        <w:t> </w:t>
      </w:r>
      <w:r>
        <w:rPr>
          <w:spacing w:val="-43"/>
        </w:rPr>
      </w:r>
      <w:r>
        <w:rPr/>
        <w:t>之间的差额调整资本公积；资本公积不足冲减的，调整留存收益。</w:t>
      </w:r>
    </w:p>
    <w:p>
      <w:pPr>
        <w:pStyle w:val="Heading6"/>
        <w:spacing w:line="264" w:lineRule="auto" w:before="14"/>
        <w:ind w:right="206" w:firstLine="420"/>
        <w:jc w:val="both"/>
      </w:pPr>
      <w:r>
        <w:rPr>
          <w:spacing w:val="-2"/>
        </w:rPr>
        <w:t>公司通过多次交易分步实现同一控制下企业合并形成的长期股权投资，判断是否属于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w:t>
      </w:r>
      <w:r>
        <w:rPr>
          <w:w w:val="100"/>
        </w:rPr>
        <w:t> </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的，把各项交易作为一项取得控制权的交易进行会计处理。不属于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的，在</w:t>
      </w:r>
      <w:r>
        <w:rPr>
          <w:spacing w:val="-42"/>
        </w:rPr>
        <w:t> </w:t>
      </w:r>
      <w:r>
        <w:rPr>
          <w:spacing w:val="-42"/>
        </w:rPr>
      </w:r>
      <w:r>
        <w:rPr>
          <w:spacing w:val="-2"/>
        </w:rPr>
        <w:t>合并日，根据合并后应享有被合并方净资产在最终控制方合并财务报表中的账面价值的份额确定初始投资</w:t>
      </w:r>
      <w:r>
        <w:rPr>
          <w:spacing w:val="-43"/>
        </w:rPr>
        <w:t> </w:t>
      </w:r>
      <w:r>
        <w:rPr>
          <w:spacing w:val="-43"/>
        </w:rPr>
      </w:r>
      <w:r>
        <w:rPr>
          <w:spacing w:val="-2"/>
        </w:rPr>
        <w:t>成本。合并日长期股权投资的初始投资成本，与达到合并前的长期股权投资账面价值加上合并日进一步取</w:t>
      </w:r>
      <w:r>
        <w:rPr>
          <w:spacing w:val="-42"/>
        </w:rPr>
        <w:t> </w:t>
      </w:r>
      <w:r>
        <w:rPr>
          <w:spacing w:val="-42"/>
        </w:rPr>
      </w:r>
      <w:r>
        <w:rPr/>
        <w:t>得股份新支付对价的账面价值之和的差额，调整资本公积；资本公积不足冲减的，调整留存收益。</w:t>
      </w:r>
    </w:p>
    <w:p>
      <w:pPr>
        <w:pStyle w:val="Heading6"/>
        <w:spacing w:line="256" w:lineRule="auto" w:before="16"/>
        <w:ind w:left="573" w:right="106"/>
        <w:jc w:val="left"/>
      </w:pPr>
      <w:r>
        <w:rPr>
          <w:rFonts w:ascii="Times New Roman" w:hAnsi="Times New Roman" w:cs="Times New Roman" w:eastAsia="Times New Roman" w:hint="default"/>
        </w:rPr>
        <w:t>(2) </w:t>
      </w:r>
      <w:r>
        <w:rPr>
          <w:spacing w:val="-3"/>
        </w:rPr>
        <w:t>非同一控制下的企业合并形成的，在购买日按照支付的合并对价的公允价值作为其初始投资成本。</w:t>
      </w:r>
      <w:r>
        <w:rPr>
          <w:spacing w:val="-95"/>
        </w:rPr>
        <w:t> </w:t>
      </w:r>
      <w:r>
        <w:rPr>
          <w:spacing w:val="-95"/>
        </w:rPr>
      </w:r>
      <w:r>
        <w:rPr/>
        <w:t>公司通过多次交易分步实现非同一控制下企业合并形成的长期股权投资，区分个别财务报表和合并财</w:t>
      </w:r>
    </w:p>
    <w:p>
      <w:pPr>
        <w:pStyle w:val="Heading6"/>
        <w:spacing w:line="240" w:lineRule="auto"/>
        <w:ind w:right="0"/>
        <w:jc w:val="both"/>
      </w:pPr>
      <w:r>
        <w:rPr/>
        <w:t>务报表进行相关会计处理：</w:t>
      </w:r>
    </w:p>
    <w:p>
      <w:pPr>
        <w:pStyle w:val="Heading6"/>
        <w:spacing w:line="256" w:lineRule="auto" w:before="37"/>
        <w:ind w:right="20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3"/>
        </w:rPr>
        <w:t>在个别财务报表中，按照原持有的股权投资的账面价值加上新增投资成本之和，作为改按成本法核</w:t>
      </w:r>
      <w:r>
        <w:rPr>
          <w:w w:val="100"/>
        </w:rPr>
        <w:t> </w:t>
      </w:r>
      <w:r>
        <w:rPr/>
        <w:t>算的初始投资成本。</w:t>
      </w:r>
    </w:p>
    <w:p>
      <w:pPr>
        <w:pStyle w:val="Heading6"/>
        <w:spacing w:line="264" w:lineRule="auto"/>
        <w:ind w:right="20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spacing w:val="-2"/>
        </w:rPr>
        <w:t>在合并财务报表中，判断是否属于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的，把各项交易作为一项取得</w:t>
      </w:r>
      <w:r>
        <w:rPr>
          <w:w w:val="100"/>
        </w:rPr>
        <w:t> </w:t>
      </w:r>
      <w:r>
        <w:rPr>
          <w:spacing w:val="-2"/>
        </w:rPr>
        <w:t>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的，对于购买日之前持有的被购买方的股权，按照该股</w:t>
      </w:r>
      <w:r>
        <w:rPr>
          <w:spacing w:val="-17"/>
        </w:rPr>
        <w:t> </w:t>
      </w:r>
      <w:r>
        <w:rPr>
          <w:spacing w:val="-17"/>
        </w:rPr>
      </w:r>
      <w:r>
        <w:rPr>
          <w:spacing w:val="-2"/>
        </w:rPr>
        <w:t>权在购买日的公允价值进行重新计量，公允价值与其账面价值的差额计入当期投资收益；购买日之前持有</w:t>
      </w:r>
      <w:r>
        <w:rPr>
          <w:spacing w:val="-44"/>
        </w:rPr>
        <w:t> </w:t>
      </w:r>
      <w:r>
        <w:rPr>
          <w:spacing w:val="-44"/>
        </w:rPr>
      </w:r>
      <w:r>
        <w:rPr>
          <w:spacing w:val="-2"/>
        </w:rPr>
        <w:t>的被购买方的股权涉及权益法核算下的其他综合收益等的，与其相关的其他综合收益等转为购买日所属当</w:t>
      </w:r>
      <w:r>
        <w:rPr>
          <w:spacing w:val="-43"/>
        </w:rPr>
        <w:t> </w:t>
      </w:r>
      <w:r>
        <w:rPr>
          <w:spacing w:val="-43"/>
        </w:rPr>
      </w:r>
      <w:r>
        <w:rPr/>
        <w:t>期收益。但由于被投资方重新计量设定受益计划净负债或净资产变动而产生的其他综合收益除外。</w:t>
      </w:r>
    </w:p>
    <w:p>
      <w:pPr>
        <w:pStyle w:val="Heading6"/>
        <w:spacing w:line="264" w:lineRule="auto" w:before="16"/>
        <w:ind w:right="211"/>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1"/>
        </w:rPr>
        <w:t> </w:t>
      </w:r>
      <w:r>
        <w:rPr/>
        <w:t>除企业合并形成以外的：以支付现金取得的，按照实际支付的购买价款作为其初始投资成本；以发行</w:t>
      </w:r>
      <w:r>
        <w:rPr>
          <w:spacing w:val="-99"/>
        </w:rPr>
        <w:t> </w:t>
      </w:r>
      <w:r>
        <w:rPr>
          <w:spacing w:val="-99"/>
        </w:rPr>
      </w:r>
      <w:r>
        <w:rPr>
          <w:spacing w:val="-7"/>
        </w:rPr>
        <w:t>权益性证券取得的，按照发行权益性证券的公允价值作为其初始投资成本；以债务重组方式取得的，按《企</w:t>
      </w:r>
      <w:r>
        <w:rPr>
          <w:spacing w:val="-22"/>
        </w:rPr>
        <w:t> </w:t>
      </w:r>
      <w:r>
        <w:rPr>
          <w:spacing w:val="-22"/>
        </w:rPr>
      </w:r>
      <w:r>
        <w:rPr/>
        <w:t>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债务重组》确定其初始投资成本；</w:t>
      </w:r>
    </w:p>
    <w:p>
      <w:pPr>
        <w:pStyle w:val="Heading6"/>
        <w:spacing w:line="256" w:lineRule="auto" w:before="0"/>
        <w:ind w:left="573" w:right="175"/>
        <w:jc w:val="left"/>
      </w:pPr>
      <w:r>
        <w:rPr>
          <w:spacing w:val="-5"/>
        </w:rPr>
        <w:t>以非货币性资产交换取得的，按《企业会计准则第</w:t>
      </w:r>
      <w:r>
        <w:rPr>
          <w:rFonts w:ascii="Times New Roman" w:hAnsi="Times New Roman" w:cs="Times New Roman" w:eastAsia="Times New Roman" w:hint="default"/>
          <w:spacing w:val="-5"/>
        </w:rPr>
        <w:t>7</w:t>
      </w:r>
      <w:r>
        <w:rPr>
          <w:spacing w:val="-5"/>
        </w:rPr>
        <w:t>号</w:t>
      </w:r>
      <w:r>
        <w:rPr>
          <w:rFonts w:ascii="Times New Roman" w:hAnsi="Times New Roman" w:cs="Times New Roman" w:eastAsia="Times New Roman" w:hint="default"/>
          <w:spacing w:val="-5"/>
        </w:rPr>
        <w:t>——</w:t>
      </w:r>
      <w:r>
        <w:rPr>
          <w:spacing w:val="-5"/>
        </w:rPr>
        <w:t>非货币性资产交换》确定其初始投资成本。</w:t>
      </w:r>
      <w:r>
        <w:rPr>
          <w:spacing w:val="-19"/>
        </w:rPr>
        <w:t> </w:t>
      </w:r>
      <w:r>
        <w:rPr>
          <w:spacing w:val="-19"/>
        </w:rPr>
      </w: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后续计量及损益确认方法</w:t>
      </w:r>
      <w:r>
        <w:rPr>
          <w:w w:val="100"/>
        </w:rPr>
        <w:t> </w:t>
      </w:r>
      <w:r>
        <w:rPr>
          <w:spacing w:val="-2"/>
        </w:rPr>
        <w:t>对被投资单位实施控制的长期股权投资采用成本法核算；对联营企业和合营企业的长期股权投资，采</w:t>
      </w:r>
    </w:p>
    <w:p>
      <w:pPr>
        <w:pStyle w:val="Heading6"/>
        <w:spacing w:line="240" w:lineRule="auto"/>
        <w:ind w:right="0"/>
        <w:jc w:val="both"/>
      </w:pPr>
      <w:r>
        <w:rPr/>
        <w:t>用权益法核算。</w:t>
      </w:r>
    </w:p>
    <w:p>
      <w:pPr>
        <w:pStyle w:val="Heading6"/>
        <w:spacing w:line="240" w:lineRule="auto" w:before="37"/>
        <w:ind w:left="573" w:right="25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通过多次交易分步处置对子公司投资至丧失控制权的处理方法</w:t>
      </w:r>
    </w:p>
    <w:p>
      <w:pPr>
        <w:pStyle w:val="Heading6"/>
        <w:spacing w:line="240" w:lineRule="auto" w:before="21"/>
        <w:ind w:left="573" w:right="25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个别财务报表</w:t>
      </w:r>
    </w:p>
    <w:p>
      <w:pPr>
        <w:spacing w:after="0" w:line="240" w:lineRule="auto"/>
        <w:jc w:val="left"/>
        <w:sectPr>
          <w:pgSz w:w="11910" w:h="16840"/>
          <w:pgMar w:header="877" w:footer="1186" w:top="1100" w:bottom="1380" w:left="980" w:right="920"/>
        </w:sectPr>
      </w:pPr>
    </w:p>
    <w:p>
      <w:pPr>
        <w:spacing w:line="240" w:lineRule="auto" w:before="12"/>
        <w:rPr>
          <w:rFonts w:ascii="宋体" w:hAnsi="宋体" w:cs="宋体" w:eastAsia="宋体" w:hint="default"/>
          <w:sz w:val="20"/>
          <w:szCs w:val="20"/>
        </w:rPr>
      </w:pPr>
    </w:p>
    <w:p>
      <w:pPr>
        <w:pStyle w:val="Heading6"/>
        <w:spacing w:line="266" w:lineRule="auto" w:before="36"/>
        <w:ind w:right="106" w:firstLine="420"/>
        <w:jc w:val="left"/>
      </w:pPr>
      <w:r>
        <w:rPr>
          <w:spacing w:val="-2"/>
        </w:rPr>
        <w:t>对处置的股权，其账面价值与实际取得价款之间的差额，计入当期损益。对于剩余股权，对被投资单</w:t>
      </w:r>
      <w:r>
        <w:rPr>
          <w:w w:val="100"/>
        </w:rPr>
        <w:t> </w:t>
      </w:r>
      <w:r>
        <w:rPr/>
        <w:t>位仍具有重大影响或者与其他方一起实施共同控制的，转为权益法核算；不能再对被投资单位实施控制、</w:t>
      </w:r>
      <w:r>
        <w:rPr>
          <w:spacing w:val="-24"/>
        </w:rPr>
        <w:t> </w:t>
      </w:r>
      <w:r>
        <w:rPr>
          <w:spacing w:val="-24"/>
        </w:rPr>
      </w:r>
      <w:r>
        <w:rPr>
          <w:spacing w:val="-2"/>
        </w:rPr>
        <w:t>共同控制或重大影响的，确认为金融资产，按照《企业会计准则第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金融工具确认和计量》的相关</w:t>
      </w:r>
      <w:r>
        <w:rPr>
          <w:spacing w:val="-44"/>
        </w:rPr>
        <w:t> </w:t>
      </w:r>
      <w:r>
        <w:rPr>
          <w:spacing w:val="-44"/>
        </w:rPr>
      </w:r>
      <w:r>
        <w:rPr/>
        <w:t>规定进行核算。</w:t>
      </w:r>
    </w:p>
    <w:p>
      <w:pPr>
        <w:pStyle w:val="Heading6"/>
        <w:spacing w:line="240" w:lineRule="auto" w:before="14"/>
        <w:ind w:left="573" w:right="2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合并财务报表</w:t>
      </w:r>
    </w:p>
    <w:p>
      <w:pPr>
        <w:pStyle w:val="Heading6"/>
        <w:spacing w:line="256" w:lineRule="auto" w:before="21"/>
        <w:ind w:left="573" w:right="10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w w:val="100"/>
        </w:rPr>
        <w:t> </w:t>
      </w:r>
      <w:r>
        <w:rPr>
          <w:spacing w:val="-2"/>
        </w:rPr>
        <w:t>在丧失控制权之前，处置价款与处置长期股权投资相对应享有子公司自购买日或合并日开始持续计算</w:t>
      </w:r>
    </w:p>
    <w:p>
      <w:pPr>
        <w:pStyle w:val="Heading6"/>
        <w:spacing w:line="273" w:lineRule="auto"/>
        <w:ind w:left="573" w:right="106" w:hanging="421"/>
        <w:jc w:val="left"/>
      </w:pPr>
      <w:r>
        <w:rPr/>
        <w:t>的净资产份额之间的差额，调整资本公积（资本溢价），资本溢价不足冲减的，冲减留存收益。</w:t>
      </w:r>
      <w:r>
        <w:rPr>
          <w:w w:val="100"/>
        </w:rPr>
        <w:t> </w:t>
      </w:r>
      <w:r>
        <w:rPr>
          <w:spacing w:val="-2"/>
        </w:rPr>
        <w:t>丧失对原子公司控制权时，对于剩余股权，按照其在丧失控制权日的公允价值进行重新计量。处置股</w:t>
      </w:r>
    </w:p>
    <w:p>
      <w:pPr>
        <w:pStyle w:val="Heading6"/>
        <w:spacing w:line="273" w:lineRule="auto" w:before="7"/>
        <w:ind w:right="206"/>
        <w:jc w:val="both"/>
      </w:pPr>
      <w:r>
        <w:rPr>
          <w:spacing w:val="-2"/>
        </w:rPr>
        <w:t>权取得的对价与剩余股权公允价值之和，减去按原持股比例计算应享有原有子公司自购买日或合并日开始</w:t>
      </w:r>
      <w:r>
        <w:rPr>
          <w:spacing w:val="-43"/>
        </w:rPr>
        <w:t> </w:t>
      </w:r>
      <w:r>
        <w:rPr>
          <w:spacing w:val="-43"/>
        </w:rPr>
      </w:r>
      <w:r>
        <w:rPr>
          <w:spacing w:val="-2"/>
        </w:rPr>
        <w:t>持续计算的净资产的份额之间的差额，计入丧失控制权当期的投资收益，同时冲减商誉。与原有子公司股</w:t>
      </w:r>
      <w:r>
        <w:rPr>
          <w:spacing w:val="-43"/>
        </w:rPr>
        <w:t> </w:t>
      </w:r>
      <w:r>
        <w:rPr>
          <w:spacing w:val="-43"/>
        </w:rPr>
      </w:r>
      <w:r>
        <w:rPr/>
        <w:t>权投资相关的其他综合收益等，应当在丧失控制权时转为当期投资收益。</w:t>
      </w:r>
    </w:p>
    <w:p>
      <w:pPr>
        <w:pStyle w:val="Heading6"/>
        <w:spacing w:line="256" w:lineRule="auto" w:before="7"/>
        <w:ind w:left="573" w:right="10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w w:val="100"/>
        </w:rPr>
        <w:t> </w:t>
      </w:r>
      <w:r>
        <w:rPr>
          <w:spacing w:val="-2"/>
        </w:rPr>
        <w:t>将各项交易作为一项处置子公司并丧失控制权的交易进行会计处理。但是，在丧失控制权之前每一次</w:t>
      </w:r>
    </w:p>
    <w:p>
      <w:pPr>
        <w:pStyle w:val="Heading6"/>
        <w:spacing w:line="273" w:lineRule="auto"/>
        <w:ind w:right="106"/>
        <w:jc w:val="left"/>
      </w:pPr>
      <w:r>
        <w:rPr>
          <w:spacing w:val="-2"/>
        </w:rPr>
        <w:t>处置价款与处置投资对应的享有该子公司净资产份额的差额，在合并财务报表中确认为其他综合收益，在</w:t>
      </w:r>
      <w:r>
        <w:rPr>
          <w:spacing w:val="-43"/>
        </w:rPr>
        <w:t> </w:t>
      </w:r>
      <w:r>
        <w:rPr>
          <w:spacing w:val="-43"/>
        </w:rPr>
      </w:r>
      <w:r>
        <w:rPr/>
        <w:t>丧失控制权时一并转入丧失控制权当期的损益。</w:t>
      </w:r>
    </w:p>
    <w:p>
      <w:pPr>
        <w:spacing w:line="240" w:lineRule="auto" w:before="7"/>
        <w:rPr>
          <w:rFonts w:ascii="宋体" w:hAnsi="宋体" w:cs="宋体" w:eastAsia="宋体" w:hint="default"/>
          <w:sz w:val="23"/>
          <w:szCs w:val="23"/>
        </w:rPr>
      </w:pPr>
    </w:p>
    <w:p>
      <w:pPr>
        <w:pStyle w:val="Heading5"/>
        <w:spacing w:line="240" w:lineRule="auto"/>
        <w:ind w:right="253"/>
        <w:jc w:val="left"/>
        <w:rPr>
          <w:b w:val="0"/>
          <w:bCs w:val="0"/>
        </w:rPr>
      </w:pPr>
      <w:r>
        <w:rPr>
          <w:rFonts w:ascii="Times New Roman" w:hAnsi="Times New Roman" w:cs="Times New Roman" w:eastAsia="Times New Roman" w:hint="default"/>
        </w:rPr>
        <w:t>12</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034"/>
        <w:jc w:val="left"/>
      </w:pPr>
      <w:r>
        <w:rPr/>
        <w:t>投资性房地产计量模式 成本法计量 折旧或摊销方法</w:t>
      </w:r>
    </w:p>
    <w:p>
      <w:pPr>
        <w:pStyle w:val="Heading6"/>
        <w:spacing w:line="240" w:lineRule="auto" w:before="8"/>
        <w:ind w:left="573"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1"/>
        </w:rPr>
        <w:t> </w:t>
      </w:r>
      <w:r>
        <w:rPr/>
        <w:t>投资性房地产包括已出租的土地使用权、持有并准备增值后转让的土地使用权和已出租的建筑物。</w:t>
      </w:r>
    </w:p>
    <w:p>
      <w:pPr>
        <w:pStyle w:val="Heading6"/>
        <w:spacing w:line="256" w:lineRule="auto" w:before="21"/>
        <w:ind w:right="253"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spacing w:val="-3"/>
        </w:rPr>
        <w:t>投资性房地产按照成本进行初始计量，采用成本模式进行后续计量，并采用与固定资产和无形资产</w:t>
      </w:r>
      <w:r>
        <w:rPr>
          <w:w w:val="100"/>
        </w:rPr>
        <w:t> </w:t>
      </w:r>
      <w:r>
        <w:rPr/>
        <w:t>相同的方法计提折旧或进行摊销。</w:t>
      </w:r>
    </w:p>
    <w:p>
      <w:pPr>
        <w:spacing w:line="240" w:lineRule="auto" w:before="8"/>
        <w:rPr>
          <w:rFonts w:ascii="宋体" w:hAnsi="宋体" w:cs="宋体" w:eastAsia="宋体" w:hint="default"/>
          <w:sz w:val="24"/>
          <w:szCs w:val="24"/>
        </w:rPr>
      </w:pPr>
    </w:p>
    <w:p>
      <w:pPr>
        <w:pStyle w:val="Heading5"/>
        <w:spacing w:line="240" w:lineRule="auto"/>
        <w:ind w:right="253"/>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5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06"/>
        <w:jc w:val="left"/>
      </w:pPr>
      <w:r>
        <w:rPr>
          <w:spacing w:val="-2"/>
        </w:rPr>
        <w:t>固定资产是指为生产商品、提供劳务、出租或经营管理而持有的，使用年限超过一个会计年度的有形资产。固定资产在同时</w:t>
      </w:r>
      <w:r>
        <w:rPr>
          <w:spacing w:val="-65"/>
        </w:rPr>
        <w:t> </w:t>
      </w:r>
      <w:r>
        <w:rPr>
          <w:spacing w:val="-65"/>
        </w:rPr>
      </w:r>
      <w:r>
        <w:rPr/>
        <w:t>满足经济利益很可能流入、成本能够可靠计量时予以确认。</w:t>
      </w:r>
    </w:p>
    <w:p>
      <w:pPr>
        <w:spacing w:line="240" w:lineRule="auto" w:before="6"/>
        <w:rPr>
          <w:rFonts w:ascii="宋体" w:hAnsi="宋体" w:cs="宋体" w:eastAsia="宋体" w:hint="default"/>
          <w:sz w:val="22"/>
          <w:szCs w:val="22"/>
        </w:rPr>
      </w:pPr>
    </w:p>
    <w:p>
      <w:pPr>
        <w:pStyle w:val="Heading5"/>
        <w:spacing w:line="240" w:lineRule="auto"/>
        <w:ind w:right="25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31.67-19.00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5"/>
        <w:spacing w:line="240" w:lineRule="auto" w:before="36"/>
        <w:ind w:right="25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53"/>
        <w:jc w:val="left"/>
      </w:pPr>
      <w:r>
        <w:rPr/>
        <w:t>不适用。</w:t>
      </w:r>
    </w:p>
    <w:p>
      <w:pPr>
        <w:spacing w:after="0" w:line="240" w:lineRule="auto"/>
        <w:jc w:val="left"/>
        <w:sectPr>
          <w:pgSz w:w="11910" w:h="16840"/>
          <w:pgMar w:header="877" w:footer="1186" w:top="1100" w:bottom="1380" w:left="980" w:right="920"/>
        </w:sectPr>
      </w:pPr>
    </w:p>
    <w:p>
      <w:pPr>
        <w:spacing w:line="240" w:lineRule="auto" w:before="12"/>
        <w:rPr>
          <w:rFonts w:ascii="宋体" w:hAnsi="宋体" w:cs="宋体" w:eastAsia="宋体" w:hint="default"/>
          <w:sz w:val="20"/>
          <w:szCs w:val="20"/>
        </w:rPr>
      </w:pPr>
    </w:p>
    <w:p>
      <w:pPr>
        <w:pStyle w:val="Heading5"/>
        <w:spacing w:line="240" w:lineRule="auto" w:before="36"/>
        <w:ind w:right="253"/>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74"/>
        <w:jc w:val="left"/>
      </w:pPr>
      <w:r>
        <w:rPr/>
        <w:t>公司是否需要遵守特殊行业的披露要求 否</w:t>
      </w:r>
    </w:p>
    <w:p>
      <w:pPr>
        <w:pStyle w:val="Heading6"/>
        <w:spacing w:line="256" w:lineRule="auto" w:before="8"/>
        <w:ind w:right="106"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spacing w:val="-3"/>
        </w:rPr>
        <w:t>在建工程同时满足经济利益很可能流入、成本能够可靠计量则予以确认。在建工程按建造该项资产</w:t>
      </w:r>
      <w:r>
        <w:rPr>
          <w:w w:val="100"/>
        </w:rPr>
        <w:t> </w:t>
      </w:r>
      <w:r>
        <w:rPr/>
        <w:t>达到预定可使用状态前所发生的实际成本计量。</w:t>
      </w:r>
    </w:p>
    <w:p>
      <w:pPr>
        <w:pStyle w:val="Heading6"/>
        <w:spacing w:line="264" w:lineRule="auto"/>
        <w:ind w:right="20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spacing w:val="-3"/>
        </w:rPr>
        <w:t>在建工程达到预定可使用状态时，按工程实际成本转入固定资产。已达到预定可使用状态但尚未办</w:t>
      </w:r>
      <w:r>
        <w:rPr>
          <w:w w:val="100"/>
        </w:rPr>
        <w:t> </w:t>
      </w:r>
      <w:r>
        <w:rPr>
          <w:spacing w:val="-2"/>
        </w:rPr>
        <w:t>理竣工决算的，先按估计价值转入固定资产，待办理竣工决算后再按实际成本调整原暂估价值，但不再调</w:t>
      </w:r>
      <w:r>
        <w:rPr>
          <w:spacing w:val="-43"/>
        </w:rPr>
        <w:t> </w:t>
      </w:r>
      <w:r>
        <w:rPr>
          <w:spacing w:val="-43"/>
        </w:rPr>
      </w:r>
      <w:r>
        <w:rPr/>
        <w:t>整原已计提的折旧。</w:t>
      </w:r>
    </w:p>
    <w:p>
      <w:pPr>
        <w:spacing w:line="240" w:lineRule="auto" w:before="2"/>
        <w:rPr>
          <w:rFonts w:ascii="宋体" w:hAnsi="宋体" w:cs="宋体" w:eastAsia="宋体" w:hint="default"/>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15</w:t>
      </w:r>
      <w:r>
        <w:rPr/>
        <w:t>、借款费用</w:t>
      </w:r>
      <w:r>
        <w:rPr>
          <w:b w:val="0"/>
          <w:bCs w:val="0"/>
        </w:rPr>
      </w:r>
    </w:p>
    <w:p>
      <w:pPr>
        <w:spacing w:line="240" w:lineRule="auto" w:before="8"/>
        <w:rPr>
          <w:rFonts w:ascii="宋体" w:hAnsi="宋体" w:cs="宋体" w:eastAsia="宋体" w:hint="default"/>
          <w:b/>
          <w:bCs/>
          <w:sz w:val="24"/>
          <w:szCs w:val="24"/>
        </w:rPr>
      </w:pPr>
    </w:p>
    <w:p>
      <w:pPr>
        <w:pStyle w:val="Heading6"/>
        <w:spacing w:line="256" w:lineRule="auto" w:before="0"/>
        <w:ind w:left="573" w:right="10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借款费用资本化的确认原则</w:t>
      </w:r>
      <w:r>
        <w:rPr>
          <w:w w:val="100"/>
        </w:rPr>
        <w:t> </w:t>
      </w:r>
      <w:r>
        <w:rPr>
          <w:spacing w:val="-2"/>
        </w:rPr>
        <w:t>公司发生的借款费用，可直接归属于符合资本化条件的资产的购建或者生产的，予以资本化，计入相</w:t>
      </w:r>
    </w:p>
    <w:p>
      <w:pPr>
        <w:pStyle w:val="Heading6"/>
        <w:spacing w:line="240" w:lineRule="auto"/>
        <w:ind w:right="0"/>
        <w:jc w:val="both"/>
      </w:pPr>
      <w:r>
        <w:rPr/>
        <w:t>关资产成本；其他借款费用，在发生时确认为费用，计入当期损益。</w:t>
      </w:r>
    </w:p>
    <w:p>
      <w:pPr>
        <w:pStyle w:val="Heading6"/>
        <w:spacing w:line="240" w:lineRule="auto" w:before="37"/>
        <w:ind w:left="573" w:right="2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借款费用资本化期间</w:t>
      </w:r>
    </w:p>
    <w:p>
      <w:pPr>
        <w:pStyle w:val="Heading6"/>
        <w:spacing w:line="256" w:lineRule="auto" w:before="21"/>
        <w:ind w:right="253" w:firstLine="420"/>
        <w:jc w:val="left"/>
      </w:pPr>
      <w:r>
        <w:rPr>
          <w:rFonts w:ascii="Times New Roman" w:hAnsi="Times New Roman" w:cs="Times New Roman" w:eastAsia="Times New Roman" w:hint="default"/>
        </w:rPr>
        <w:t>(1) </w:t>
      </w:r>
      <w:r>
        <w:rPr>
          <w:spacing w:val="-8"/>
        </w:rPr>
        <w:t>当借款费用同时满足下列条件时，开始资本化：</w:t>
      </w:r>
      <w:r>
        <w:rPr>
          <w:rFonts w:ascii="Times New Roman" w:hAnsi="Times New Roman" w:cs="Times New Roman" w:eastAsia="Times New Roman" w:hint="default"/>
          <w:spacing w:val="-8"/>
        </w:rPr>
        <w:t>1) </w:t>
      </w:r>
      <w:r>
        <w:rPr>
          <w:spacing w:val="-8"/>
        </w:rPr>
        <w:t>资产支出已经发生；</w:t>
      </w:r>
      <w:r>
        <w:rPr>
          <w:rFonts w:ascii="Times New Roman" w:hAnsi="Times New Roman" w:cs="Times New Roman" w:eastAsia="Times New Roman" w:hint="default"/>
          <w:spacing w:val="-8"/>
        </w:rPr>
        <w:t>2) </w:t>
      </w:r>
      <w:r>
        <w:rPr>
          <w:spacing w:val="-8"/>
        </w:rPr>
        <w:t>借款费用已经发生；</w:t>
      </w:r>
      <w:r>
        <w:rPr>
          <w:rFonts w:ascii="Times New Roman" w:hAnsi="Times New Roman" w:cs="Times New Roman" w:eastAsia="Times New Roman" w:hint="default"/>
          <w:spacing w:val="-8"/>
        </w:rPr>
        <w:t>3)</w:t>
      </w:r>
      <w:r>
        <w:rPr>
          <w:rFonts w:ascii="Times New Roman" w:hAnsi="Times New Roman" w:cs="Times New Roman" w:eastAsia="Times New Roman" w:hint="default"/>
          <w:spacing w:val="11"/>
        </w:rPr>
        <w:t> </w:t>
      </w:r>
      <w:r>
        <w:rPr/>
        <w:t>为</w:t>
      </w:r>
      <w:r>
        <w:rPr>
          <w:w w:val="100"/>
        </w:rPr>
        <w:t> </w:t>
      </w:r>
      <w:r>
        <w:rPr/>
        <w:t>使资产达到预定可使用或可销售状态所必要的购建或者生产活动已经开始。</w:t>
      </w:r>
    </w:p>
    <w:p>
      <w:pPr>
        <w:pStyle w:val="Heading6"/>
        <w:spacing w:line="264" w:lineRule="auto"/>
        <w:ind w:right="106"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w:t>
      </w:r>
      <w:r>
        <w:rPr>
          <w:w w:val="100"/>
        </w:rPr>
        <w:t> </w:t>
      </w:r>
      <w:r>
        <w:rPr>
          <w:spacing w:val="-2"/>
        </w:rPr>
        <w:t>暂停借款费用的资本化；中断期间发生的借款费用确认为当期费用，直至资产的购建或者生产活动重新开</w:t>
      </w:r>
      <w:r>
        <w:rPr>
          <w:spacing w:val="-43"/>
        </w:rPr>
        <w:t> </w:t>
      </w:r>
      <w:r>
        <w:rPr>
          <w:spacing w:val="-43"/>
        </w:rPr>
      </w:r>
      <w:r>
        <w:rPr/>
        <w:t>始。</w:t>
      </w:r>
    </w:p>
    <w:p>
      <w:pPr>
        <w:pStyle w:val="Heading6"/>
        <w:spacing w:line="240" w:lineRule="auto" w:before="16"/>
        <w:ind w:left="573"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10"/>
        </w:rPr>
        <w:t> </w:t>
      </w:r>
      <w:r>
        <w:rPr>
          <w:spacing w:val="-3"/>
        </w:rPr>
        <w:t>当所购建或者生产符合资本化条件的资产达到预定可使用或可销售状态时，借款费用停止资本化。</w:t>
      </w:r>
    </w:p>
    <w:p>
      <w:pPr>
        <w:pStyle w:val="Heading6"/>
        <w:spacing w:line="256" w:lineRule="auto" w:before="21"/>
        <w:ind w:left="573" w:right="10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借款费用资本化率以及资本化金额</w:t>
      </w:r>
      <w:r>
        <w:rPr>
          <w:w w:val="100"/>
        </w:rPr>
        <w:t> </w:t>
      </w:r>
      <w:r>
        <w:rPr>
          <w:spacing w:val="-2"/>
        </w:rPr>
        <w:t>为购建或者生产符合资本化条件的资产而借入专门借款的，以专门借款当期实际发生的利息费用（包</w:t>
      </w:r>
    </w:p>
    <w:p>
      <w:pPr>
        <w:pStyle w:val="Heading6"/>
        <w:spacing w:line="273" w:lineRule="auto"/>
        <w:ind w:right="206"/>
        <w:jc w:val="both"/>
      </w:pPr>
      <w:r>
        <w:rPr>
          <w:spacing w:val="-2"/>
        </w:rPr>
        <w:t>括按照实际利率法确定的折价或溢价的摊销），减去将尚未动用的借款资金存入银行取得的利息收入或进</w:t>
      </w:r>
      <w:r>
        <w:rPr>
          <w:spacing w:val="-43"/>
        </w:rPr>
        <w:t> </w:t>
      </w:r>
      <w:r>
        <w:rPr>
          <w:spacing w:val="-43"/>
        </w:rPr>
      </w:r>
      <w:r>
        <w:rPr>
          <w:spacing w:val="-2"/>
        </w:rPr>
        <w:t>行暂时性投资取得的投资收益后的金额，确定应予资本化的利息金额；为购建或者生产符合资本化条件的</w:t>
      </w:r>
      <w:r>
        <w:rPr>
          <w:spacing w:val="-42"/>
        </w:rPr>
        <w:t> </w:t>
      </w:r>
      <w:r>
        <w:rPr>
          <w:spacing w:val="-42"/>
        </w:rPr>
      </w:r>
      <w:r>
        <w:rPr>
          <w:spacing w:val="-2"/>
        </w:rPr>
        <w:t>资产占用了一般借款的，根据累计资产支出超过专门借款的资产支出加权平均数乘以占用一般借款的资本</w:t>
      </w:r>
      <w:r>
        <w:rPr>
          <w:spacing w:val="-42"/>
        </w:rPr>
        <w:t> </w:t>
      </w:r>
      <w:r>
        <w:rPr>
          <w:spacing w:val="-42"/>
        </w:rPr>
      </w:r>
      <w:r>
        <w:rPr/>
        <w:t>化率，计算确定一般借款应予资本化的利息金额。</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74"/>
        <w:jc w:val="left"/>
      </w:pPr>
      <w:r>
        <w:rPr/>
        <w:t>公司是否需要遵守特殊行业的披露要求 否</w:t>
      </w:r>
    </w:p>
    <w:p>
      <w:pPr>
        <w:pStyle w:val="Heading4"/>
        <w:spacing w:line="297" w:lineRule="exact"/>
        <w:ind w:right="253"/>
        <w:jc w:val="left"/>
        <w:rPr>
          <w:i w:val="0"/>
        </w:rPr>
      </w:pPr>
      <w:r>
        <w:rPr>
          <w:rFonts w:ascii="Times New Roman" w:hAnsi="Times New Roman" w:cs="Times New Roman" w:eastAsia="Times New Roman" w:hint="default"/>
          <w:i/>
          <w:w w:val="95"/>
          <w:sz w:val="21"/>
          <w:szCs w:val="21"/>
        </w:rPr>
        <w:t>1. </w:t>
      </w:r>
      <w:r>
        <w:rPr>
          <w:rFonts w:ascii="Times New Roman" w:hAnsi="Times New Roman" w:cs="Times New Roman" w:eastAsia="Times New Roman" w:hint="default"/>
          <w:i/>
          <w:spacing w:val="20"/>
          <w:w w:val="95"/>
          <w:sz w:val="21"/>
          <w:szCs w:val="21"/>
        </w:rPr>
        <w:t> </w:t>
      </w:r>
      <w:r>
        <w:rPr>
          <w:w w:val="95"/>
        </w:rPr>
        <w:t>无形资产包括土地使用权、专利权及非专利技术等，按成本进行初始计量。</w:t>
      </w:r>
      <w:r>
        <w:rPr>
          <w:i w:val="0"/>
        </w:rPr>
      </w:r>
    </w:p>
    <w:p>
      <w:pPr>
        <w:pStyle w:val="Heading6"/>
        <w:spacing w:line="266" w:lineRule="auto" w:before="21"/>
        <w:ind w:right="20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spacing w:val="-3"/>
        </w:rPr>
        <w:t>使用寿命有限的无形资产，在使用寿命内按照与该项无形资产有关的经济利益的预期实现方式系统</w:t>
      </w:r>
      <w:r>
        <w:rPr>
          <w:w w:val="100"/>
        </w:rPr>
        <w:t> </w:t>
      </w:r>
      <w:r>
        <w:rPr>
          <w:spacing w:val="-2"/>
        </w:rPr>
        <w:t>合理地摊销，无法可靠确定预期实现方式的，采用直线法摊销。公司无形资产中的智慧云医疗系统，以使</w:t>
      </w:r>
      <w:r>
        <w:rPr>
          <w:spacing w:val="-50"/>
        </w:rPr>
        <w:t> </w:t>
      </w:r>
      <w:r>
        <w:rPr>
          <w:spacing w:val="-50"/>
        </w:rPr>
      </w:r>
      <w:r>
        <w:rPr>
          <w:spacing w:val="-2"/>
        </w:rPr>
        <w:t>用该无形资产产生的居民健康卡发卡收入占预计总发卡收入的比例进行摊销；其他无形资产，采用直线法</w:t>
      </w:r>
      <w:r>
        <w:rPr>
          <w:spacing w:val="-43"/>
        </w:rPr>
        <w:t> </w:t>
      </w:r>
      <w:r>
        <w:rPr>
          <w:spacing w:val="-43"/>
        </w:rPr>
      </w:r>
      <w:r>
        <w:rPr/>
        <w:t>摊销，具体年限如下：</w:t>
      </w:r>
    </w:p>
    <w:p>
      <w:pPr>
        <w:spacing w:line="240" w:lineRule="auto" w:before="0"/>
        <w:rPr>
          <w:rFonts w:ascii="宋体" w:hAnsi="宋体" w:cs="宋体" w:eastAsia="宋体" w:hint="default"/>
          <w:sz w:val="2"/>
          <w:szCs w:val="2"/>
        </w:rPr>
      </w:pPr>
    </w:p>
    <w:tbl>
      <w:tblPr>
        <w:tblW w:w="0" w:type="auto"/>
        <w:jc w:val="left"/>
        <w:tblInd w:w="614" w:type="dxa"/>
        <w:tblLayout w:type="fixed"/>
        <w:tblCellMar>
          <w:top w:w="0" w:type="dxa"/>
          <w:left w:w="0" w:type="dxa"/>
          <w:bottom w:w="0" w:type="dxa"/>
          <w:right w:w="0" w:type="dxa"/>
        </w:tblCellMar>
        <w:tblLook w:val="01E0"/>
      </w:tblPr>
      <w:tblGrid>
        <w:gridCol w:w="2160"/>
        <w:gridCol w:w="2160"/>
      </w:tblGrid>
      <w:tr>
        <w:trPr>
          <w:trHeight w:val="346"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4"/>
                <w:sz w:val="21"/>
                <w:szCs w:val="21"/>
              </w:rPr>
              <w:t> </w:t>
            </w:r>
            <w:r>
              <w:rPr>
                <w:rFonts w:ascii="宋体" w:hAnsi="宋体" w:cs="宋体" w:eastAsia="宋体" w:hint="default"/>
                <w:sz w:val="21"/>
                <w:szCs w:val="21"/>
              </w:rPr>
              <w:t>目</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88"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4"/>
              <w:jc w:val="center"/>
              <w:rPr>
                <w:rFonts w:ascii="Times New Roman" w:hAnsi="Times New Roman" w:cs="Times New Roman" w:eastAsia="Times New Roman" w:hint="default"/>
                <w:sz w:val="21"/>
                <w:szCs w:val="21"/>
              </w:rPr>
            </w:pPr>
            <w:r>
              <w:rPr>
                <w:rFonts w:ascii="Times New Roman"/>
                <w:sz w:val="21"/>
              </w:rPr>
              <w:t>3-5</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50</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1186" w:top="1100" w:bottom="1380" w:left="980" w:right="920"/>
        </w:sectPr>
      </w:pPr>
    </w:p>
    <w:p>
      <w:pPr>
        <w:spacing w:line="240" w:lineRule="auto" w:before="12"/>
        <w:rPr>
          <w:rFonts w:ascii="宋体" w:hAnsi="宋体" w:cs="宋体" w:eastAsia="宋体" w:hint="default"/>
          <w:sz w:val="20"/>
          <w:szCs w:val="20"/>
        </w:rPr>
      </w:pPr>
    </w:p>
    <w:p>
      <w:pPr>
        <w:pStyle w:val="Heading5"/>
        <w:spacing w:line="240" w:lineRule="auto" w:before="36"/>
        <w:ind w:right="25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宋体" w:hAnsi="宋体" w:cs="宋体" w:eastAsia="宋体" w:hint="default"/>
          <w:b/>
          <w:bCs/>
          <w:sz w:val="24"/>
          <w:szCs w:val="24"/>
        </w:rPr>
      </w:pPr>
    </w:p>
    <w:p>
      <w:pPr>
        <w:pStyle w:val="Heading6"/>
        <w:spacing w:line="261" w:lineRule="auto" w:before="0"/>
        <w:ind w:right="206" w:firstLine="420"/>
        <w:jc w:val="both"/>
      </w:pPr>
      <w:r>
        <w:rPr>
          <w:spacing w:val="-2"/>
        </w:rPr>
        <w:t>内部研究开发项目研究阶段的支出，于发生时计入当期损益。内部研究开发项目开发阶段的支出，同</w:t>
      </w:r>
      <w:r>
        <w:rPr>
          <w:w w:val="100"/>
        </w:rPr>
        <w:t> </w:t>
      </w:r>
      <w:r>
        <w:rPr/>
        <w:t>时满足下列条件的，确认为无形资产：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完成该无形资产以使其能够使用或出售在技术上具有可行性；</w:t>
      </w:r>
      <w:r>
        <w:rPr>
          <w:spacing w:val="-96"/>
        </w:rPr>
        <w:t> </w:t>
      </w:r>
      <w:r>
        <w:rPr>
          <w:spacing w:val="-96"/>
        </w:rPr>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spacing w:val="-3"/>
        </w:rPr>
        <w:t>具有完成该无形资产并使用或出售的意图；</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15"/>
        </w:rPr>
        <w:t> </w:t>
      </w:r>
      <w:r>
        <w:rPr>
          <w:spacing w:val="-3"/>
        </w:rPr>
        <w:t>无形资产产生经济利益的方式，包括能够证明运用该无</w:t>
      </w:r>
      <w:r>
        <w:rPr>
          <w:spacing w:val="-95"/>
        </w:rPr>
        <w:t> </w:t>
      </w:r>
      <w:r>
        <w:rPr>
          <w:spacing w:val="-95"/>
        </w:rPr>
      </w:r>
      <w:r>
        <w:rPr>
          <w:spacing w:val="-5"/>
        </w:rPr>
        <w:t>形资产生产的产品存在市场或无形资产自身存在市场，无形资产将在内部使用的，能证明其有用性；</w:t>
      </w:r>
      <w:r>
        <w:rPr>
          <w:rFonts w:ascii="Times New Roman" w:hAnsi="Times New Roman" w:cs="Times New Roman" w:eastAsia="Times New Roman" w:hint="default"/>
          <w:spacing w:val="-5"/>
        </w:rPr>
        <w:t>(4) </w:t>
      </w:r>
      <w:r>
        <w:rPr/>
        <w:t>有</w:t>
      </w:r>
      <w:r>
        <w:rPr>
          <w:spacing w:val="-79"/>
        </w:rPr>
        <w:t> </w:t>
      </w:r>
      <w:r>
        <w:rPr>
          <w:spacing w:val="-3"/>
        </w:rPr>
        <w:t>足够的技术、财务资源和其他资源支持，以完成该无形资产的开发，并有能力使用或出售该无形资产；</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归属于该无形资产开发阶段的支出能够可靠地计量。</w:t>
      </w:r>
    </w:p>
    <w:p>
      <w:pPr>
        <w:pStyle w:val="Heading6"/>
        <w:spacing w:line="273" w:lineRule="auto" w:before="18"/>
        <w:ind w:right="206" w:firstLine="420"/>
        <w:jc w:val="both"/>
      </w:pPr>
      <w:r>
        <w:rPr>
          <w:spacing w:val="-2"/>
        </w:rPr>
        <w:t>公司划分内部研究开发项目研究阶段支出和开发阶段支出的具体标准：公司在开展景德镇区域医疗云</w:t>
      </w:r>
      <w:r>
        <w:rPr>
          <w:w w:val="100"/>
        </w:rPr>
        <w:t> </w:t>
      </w:r>
      <w:r>
        <w:rPr>
          <w:spacing w:val="-2"/>
        </w:rPr>
        <w:t>平台、赣州市居民健康卡项目研究开发活动时，相关研发活动在完成项目调研、签订项目合同后开始资本</w:t>
      </w:r>
      <w:r>
        <w:rPr>
          <w:spacing w:val="-44"/>
        </w:rPr>
        <w:t> </w:t>
      </w:r>
      <w:r>
        <w:rPr>
          <w:spacing w:val="-44"/>
        </w:rPr>
      </w:r>
      <w:r>
        <w:rPr/>
        <w:t>化，在完成开发、取得项目收入时停止资本化，并转入无形资产。</w:t>
      </w:r>
    </w:p>
    <w:p>
      <w:pPr>
        <w:pStyle w:val="Heading6"/>
        <w:spacing w:line="590" w:lineRule="atLeast" w:before="9"/>
        <w:ind w:left="573" w:right="106" w:hanging="421"/>
        <w:jc w:val="left"/>
      </w:pPr>
      <w:r>
        <w:rPr>
          <w:rFonts w:ascii="Times New Roman" w:hAnsi="Times New Roman" w:cs="Times New Roman" w:eastAsia="Times New Roman" w:hint="default"/>
          <w:b/>
          <w:bCs/>
        </w:rPr>
        <w:t>17</w:t>
      </w:r>
      <w:r>
        <w:rPr>
          <w:rFonts w:ascii="宋体" w:hAnsi="宋体" w:cs="宋体" w:eastAsia="宋体" w:hint="default"/>
          <w:b/>
          <w:bCs/>
        </w:rPr>
        <w:t>、长期资产减值</w:t>
      </w:r>
      <w:r>
        <w:rPr>
          <w:rFonts w:ascii="宋体" w:hAnsi="宋体" w:cs="宋体" w:eastAsia="宋体" w:hint="default"/>
          <w:b/>
          <w:bCs/>
          <w:w w:val="100"/>
        </w:rPr>
        <w:t> </w:t>
      </w:r>
      <w:r>
        <w:rPr>
          <w:spacing w:val="-2"/>
        </w:rPr>
        <w:t>对长期股权投资、采用成本模式计量的投资性房地产、固定资产、在建工程、采用成本模式计量的生</w:t>
      </w:r>
    </w:p>
    <w:p>
      <w:pPr>
        <w:pStyle w:val="Heading6"/>
        <w:spacing w:line="264" w:lineRule="auto" w:before="37"/>
        <w:ind w:right="103"/>
        <w:jc w:val="both"/>
      </w:pPr>
      <w:r>
        <w:rPr>
          <w:spacing w:val="-1"/>
        </w:rPr>
        <w:t>产性生物资产、油气资产、使用寿命有限的无形资产等长期资产</w:t>
      </w:r>
      <w:r>
        <w:rPr>
          <w:rFonts w:ascii="Times New Roman" w:hAnsi="Times New Roman" w:cs="Times New Roman" w:eastAsia="Times New Roman" w:hint="default"/>
          <w:spacing w:val="-1"/>
        </w:rPr>
        <w:t>,</w:t>
      </w:r>
      <w:r>
        <w:rPr>
          <w:spacing w:val="-1"/>
        </w:rPr>
        <w:t>在资产负债表日有迹象表明发生减值的，</w:t>
      </w:r>
      <w:r>
        <w:rPr>
          <w:spacing w:val="-29"/>
        </w:rPr>
        <w:t> </w:t>
      </w:r>
      <w:r>
        <w:rPr>
          <w:spacing w:val="-29"/>
        </w:rPr>
      </w:r>
      <w:r>
        <w:rPr/>
        <w:t>估计其可收回金额。对因企业合并所形成的商誉和使用寿命不确定的无形资产，无论是否存在减值迹象，</w:t>
      </w:r>
      <w:r>
        <w:rPr>
          <w:spacing w:val="-24"/>
        </w:rPr>
        <w:t> </w:t>
      </w:r>
      <w:r>
        <w:rPr>
          <w:spacing w:val="-24"/>
        </w:rPr>
      </w:r>
      <w:r>
        <w:rPr/>
        <w:t>每年都进行减值测试。商誉结合与其相关的资产组或者资产组组合进行减值测试。</w:t>
      </w:r>
    </w:p>
    <w:p>
      <w:pPr>
        <w:pStyle w:val="Heading6"/>
        <w:spacing w:line="240" w:lineRule="auto" w:before="16"/>
        <w:ind w:left="573" w:right="253"/>
        <w:jc w:val="left"/>
      </w:pPr>
      <w:r>
        <w:rPr/>
        <w:t>若上述长期资产的可收回金额低于其账面价值的，按其差额确认资产减值准备并计入当期损益。</w:t>
      </w:r>
    </w:p>
    <w:p>
      <w:pPr>
        <w:pStyle w:val="Heading6"/>
        <w:spacing w:line="610" w:lineRule="atLeast" w:before="18"/>
        <w:ind w:left="573" w:right="106" w:hanging="421"/>
        <w:jc w:val="left"/>
      </w:pPr>
      <w:r>
        <w:rPr>
          <w:rFonts w:ascii="Times New Roman" w:hAnsi="Times New Roman" w:cs="Times New Roman" w:eastAsia="Times New Roman" w:hint="default"/>
          <w:b/>
          <w:bCs/>
        </w:rPr>
        <w:t>18</w:t>
      </w:r>
      <w:r>
        <w:rPr>
          <w:rFonts w:ascii="宋体" w:hAnsi="宋体" w:cs="宋体" w:eastAsia="宋体" w:hint="default"/>
          <w:b/>
          <w:bCs/>
        </w:rPr>
        <w:t>、长期待摊费用</w:t>
      </w:r>
      <w:r>
        <w:rPr>
          <w:rFonts w:ascii="宋体" w:hAnsi="宋体" w:cs="宋体" w:eastAsia="宋体" w:hint="default"/>
          <w:b/>
          <w:bCs/>
          <w:w w:val="100"/>
        </w:rPr>
        <w:t> </w:t>
      </w:r>
      <w:r>
        <w:rPr>
          <w:spacing w:val="-2"/>
        </w:rPr>
        <w:t>长期待摊费用核算已经支出，摊销期限在</w:t>
      </w:r>
      <w:r>
        <w:rPr>
          <w:rFonts w:ascii="Times New Roman" w:hAnsi="Times New Roman" w:cs="Times New Roman" w:eastAsia="Times New Roman" w:hint="default"/>
          <w:spacing w:val="-2"/>
        </w:rPr>
        <w:t>1</w:t>
      </w:r>
      <w:r>
        <w:rPr>
          <w:spacing w:val="-2"/>
        </w:rPr>
        <w:t>年以上（不含</w:t>
      </w:r>
      <w:r>
        <w:rPr>
          <w:rFonts w:ascii="Times New Roman" w:hAnsi="Times New Roman" w:cs="Times New Roman" w:eastAsia="Times New Roman" w:hint="default"/>
          <w:spacing w:val="-2"/>
        </w:rPr>
        <w:t>1</w:t>
      </w:r>
      <w:r>
        <w:rPr>
          <w:spacing w:val="-2"/>
        </w:rPr>
        <w:t>年）的各项费用。长期待摊费用按实际发生</w:t>
      </w:r>
    </w:p>
    <w:p>
      <w:pPr>
        <w:pStyle w:val="Heading6"/>
        <w:spacing w:line="273" w:lineRule="auto" w:before="21"/>
        <w:ind w:right="106"/>
        <w:jc w:val="left"/>
      </w:pPr>
      <w:r>
        <w:rPr>
          <w:spacing w:val="-2"/>
        </w:rPr>
        <w:t>额入账，在受益期或规定的期限内分期平均摊销。如果长期待摊的费用项目不能使以后会计期间受益则将</w:t>
      </w:r>
      <w:r>
        <w:rPr>
          <w:spacing w:val="-43"/>
        </w:rPr>
        <w:t> </w:t>
      </w:r>
      <w:r>
        <w:rPr>
          <w:spacing w:val="-43"/>
        </w:rPr>
      </w:r>
      <w:r>
        <w:rPr/>
        <w:t>尚未摊销的该项目的摊余价值全部转入当期损益。</w:t>
      </w:r>
    </w:p>
    <w:p>
      <w:pPr>
        <w:spacing w:line="240" w:lineRule="auto" w:before="7"/>
        <w:rPr>
          <w:rFonts w:ascii="宋体" w:hAnsi="宋体" w:cs="宋体" w:eastAsia="宋体" w:hint="default"/>
          <w:sz w:val="23"/>
          <w:szCs w:val="23"/>
        </w:rPr>
      </w:pPr>
    </w:p>
    <w:p>
      <w:pPr>
        <w:pStyle w:val="Heading5"/>
        <w:spacing w:line="240" w:lineRule="auto"/>
        <w:ind w:right="253"/>
        <w:jc w:val="left"/>
        <w:rPr>
          <w:b w:val="0"/>
          <w:bCs w:val="0"/>
        </w:rPr>
      </w:pPr>
      <w:r>
        <w:rPr>
          <w:rFonts w:ascii="Times New Roman" w:hAnsi="Times New Roman" w:cs="Times New Roman" w:eastAsia="Times New Roman" w:hint="default"/>
        </w:rPr>
        <w:t>19</w:t>
      </w:r>
      <w:r>
        <w:rPr/>
        <w:t>、职工薪酬</w:t>
      </w:r>
      <w:r>
        <w:rPr>
          <w:b w:val="0"/>
          <w:bCs w:val="0"/>
        </w:rPr>
      </w:r>
    </w:p>
    <w:p>
      <w:pPr>
        <w:spacing w:line="600" w:lineRule="atLeast" w:before="12"/>
        <w:ind w:left="573" w:right="10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在职工为公司提供服务的会计期间，将实际发生的短期薪酬确认为负债，并计入当期损益或相关资产</w:t>
      </w:r>
    </w:p>
    <w:p>
      <w:pPr>
        <w:pStyle w:val="Heading6"/>
        <w:spacing w:line="240" w:lineRule="auto" w:before="37"/>
        <w:ind w:right="253"/>
        <w:jc w:val="left"/>
      </w:pPr>
      <w:r>
        <w:rPr/>
        <w:t>成本。</w:t>
      </w:r>
    </w:p>
    <w:p>
      <w:pPr>
        <w:spacing w:line="590" w:lineRule="atLeast" w:before="38"/>
        <w:ind w:left="573" w:right="430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离职后福利分为设定提存计划和设定受益计划。</w:t>
      </w:r>
    </w:p>
    <w:p>
      <w:pPr>
        <w:pStyle w:val="Heading6"/>
        <w:spacing w:line="256" w:lineRule="auto" w:before="37"/>
        <w:ind w:right="21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在职工为公司提供服务的会计期间，根据设定提存计划计算的应缴存金额确认为负债，并计入当</w:t>
      </w:r>
      <w:r>
        <w:rPr>
          <w:w w:val="100"/>
        </w:rPr>
        <w:t> </w:t>
      </w:r>
      <w:r>
        <w:rPr/>
        <w:t>期损益或相关资产成本。</w:t>
      </w:r>
    </w:p>
    <w:p>
      <w:pPr>
        <w:pStyle w:val="Heading6"/>
        <w:spacing w:line="240" w:lineRule="auto"/>
        <w:ind w:left="573" w:right="2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对设定受益计划的会计处理通常包括下列步骤：</w:t>
      </w:r>
    </w:p>
    <w:p>
      <w:pPr>
        <w:pStyle w:val="Heading6"/>
        <w:spacing w:line="264" w:lineRule="auto" w:before="21"/>
        <w:ind w:right="208"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spacing w:val="-4"/>
        </w:rPr>
        <w:t>根据预期累计福利单位法，采用无偏且相互一致的精算假设对有关人口统计变量和财务变量等作出</w:t>
      </w:r>
      <w:r>
        <w:rPr>
          <w:w w:val="100"/>
        </w:rPr>
        <w:t> </w:t>
      </w:r>
      <w:r>
        <w:rPr>
          <w:spacing w:val="-2"/>
        </w:rPr>
        <w:t>估计，计量设定受益计划所产生的义务，并确定相关义务的所属期间。同时，对设定受益计划所产生的义</w:t>
      </w:r>
      <w:r>
        <w:rPr>
          <w:spacing w:val="-50"/>
        </w:rPr>
        <w:t> </w:t>
      </w:r>
      <w:r>
        <w:rPr>
          <w:spacing w:val="-50"/>
        </w:rPr>
      </w:r>
      <w:r>
        <w:rPr/>
        <w:t>务予以折现，以确定设定受益计划义务的现值和当期服务成本；</w:t>
      </w:r>
    </w:p>
    <w:p>
      <w:pPr>
        <w:pStyle w:val="Heading6"/>
        <w:spacing w:line="264" w:lineRule="auto" w:before="16"/>
        <w:ind w:right="20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spacing w:val="-4"/>
        </w:rPr>
        <w:t>设定受益计划存在资产的，将设定受益计划义务现值减去设定受益计划资产公允价值所形成的赤字</w:t>
      </w:r>
      <w:r>
        <w:rPr>
          <w:w w:val="100"/>
        </w:rPr>
        <w:t> </w:t>
      </w:r>
      <w:r>
        <w:rPr>
          <w:spacing w:val="-2"/>
        </w:rPr>
        <w:t>或盈余确认为一项设定受益计划净负债或净资产。设定受益计划存在盈余的，以设定受益计划的盈余和资</w:t>
      </w:r>
      <w:r>
        <w:rPr>
          <w:spacing w:val="-43"/>
        </w:rPr>
        <w:t> </w:t>
      </w:r>
      <w:r>
        <w:rPr>
          <w:spacing w:val="-43"/>
        </w:rPr>
      </w:r>
      <w:r>
        <w:rPr/>
        <w:t>产上限两项的孰低者计量设定受益计划净资产；</w:t>
      </w:r>
    </w:p>
    <w:p>
      <w:pPr>
        <w:spacing w:after="0" w:line="264" w:lineRule="auto"/>
        <w:jc w:val="both"/>
        <w:sectPr>
          <w:pgSz w:w="11910" w:h="16840"/>
          <w:pgMar w:header="877" w:footer="1186" w:top="1100" w:bottom="1380" w:left="980" w:right="920"/>
        </w:sectPr>
      </w:pPr>
    </w:p>
    <w:p>
      <w:pPr>
        <w:spacing w:line="240" w:lineRule="auto" w:before="12"/>
        <w:rPr>
          <w:rFonts w:ascii="宋体" w:hAnsi="宋体" w:cs="宋体" w:eastAsia="宋体" w:hint="default"/>
          <w:sz w:val="20"/>
          <w:szCs w:val="20"/>
        </w:rPr>
      </w:pPr>
    </w:p>
    <w:p>
      <w:pPr>
        <w:pStyle w:val="Heading6"/>
        <w:spacing w:line="268" w:lineRule="auto" w:before="36"/>
        <w:ind w:right="206"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spacing w:val="-3"/>
        </w:rPr>
        <w:t>期末，将设定受益计划产生的职工薪酬成本确认为服务成本、设定受益计划净负债或净资产的利息</w:t>
      </w:r>
      <w:r>
        <w:rPr>
          <w:w w:val="100"/>
        </w:rPr>
        <w:t> </w:t>
      </w:r>
      <w:r>
        <w:rPr>
          <w:spacing w:val="-2"/>
        </w:rPr>
        <w:t>净额以及重新计量设定受益计划净负债或净资产所产生的变动等三部分，其中服务成本和设定受益计划净</w:t>
      </w:r>
      <w:r>
        <w:rPr>
          <w:spacing w:val="-43"/>
        </w:rPr>
        <w:t> </w:t>
      </w:r>
      <w:r>
        <w:rPr>
          <w:spacing w:val="-43"/>
        </w:rPr>
      </w:r>
      <w:r>
        <w:rPr>
          <w:spacing w:val="-2"/>
        </w:rPr>
        <w:t>负债或净资产的利息净额计入当期损益或相关资产成本，重新计量设定受益计划净负债或净资产所产生的</w:t>
      </w:r>
      <w:r>
        <w:rPr>
          <w:spacing w:val="-43"/>
        </w:rPr>
        <w:t> </w:t>
      </w:r>
      <w:r>
        <w:rPr>
          <w:spacing w:val="-43"/>
        </w:rPr>
      </w:r>
      <w:r>
        <w:rPr>
          <w:spacing w:val="-2"/>
        </w:rPr>
        <w:t>变动计入其他综合收益，并且在后续会计期间不允许转回至损益，但可以在权益范围内转移这些在其他综</w:t>
      </w:r>
      <w:r>
        <w:rPr>
          <w:spacing w:val="-42"/>
        </w:rPr>
        <w:t> </w:t>
      </w:r>
      <w:r>
        <w:rPr>
          <w:spacing w:val="-42"/>
        </w:rPr>
      </w:r>
      <w:r>
        <w:rPr/>
        <w:t>合收益确认的金额。</w:t>
      </w:r>
    </w:p>
    <w:p>
      <w:pPr>
        <w:spacing w:line="614" w:lineRule="exact" w:before="66"/>
        <w:ind w:left="573" w:right="253" w:hanging="421"/>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3"/>
          <w:sz w:val="21"/>
          <w:szCs w:val="21"/>
        </w:rPr>
        <w:t>向职工提供的辞退福利，在下列两者孰早日确认辞退福利产生的职工薪酬负债，并计入当期损益：</w:t>
      </w:r>
      <w:r>
        <w:rPr>
          <w:rFonts w:ascii="Times New Roman" w:hAnsi="Times New Roman" w:cs="Times New Roman" w:eastAsia="Times New Roman" w:hint="default"/>
          <w:spacing w:val="-3"/>
          <w:sz w:val="21"/>
          <w:szCs w:val="21"/>
        </w:rPr>
        <w:t>(1)</w:t>
      </w:r>
    </w:p>
    <w:p>
      <w:pPr>
        <w:pStyle w:val="Heading6"/>
        <w:spacing w:line="235" w:lineRule="exact" w:before="0"/>
        <w:ind w:right="106"/>
        <w:jc w:val="left"/>
      </w:pPr>
      <w:r>
        <w:rPr/>
        <w:t>公司不能单方面撤回因解除劳动关系计划或裁减建议所提供的辞退福利时；</w:t>
      </w:r>
      <w:r>
        <w:rPr>
          <w:rFonts w:ascii="Times New Roman" w:hAnsi="Times New Roman" w:cs="Times New Roman" w:eastAsia="Times New Roman" w:hint="default"/>
        </w:rPr>
        <w:t>(2) </w:t>
      </w:r>
      <w:r>
        <w:rPr>
          <w:rFonts w:ascii="Times New Roman" w:hAnsi="Times New Roman" w:cs="Times New Roman" w:eastAsia="Times New Roman" w:hint="default"/>
          <w:spacing w:val="49"/>
        </w:rPr>
        <w:t> </w:t>
      </w:r>
      <w:r>
        <w:rPr/>
        <w:t>公司确认与涉及支付辞退</w:t>
      </w:r>
    </w:p>
    <w:p>
      <w:pPr>
        <w:pStyle w:val="Heading6"/>
        <w:spacing w:line="240" w:lineRule="auto" w:before="21"/>
        <w:ind w:right="253"/>
        <w:jc w:val="left"/>
      </w:pPr>
      <w:r>
        <w:rPr/>
        <w:t>福利的重组相关的成本或费用时。</w:t>
      </w:r>
    </w:p>
    <w:p>
      <w:pPr>
        <w:spacing w:line="590" w:lineRule="atLeast" w:before="38"/>
        <w:ind w:left="573" w:right="10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5"/>
          <w:sz w:val="21"/>
          <w:szCs w:val="21"/>
        </w:rPr>
        <w:t>向职工提供的其他长期福利，符合设定提存计划条件的，按照设定提存计划的有关规定进行会计处理；</w:t>
      </w:r>
    </w:p>
    <w:p>
      <w:pPr>
        <w:pStyle w:val="Heading6"/>
        <w:spacing w:line="273" w:lineRule="auto" w:before="37"/>
        <w:ind w:right="206"/>
        <w:jc w:val="both"/>
      </w:pPr>
      <w:r>
        <w:rPr>
          <w:spacing w:val="-2"/>
        </w:rPr>
        <w:t>除此之外的其他长期福利，按照设定受益计划的有关规定进行会计处理，为简化相关会计处理，将其产生</w:t>
      </w:r>
      <w:r>
        <w:rPr>
          <w:spacing w:val="-44"/>
        </w:rPr>
        <w:t> </w:t>
      </w:r>
      <w:r>
        <w:rPr>
          <w:spacing w:val="-44"/>
        </w:rPr>
      </w:r>
      <w:r>
        <w:rPr>
          <w:spacing w:val="-2"/>
        </w:rPr>
        <w:t>的职工薪酬成本确认为服务成本、其他长期职工福利净负债或净资产的利息净额以及重新计量其他长期职</w:t>
      </w:r>
      <w:r>
        <w:rPr>
          <w:spacing w:val="-43"/>
        </w:rPr>
        <w:t> </w:t>
      </w:r>
      <w:r>
        <w:rPr>
          <w:spacing w:val="-43"/>
        </w:rPr>
      </w:r>
      <w:r>
        <w:rPr/>
        <w:t>工福利净负债或净资产所产生的变动等组成项目的总净额计入当期损益或相关资产成本。</w:t>
      </w:r>
    </w:p>
    <w:p>
      <w:pPr>
        <w:spacing w:line="240" w:lineRule="auto" w:before="7"/>
        <w:rPr>
          <w:rFonts w:ascii="宋体" w:hAnsi="宋体" w:cs="宋体" w:eastAsia="宋体" w:hint="default"/>
          <w:sz w:val="23"/>
          <w:szCs w:val="23"/>
        </w:rPr>
      </w:pPr>
    </w:p>
    <w:p>
      <w:pPr>
        <w:pStyle w:val="Heading5"/>
        <w:spacing w:line="240" w:lineRule="auto"/>
        <w:ind w:right="253"/>
        <w:jc w:val="left"/>
        <w:rPr>
          <w:b w:val="0"/>
          <w:bCs w:val="0"/>
        </w:rPr>
      </w:pPr>
      <w:r>
        <w:rPr>
          <w:rFonts w:ascii="Times New Roman" w:hAnsi="Times New Roman" w:cs="Times New Roman" w:eastAsia="Times New Roman" w:hint="default"/>
        </w:rPr>
        <w:t>20</w:t>
      </w:r>
      <w:r>
        <w:rPr/>
        <w:t>、预计负债</w:t>
      </w:r>
      <w:r>
        <w:rPr>
          <w:b w:val="0"/>
          <w:bCs w:val="0"/>
        </w:rPr>
      </w:r>
    </w:p>
    <w:p>
      <w:pPr>
        <w:spacing w:line="240" w:lineRule="auto" w:before="10"/>
        <w:rPr>
          <w:rFonts w:ascii="宋体" w:hAnsi="宋体" w:cs="宋体" w:eastAsia="宋体" w:hint="default"/>
          <w:b/>
          <w:bCs/>
          <w:sz w:val="24"/>
          <w:szCs w:val="24"/>
        </w:rPr>
      </w:pPr>
    </w:p>
    <w:p>
      <w:pPr>
        <w:pStyle w:val="Heading6"/>
        <w:spacing w:line="264" w:lineRule="auto" w:before="0"/>
        <w:ind w:right="20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spacing w:val="-3"/>
        </w:rPr>
        <w:t>因对外提供担保、诉讼事项、产品质量保证、亏损合同等或有事项形成的义务成为公司承担的现时</w:t>
      </w:r>
      <w:r>
        <w:rPr>
          <w:w w:val="100"/>
        </w:rPr>
        <w:t> </w:t>
      </w:r>
      <w:r>
        <w:rPr>
          <w:spacing w:val="-2"/>
        </w:rPr>
        <w:t>义务，履行该义务很可能导致经济利益流出公司，且该义务的金额能够可靠的计量时，公司将该项义务确</w:t>
      </w:r>
      <w:r>
        <w:rPr>
          <w:spacing w:val="-43"/>
        </w:rPr>
        <w:t> </w:t>
      </w:r>
      <w:r>
        <w:rPr>
          <w:spacing w:val="-43"/>
        </w:rPr>
      </w:r>
      <w:r>
        <w:rPr/>
        <w:t>认为预计负债。</w:t>
      </w:r>
    </w:p>
    <w:p>
      <w:pPr>
        <w:pStyle w:val="Heading6"/>
        <w:spacing w:line="256" w:lineRule="auto" w:before="16"/>
        <w:ind w:right="20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spacing w:val="-3"/>
        </w:rPr>
        <w:t>公司按照履行相关现时义务所需支出的最佳估计数对预计负债进行初始计量，并在资产负债表日对</w:t>
      </w:r>
      <w:r>
        <w:rPr>
          <w:w w:val="100"/>
        </w:rPr>
        <w:t> </w:t>
      </w:r>
      <w:r>
        <w:rPr/>
        <w:t>预计负债的账面价值进行复核。</w:t>
      </w:r>
    </w:p>
    <w:p>
      <w:pPr>
        <w:spacing w:line="240" w:lineRule="auto" w:before="8"/>
        <w:rPr>
          <w:rFonts w:ascii="宋体" w:hAnsi="宋体" w:cs="宋体" w:eastAsia="宋体" w:hint="default"/>
          <w:sz w:val="24"/>
          <w:szCs w:val="24"/>
        </w:rPr>
      </w:pPr>
    </w:p>
    <w:p>
      <w:pPr>
        <w:pStyle w:val="Heading5"/>
        <w:spacing w:line="240" w:lineRule="auto"/>
        <w:ind w:right="253"/>
        <w:jc w:val="left"/>
        <w:rPr>
          <w:b w:val="0"/>
          <w:bCs w:val="0"/>
        </w:rPr>
      </w:pPr>
      <w:r>
        <w:rPr>
          <w:rFonts w:ascii="Times New Roman" w:hAnsi="Times New Roman" w:cs="Times New Roman" w:eastAsia="Times New Roman" w:hint="default"/>
        </w:rPr>
        <w:t>21</w:t>
      </w:r>
      <w:r>
        <w:rPr/>
        <w:t>、股份支付</w:t>
      </w:r>
      <w:r>
        <w:rPr>
          <w:b w:val="0"/>
          <w:bCs w:val="0"/>
        </w:rPr>
      </w:r>
    </w:p>
    <w:p>
      <w:pPr>
        <w:spacing w:line="240" w:lineRule="auto" w:before="7"/>
        <w:rPr>
          <w:rFonts w:ascii="宋体" w:hAnsi="宋体" w:cs="宋体" w:eastAsia="宋体" w:hint="default"/>
          <w:b/>
          <w:bCs/>
          <w:sz w:val="24"/>
          <w:szCs w:val="24"/>
        </w:rPr>
      </w:pPr>
    </w:p>
    <w:p>
      <w:pPr>
        <w:pStyle w:val="Heading6"/>
        <w:spacing w:line="264" w:lineRule="auto" w:before="0"/>
        <w:ind w:left="573" w:right="430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股份支付的种类</w:t>
      </w:r>
      <w:r>
        <w:rPr>
          <w:w w:val="100"/>
        </w:rPr>
        <w:t> </w:t>
      </w:r>
      <w:r>
        <w:rPr>
          <w:spacing w:val="-2"/>
        </w:rPr>
        <w:t>包括以权益结算的股份支付和以现金结算的股份支付。</w:t>
      </w:r>
      <w:r>
        <w:rPr>
          <w:spacing w:val="-59"/>
        </w:rPr>
        <w:t> </w:t>
      </w:r>
      <w:r>
        <w:rPr>
          <w:spacing w:val="-59"/>
        </w:rPr>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实施、修改、终止股份支付计划的相关会计处理</w:t>
      </w:r>
    </w:p>
    <w:p>
      <w:pPr>
        <w:pStyle w:val="Heading6"/>
        <w:spacing w:line="256" w:lineRule="auto" w:before="0"/>
        <w:ind w:left="573" w:right="10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以权益结算的股份支付</w:t>
      </w:r>
      <w:r>
        <w:rPr>
          <w:w w:val="100"/>
        </w:rPr>
        <w:t> </w:t>
      </w:r>
      <w:r>
        <w:rPr>
          <w:spacing w:val="-2"/>
        </w:rPr>
        <w:t>授予后立即可行权的换取职工服务的以权益结算的股份支付，在授予日按照权益工具的公允价值计入</w:t>
      </w:r>
    </w:p>
    <w:p>
      <w:pPr>
        <w:pStyle w:val="Heading6"/>
        <w:spacing w:line="273" w:lineRule="auto"/>
        <w:ind w:right="106"/>
        <w:jc w:val="left"/>
      </w:pPr>
      <w:r>
        <w:rPr/>
        <w:t>相关成本或费用，相应调整资本公积。完成等待期内的服务或达到规定业绩条件才可行权的换取职工服务</w:t>
      </w:r>
      <w:r>
        <w:rPr>
          <w:w w:val="100"/>
        </w:rPr>
        <w:t> </w:t>
      </w:r>
      <w:r>
        <w:rPr>
          <w:spacing w:val="-5"/>
        </w:rPr>
        <w:t>的以权益结算的股份支付，在等待期内的每个资产负债表日，以对可行权权益工具数量的最佳估计为基础，</w:t>
      </w:r>
      <w:r>
        <w:rPr>
          <w:spacing w:val="-6"/>
        </w:rPr>
        <w:t> </w:t>
      </w:r>
      <w:r>
        <w:rPr>
          <w:spacing w:val="-6"/>
        </w:rPr>
      </w:r>
      <w:r>
        <w:rPr/>
        <w:t>按权益工具授予日的公允价值，将当期取得的服务计入相关成本或费用，相应调整资本公积。</w:t>
      </w:r>
    </w:p>
    <w:p>
      <w:pPr>
        <w:pStyle w:val="Heading6"/>
        <w:spacing w:line="273" w:lineRule="auto" w:before="7"/>
        <w:ind w:right="206" w:firstLine="420"/>
        <w:jc w:val="both"/>
      </w:pPr>
      <w:r>
        <w:rPr>
          <w:spacing w:val="-2"/>
        </w:rPr>
        <w:t>换取其他方服务的权益结算的股份支付，如果其他方服务的公允价值能够可靠计量的，按照其他方服</w:t>
      </w:r>
      <w:r>
        <w:rPr>
          <w:w w:val="100"/>
        </w:rPr>
        <w:t> </w:t>
      </w:r>
      <w:r>
        <w:rPr>
          <w:spacing w:val="-2"/>
        </w:rPr>
        <w:t>务在取得日的公允价值计量；如果其他方服务的公允价值不能可靠计量，但权益工具的公允价值能够可靠</w:t>
      </w:r>
      <w:r>
        <w:rPr>
          <w:spacing w:val="-44"/>
        </w:rPr>
        <w:t> </w:t>
      </w:r>
      <w:r>
        <w:rPr>
          <w:spacing w:val="-44"/>
        </w:rPr>
      </w:r>
      <w:r>
        <w:rPr/>
        <w:t>计量的，按照权益工具在服务取得日的公允价值计量，计入相关成本或费用，相应增加所有者权益。</w:t>
      </w:r>
    </w:p>
    <w:p>
      <w:pPr>
        <w:pStyle w:val="Heading6"/>
        <w:spacing w:line="256" w:lineRule="auto" w:before="7"/>
        <w:ind w:left="573" w:right="10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以现金结算的股份支付</w:t>
      </w:r>
      <w:r>
        <w:rPr>
          <w:w w:val="100"/>
        </w:rPr>
        <w:t> </w:t>
      </w:r>
      <w:r>
        <w:rPr>
          <w:spacing w:val="-2"/>
        </w:rPr>
        <w:t>授予后立即可行权的换取职工服务的以现金结算的股份支付，在授予日按公司承担负债的公允价值计</w:t>
      </w:r>
    </w:p>
    <w:p>
      <w:pPr>
        <w:pStyle w:val="Heading6"/>
        <w:spacing w:line="273" w:lineRule="auto" w:before="23"/>
        <w:ind w:right="206"/>
        <w:jc w:val="both"/>
      </w:pPr>
      <w:r>
        <w:rPr>
          <w:spacing w:val="-2"/>
        </w:rPr>
        <w:t>入相关成本或费用，相应增加负债。完成等待期内的服务或达到规定业绩条件才可行权的换取职工服务的</w:t>
      </w:r>
      <w:r>
        <w:rPr>
          <w:spacing w:val="-42"/>
        </w:rPr>
        <w:t> </w:t>
      </w:r>
      <w:r>
        <w:rPr>
          <w:spacing w:val="-42"/>
        </w:rPr>
      </w:r>
      <w:r>
        <w:rPr>
          <w:spacing w:val="-2"/>
        </w:rPr>
        <w:t>以现金结算的股份支付，在等待期内的每个资产负债表日，以对可行权情况的最佳估计为基础，按公司承</w:t>
      </w:r>
      <w:r>
        <w:rPr>
          <w:spacing w:val="-42"/>
        </w:rPr>
        <w:t> </w:t>
      </w:r>
      <w:r>
        <w:rPr>
          <w:spacing w:val="-42"/>
        </w:rPr>
      </w:r>
      <w:r>
        <w:rPr/>
        <w:t>担负债的公允价值，将当期取得的服务计入相关成本或费用和相应的负债。</w:t>
      </w:r>
    </w:p>
    <w:p>
      <w:pPr>
        <w:spacing w:after="0" w:line="273" w:lineRule="auto"/>
        <w:jc w:val="both"/>
        <w:sectPr>
          <w:pgSz w:w="11910" w:h="16840"/>
          <w:pgMar w:header="877" w:footer="1186" w:top="1100" w:bottom="1380" w:left="980" w:right="920"/>
        </w:sectPr>
      </w:pPr>
    </w:p>
    <w:p>
      <w:pPr>
        <w:spacing w:line="240" w:lineRule="auto" w:before="12"/>
        <w:rPr>
          <w:rFonts w:ascii="宋体" w:hAnsi="宋体" w:cs="宋体" w:eastAsia="宋体" w:hint="default"/>
          <w:sz w:val="20"/>
          <w:szCs w:val="20"/>
        </w:rPr>
      </w:pPr>
    </w:p>
    <w:p>
      <w:pPr>
        <w:pStyle w:val="Heading6"/>
        <w:spacing w:line="256" w:lineRule="auto" w:before="36"/>
        <w:ind w:left="573" w:right="10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修改、终止股份支付计划</w:t>
      </w:r>
      <w:r>
        <w:rPr>
          <w:w w:val="100"/>
        </w:rPr>
        <w:t> </w:t>
      </w:r>
      <w:r>
        <w:rPr>
          <w:spacing w:val="-2"/>
        </w:rPr>
        <w:t>如果修改增加了所授予的权益工具的公允价值，公司按照权益工具公允价值的增加相应地确认取得服</w:t>
      </w:r>
    </w:p>
    <w:p>
      <w:pPr>
        <w:pStyle w:val="Heading6"/>
        <w:spacing w:line="273" w:lineRule="auto"/>
        <w:ind w:right="206"/>
        <w:jc w:val="both"/>
      </w:pPr>
      <w:r>
        <w:rPr>
          <w:spacing w:val="-2"/>
        </w:rPr>
        <w:t>务的增加；如果修改增加了所授予的权益工具的数量，公司将增加的权益工具的公允价值相应地确认为取</w:t>
      </w:r>
      <w:r>
        <w:rPr>
          <w:spacing w:val="-43"/>
        </w:rPr>
        <w:t> </w:t>
      </w:r>
      <w:r>
        <w:rPr>
          <w:spacing w:val="-43"/>
        </w:rPr>
      </w:r>
      <w:r>
        <w:rPr>
          <w:spacing w:val="-2"/>
        </w:rPr>
        <w:t>得服务的增加；如果公司按照有利于职工的方式修改可行权条件，公司在处理可行权条件时，考虑修改后</w:t>
      </w:r>
      <w:r>
        <w:rPr>
          <w:spacing w:val="-45"/>
        </w:rPr>
        <w:t> </w:t>
      </w:r>
      <w:r>
        <w:rPr>
          <w:spacing w:val="-45"/>
        </w:rPr>
      </w:r>
      <w:r>
        <w:rPr/>
        <w:t>的可行权条件。</w:t>
      </w:r>
    </w:p>
    <w:p>
      <w:pPr>
        <w:pStyle w:val="Heading6"/>
        <w:spacing w:line="273" w:lineRule="auto" w:before="7"/>
        <w:ind w:right="206" w:firstLine="420"/>
        <w:jc w:val="both"/>
      </w:pPr>
      <w:r>
        <w:rPr>
          <w:spacing w:val="-2"/>
        </w:rPr>
        <w:t>如果修改减少了授予的权益工具的公允价值，公司继续以权益工具在授予日的公允价值为基础，确认</w:t>
      </w:r>
      <w:r>
        <w:rPr>
          <w:w w:val="100"/>
        </w:rPr>
        <w:t> </w:t>
      </w:r>
      <w:r>
        <w:rPr>
          <w:spacing w:val="-2"/>
        </w:rPr>
        <w:t>取得服务的金额，而不考虑权益工具公允价值的减少；如果修改减少了授予的权益工具的数量，公司将减</w:t>
      </w:r>
      <w:r>
        <w:rPr>
          <w:spacing w:val="-43"/>
        </w:rPr>
        <w:t> </w:t>
      </w:r>
      <w:r>
        <w:rPr>
          <w:spacing w:val="-43"/>
        </w:rPr>
      </w:r>
      <w:r>
        <w:rPr>
          <w:spacing w:val="-2"/>
        </w:rPr>
        <w:t>少部分作为已授予的权益工具的取消来进行处理；如果以不利于职工的方式修改了可行权条件，在处理可</w:t>
      </w:r>
      <w:r>
        <w:rPr>
          <w:spacing w:val="-42"/>
        </w:rPr>
        <w:t> </w:t>
      </w:r>
      <w:r>
        <w:rPr>
          <w:spacing w:val="-42"/>
        </w:rPr>
      </w:r>
      <w:r>
        <w:rPr/>
        <w:t>行权条件时，不考虑修改后的可行权条件。</w:t>
      </w:r>
    </w:p>
    <w:p>
      <w:pPr>
        <w:pStyle w:val="Heading6"/>
        <w:spacing w:line="273" w:lineRule="auto" w:before="7"/>
        <w:ind w:right="206" w:firstLine="420"/>
        <w:jc w:val="both"/>
      </w:pPr>
      <w:r>
        <w:rPr>
          <w:spacing w:val="-2"/>
        </w:rPr>
        <w:t>如果公司在等待期内取消了所授予的权益工具或结算了所授予的权益工具（因未满足可行权条件而被</w:t>
      </w:r>
      <w:r>
        <w:rPr>
          <w:w w:val="100"/>
        </w:rPr>
        <w:t> </w:t>
      </w:r>
      <w:r>
        <w:rPr/>
        <w:t>取消的除外），则将取消或结算作为加速可行权处理，立即确认原本在剩余等待期内确认的金额。</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22</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74"/>
        <w:jc w:val="left"/>
      </w:pPr>
      <w:r>
        <w:rPr/>
        <w:t>公司是否需要遵守特殊行业的披露要求 否</w:t>
      </w:r>
    </w:p>
    <w:p>
      <w:pPr>
        <w:pStyle w:val="Heading6"/>
        <w:spacing w:line="240" w:lineRule="auto" w:before="8"/>
        <w:ind w:left="573" w:right="25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收入确认原则</w:t>
      </w:r>
    </w:p>
    <w:p>
      <w:pPr>
        <w:pStyle w:val="Heading6"/>
        <w:spacing w:line="240" w:lineRule="auto" w:before="21"/>
        <w:ind w:left="573" w:right="25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销售商品</w:t>
      </w:r>
    </w:p>
    <w:p>
      <w:pPr>
        <w:pStyle w:val="Heading6"/>
        <w:spacing w:line="256" w:lineRule="auto" w:before="21"/>
        <w:ind w:right="106" w:firstLine="420"/>
        <w:jc w:val="left"/>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将商品所有权上的主要风险和报酬转移给购货方；</w:t>
      </w:r>
      <w:r>
        <w:rPr>
          <w:w w:val="100"/>
        </w:rPr>
        <w:t> </w:t>
      </w:r>
      <w:r>
        <w:rPr>
          <w:rFonts w:ascii="Times New Roman" w:hAnsi="Times New Roman" w:cs="Times New Roman" w:eastAsia="Times New Roman" w:hint="default"/>
        </w:rPr>
        <w:t>2) </w:t>
      </w:r>
      <w:r>
        <w:rPr/>
        <w:t>公司不再保留通常与所有权相联系的继续管理权，也不再对已售出的商品实施有效控制；</w:t>
      </w:r>
      <w:r>
        <w:rPr>
          <w:rFonts w:ascii="Times New Roman" w:hAnsi="Times New Roman" w:cs="Times New Roman" w:eastAsia="Times New Roman" w:hint="default"/>
        </w:rPr>
        <w:t>3) </w:t>
      </w:r>
      <w:r>
        <w:rPr/>
        <w:t>收入的金</w:t>
      </w:r>
      <w:r>
        <w:rPr>
          <w:spacing w:val="-58"/>
        </w:rPr>
        <w:t> </w:t>
      </w:r>
      <w:r>
        <w:rPr/>
        <w:t>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相关的已发生或将发生的成本能够可靠地计量。</w:t>
      </w:r>
    </w:p>
    <w:p>
      <w:pPr>
        <w:pStyle w:val="Heading6"/>
        <w:spacing w:line="256" w:lineRule="auto" w:before="5"/>
        <w:ind w:left="573" w:right="10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提供劳务</w:t>
      </w:r>
      <w:r>
        <w:rPr>
          <w:spacing w:val="-103"/>
        </w:rPr>
        <w:t> </w:t>
      </w:r>
      <w:r>
        <w:rPr>
          <w:spacing w:val="-103"/>
        </w:rPr>
      </w:r>
      <w:r>
        <w:rPr>
          <w:spacing w:val="-2"/>
        </w:rPr>
        <w:t>提供劳务交易的结果在资产负债表日能够可靠估计的（同时满足收入的金额能够可靠地计量、相关经</w:t>
      </w:r>
    </w:p>
    <w:p>
      <w:pPr>
        <w:pStyle w:val="Heading6"/>
        <w:spacing w:line="273" w:lineRule="auto"/>
        <w:ind w:right="106"/>
        <w:jc w:val="left"/>
      </w:pPr>
      <w:r>
        <w:rPr/>
        <w:t>济利益很可能流入、交易的完工进度能够可靠地确定、交易中已发生和将发生的成本能够可靠地计量），</w:t>
      </w:r>
      <w:r>
        <w:rPr>
          <w:spacing w:val="-24"/>
        </w:rPr>
        <w:t> </w:t>
      </w:r>
      <w:r>
        <w:rPr>
          <w:spacing w:val="-24"/>
        </w:rPr>
      </w:r>
      <w:r>
        <w:rPr>
          <w:spacing w:val="-2"/>
        </w:rPr>
        <w:t>采用完工百分比法确认提供劳务的收入，并按已经提供劳务占应提供劳务总量的比例确定提供劳务交易的</w:t>
      </w:r>
      <w:r>
        <w:rPr>
          <w:spacing w:val="-43"/>
        </w:rPr>
        <w:t> </w:t>
      </w:r>
      <w:r>
        <w:rPr>
          <w:spacing w:val="-43"/>
        </w:rPr>
      </w:r>
      <w:r>
        <w:rPr>
          <w:spacing w:val="-2"/>
        </w:rPr>
        <w:t>完工进度。提供劳务交易的结果在资产负债表日不能够可靠估计的，若已经发生的劳务成本预计能够得到</w:t>
      </w:r>
      <w:r>
        <w:rPr>
          <w:spacing w:val="-43"/>
        </w:rPr>
        <w:t> </w:t>
      </w:r>
      <w:r>
        <w:rPr>
          <w:spacing w:val="-43"/>
        </w:rPr>
      </w:r>
      <w:r>
        <w:rPr>
          <w:spacing w:val="-2"/>
        </w:rPr>
        <w:t>补偿，按已经发生的劳务成本金额确认提供劳务收入，并按相同金额结转劳务成本；若已经发生的劳务成</w:t>
      </w:r>
      <w:r>
        <w:rPr>
          <w:spacing w:val="-43"/>
        </w:rPr>
        <w:t> </w:t>
      </w:r>
      <w:r>
        <w:rPr>
          <w:spacing w:val="-43"/>
        </w:rPr>
      </w:r>
      <w:r>
        <w:rPr/>
        <w:t>本预计不能够得到补偿，将已经发生的劳务成本计入当期损益，不确认劳务收入。</w:t>
      </w:r>
    </w:p>
    <w:p>
      <w:pPr>
        <w:pStyle w:val="Heading6"/>
        <w:spacing w:line="256" w:lineRule="auto" w:before="7"/>
        <w:ind w:left="573" w:right="10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让渡资产使用权</w:t>
      </w:r>
      <w:r>
        <w:rPr>
          <w:spacing w:val="-103"/>
        </w:rPr>
        <w:t> </w:t>
      </w:r>
      <w:r>
        <w:rPr>
          <w:spacing w:val="-103"/>
        </w:rPr>
      </w:r>
      <w:r>
        <w:rPr>
          <w:spacing w:val="-2"/>
        </w:rPr>
        <w:t>让渡资产使用权在同时满足相关的经济利益很可能流入、收入金额能够可靠计量时，确认让渡资产使</w:t>
      </w:r>
    </w:p>
    <w:p>
      <w:pPr>
        <w:pStyle w:val="Heading6"/>
        <w:spacing w:line="273" w:lineRule="auto"/>
        <w:ind w:right="106"/>
        <w:jc w:val="left"/>
      </w:pPr>
      <w:r>
        <w:rPr>
          <w:spacing w:val="-2"/>
        </w:rPr>
        <w:t>用权的收入。利息收入按照他人使用本公司货币资金的时间和实际利率计算确定；使用费收入按有关合同</w:t>
      </w:r>
      <w:r>
        <w:rPr>
          <w:spacing w:val="-43"/>
        </w:rPr>
        <w:t> </w:t>
      </w:r>
      <w:r>
        <w:rPr>
          <w:spacing w:val="-43"/>
        </w:rPr>
      </w:r>
      <w:r>
        <w:rPr/>
        <w:t>或协议约定的收费时间和方法计算确定。</w:t>
      </w:r>
    </w:p>
    <w:p>
      <w:pPr>
        <w:pStyle w:val="Heading6"/>
        <w:spacing w:line="240" w:lineRule="auto" w:before="7"/>
        <w:ind w:left="573" w:right="25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t>建造合同</w:t>
      </w:r>
    </w:p>
    <w:p>
      <w:pPr>
        <w:pStyle w:val="Heading6"/>
        <w:spacing w:line="266" w:lineRule="auto" w:before="21"/>
        <w:ind w:right="20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3"/>
        </w:rPr>
        <w:t>建造合同的结果在资产负债表日能够可靠估计的，根据完工百分比法确认合同收入和合同费用。建</w:t>
      </w:r>
      <w:r>
        <w:rPr>
          <w:w w:val="100"/>
        </w:rPr>
        <w:t> </w:t>
      </w:r>
      <w:r>
        <w:rPr>
          <w:spacing w:val="-2"/>
        </w:rPr>
        <w:t>造合同的结果在资产负债表日不能够可靠估计的，若合同成本能够收回的，合同收入根据能够收回的实际</w:t>
      </w:r>
      <w:r>
        <w:rPr>
          <w:spacing w:val="-42"/>
        </w:rPr>
        <w:t> </w:t>
      </w:r>
      <w:r>
        <w:rPr>
          <w:spacing w:val="-42"/>
        </w:rPr>
      </w:r>
      <w:r>
        <w:rPr>
          <w:spacing w:val="-2"/>
        </w:rPr>
        <w:t>合同成本予以确认，合同成本在其发生的当期确认为合同费用；若合同成本不可能收回的，在发生时立即</w:t>
      </w:r>
      <w:r>
        <w:rPr>
          <w:spacing w:val="-43"/>
        </w:rPr>
        <w:t> </w:t>
      </w:r>
      <w:r>
        <w:rPr>
          <w:spacing w:val="-43"/>
        </w:rPr>
      </w:r>
      <w:r>
        <w:rPr/>
        <w:t>确认为合同费用，不确认合同收入。</w:t>
      </w:r>
    </w:p>
    <w:p>
      <w:pPr>
        <w:pStyle w:val="Heading6"/>
        <w:spacing w:line="266" w:lineRule="auto" w:before="14"/>
        <w:ind w:right="20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spacing w:val="-3"/>
        </w:rPr>
        <w:t>固定造价合同同时满足下列条件表明其结果能够可靠估计：合同总收入能够可靠计量、与合同相关</w:t>
      </w:r>
      <w:r>
        <w:rPr>
          <w:w w:val="100"/>
        </w:rPr>
        <w:t> </w:t>
      </w:r>
      <w:r>
        <w:rPr>
          <w:spacing w:val="-2"/>
        </w:rPr>
        <w:t>的经济利益很可能流入、实际发生的合同成本能够清楚地区分和可靠地计量、合同完工进度和为完成合同</w:t>
      </w:r>
      <w:r>
        <w:rPr>
          <w:spacing w:val="-43"/>
        </w:rPr>
        <w:t> </w:t>
      </w:r>
      <w:r>
        <w:rPr>
          <w:spacing w:val="-43"/>
        </w:rPr>
      </w:r>
      <w:r>
        <w:rPr>
          <w:spacing w:val="-2"/>
        </w:rPr>
        <w:t>尚需发生的成本能够可靠地计量。成本加成合同同时满足下列条件表明其结果能够可靠估计：与合同相关</w:t>
      </w:r>
      <w:r>
        <w:rPr>
          <w:spacing w:val="-44"/>
        </w:rPr>
        <w:t> </w:t>
      </w:r>
      <w:r>
        <w:rPr>
          <w:spacing w:val="-44"/>
        </w:rPr>
      </w:r>
      <w:r>
        <w:rPr/>
        <w:t>的经济利益很可能流入、实际发生的合同成本能够清楚地区分和可靠地计量。</w:t>
      </w:r>
    </w:p>
    <w:p>
      <w:pPr>
        <w:pStyle w:val="Heading4"/>
        <w:spacing w:line="240" w:lineRule="auto" w:before="2"/>
        <w:ind w:right="253"/>
        <w:jc w:val="left"/>
        <w:rPr>
          <w:i w:val="0"/>
        </w:rPr>
      </w:pPr>
      <w:r>
        <w:rPr>
          <w:rFonts w:ascii="Times New Roman" w:hAnsi="Times New Roman" w:cs="Times New Roman" w:eastAsia="Times New Roman" w:hint="default"/>
          <w:i/>
          <w:w w:val="95"/>
          <w:sz w:val="21"/>
          <w:szCs w:val="21"/>
        </w:rPr>
        <w:t>3) </w:t>
      </w:r>
      <w:r>
        <w:rPr>
          <w:rFonts w:ascii="Times New Roman" w:hAnsi="Times New Roman" w:cs="Times New Roman" w:eastAsia="Times New Roman" w:hint="default"/>
          <w:i/>
          <w:spacing w:val="25"/>
          <w:w w:val="95"/>
          <w:sz w:val="21"/>
          <w:szCs w:val="21"/>
        </w:rPr>
        <w:t> </w:t>
      </w:r>
      <w:r>
        <w:rPr>
          <w:w w:val="95"/>
        </w:rPr>
        <w:t>确定合同完工进度的方法为累计实际发生的合同成本占合同预计总成本的比例。</w:t>
      </w:r>
      <w:r>
        <w:rPr>
          <w:i w:val="0"/>
        </w:rPr>
      </w:r>
    </w:p>
    <w:p>
      <w:pPr>
        <w:pStyle w:val="Heading6"/>
        <w:spacing w:line="256" w:lineRule="auto" w:before="21"/>
        <w:ind w:right="253" w:firstLine="42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spacing w:val="-4"/>
        </w:rPr>
        <w:t>资产负债表日，合同预计总成本超过合同总收入的，将预计损失确认为当期费用。执行中的建造合</w:t>
      </w:r>
      <w:r>
        <w:rPr>
          <w:w w:val="100"/>
        </w:rPr>
        <w:t> </w:t>
      </w:r>
      <w:r>
        <w:rPr/>
        <w:t>同，按其差额计提存货跌价准备；待执行的亏损合同，按其差额确认预计负债。</w:t>
      </w:r>
    </w:p>
    <w:p>
      <w:pPr>
        <w:spacing w:after="0" w:line="256" w:lineRule="auto"/>
        <w:jc w:val="left"/>
        <w:sectPr>
          <w:pgSz w:w="11910" w:h="16840"/>
          <w:pgMar w:header="877" w:footer="1186" w:top="1100" w:bottom="1380" w:left="980" w:right="920"/>
        </w:sectPr>
      </w:pPr>
    </w:p>
    <w:p>
      <w:pPr>
        <w:spacing w:line="240" w:lineRule="auto" w:before="12"/>
        <w:rPr>
          <w:rFonts w:ascii="宋体" w:hAnsi="宋体" w:cs="宋体" w:eastAsia="宋体" w:hint="default"/>
          <w:sz w:val="20"/>
          <w:szCs w:val="20"/>
        </w:rPr>
      </w:pPr>
    </w:p>
    <w:p>
      <w:pPr>
        <w:pStyle w:val="Heading6"/>
        <w:spacing w:line="256" w:lineRule="auto" w:before="36"/>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收入确认的具体方法</w:t>
      </w:r>
      <w:r>
        <w:rPr>
          <w:w w:val="100"/>
        </w:rPr>
        <w:t> </w:t>
      </w:r>
      <w:r>
        <w:rPr>
          <w:spacing w:val="-2"/>
        </w:rPr>
        <w:t>公司主要经营医疗信息系统的开发与服务、数字化场景应用系统的实施以及销售商品等其他业务。主</w:t>
      </w:r>
    </w:p>
    <w:p>
      <w:pPr>
        <w:pStyle w:val="Heading6"/>
        <w:spacing w:line="240" w:lineRule="auto"/>
        <w:ind w:right="0"/>
        <w:jc w:val="left"/>
      </w:pPr>
      <w:r>
        <w:rPr/>
        <w:t>要业务类型的收入确认和计量具体方法如下：</w:t>
      </w:r>
    </w:p>
    <w:p>
      <w:pPr>
        <w:pStyle w:val="Heading6"/>
        <w:spacing w:line="256" w:lineRule="auto" w:before="37"/>
        <w:ind w:left="573" w:right="0"/>
        <w:jc w:val="left"/>
      </w:pPr>
      <w:r>
        <w:rPr>
          <w:rFonts w:ascii="Times New Roman" w:hAnsi="Times New Roman" w:cs="Times New Roman" w:eastAsia="Times New Roman" w:hint="default"/>
        </w:rPr>
        <w:t>(1)</w:t>
      </w:r>
      <w:r>
        <w:rPr/>
        <w:t>医疗信息等各类软件产品的开发与服务业务</w:t>
      </w:r>
      <w:r>
        <w:rPr>
          <w:w w:val="100"/>
        </w:rPr>
        <w:t> </w:t>
      </w:r>
      <w:r>
        <w:rPr>
          <w:spacing w:val="-5"/>
        </w:rPr>
        <w:t>该类业务主要包括电子病历软件、医疗信息集成平台软件等的开发与服务，按照提供劳务的确认原则，</w:t>
      </w:r>
    </w:p>
    <w:p>
      <w:pPr>
        <w:pStyle w:val="Heading6"/>
        <w:spacing w:line="264" w:lineRule="auto"/>
        <w:ind w:left="573" w:right="0" w:hanging="421"/>
        <w:jc w:val="left"/>
      </w:pPr>
      <w:r>
        <w:rPr>
          <w:spacing w:val="-2"/>
        </w:rPr>
        <w:t>采用完工百分比法确认收入，并根据已经提供劳务占应提供劳务总量的比例确定提供劳务交易的完工进度。</w:t>
      </w:r>
      <w:r>
        <w:rPr>
          <w:spacing w:val="-45"/>
        </w:rPr>
        <w:t> </w:t>
      </w:r>
      <w:r>
        <w:rPr>
          <w:spacing w:val="-45"/>
        </w:rPr>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数字化场景应用中的系统工程实施</w:t>
      </w:r>
      <w:r>
        <w:rPr>
          <w:w w:val="100"/>
        </w:rPr>
        <w:t> </w:t>
      </w:r>
      <w:r>
        <w:rPr/>
        <w:t>该类业务参照建造合同的确认原则，采用完工百分比法确认收入，并按照累计实际发生的合同成本占</w:t>
      </w:r>
    </w:p>
    <w:p>
      <w:pPr>
        <w:pStyle w:val="Heading6"/>
        <w:spacing w:line="240" w:lineRule="auto" w:before="16"/>
        <w:ind w:right="0"/>
        <w:jc w:val="left"/>
      </w:pPr>
      <w:r>
        <w:rPr/>
        <w:t>合同预计总成本的比例确认为合同完工进度。</w:t>
      </w:r>
    </w:p>
    <w:p>
      <w:pPr>
        <w:pStyle w:val="Heading6"/>
        <w:spacing w:line="256" w:lineRule="auto" w:before="37"/>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销售商品</w:t>
      </w:r>
      <w:r>
        <w:rPr>
          <w:spacing w:val="-103"/>
        </w:rPr>
        <w:t> </w:t>
      </w:r>
      <w:r>
        <w:rPr>
          <w:spacing w:val="-103"/>
        </w:rPr>
      </w:r>
      <w:r>
        <w:rPr>
          <w:spacing w:val="-2"/>
        </w:rPr>
        <w:t>销售商品收入确认需满足以下条件：公司已根据合同约定将商品交付给购货方，且商品销售收入金额</w:t>
      </w:r>
    </w:p>
    <w:p>
      <w:pPr>
        <w:pStyle w:val="Heading6"/>
        <w:spacing w:line="273" w:lineRule="auto" w:before="23"/>
        <w:ind w:right="0"/>
        <w:jc w:val="left"/>
      </w:pPr>
      <w:r>
        <w:rPr>
          <w:spacing w:val="-2"/>
        </w:rPr>
        <w:t>已确定，已经取得了客户签收单等收款凭证且相关的经济利益很可能流入，商品相关的成本能够可靠地计</w:t>
      </w:r>
      <w:r>
        <w:rPr>
          <w:spacing w:val="-43"/>
        </w:rPr>
        <w:t> </w:t>
      </w:r>
      <w:r>
        <w:rPr>
          <w:spacing w:val="-43"/>
        </w:rPr>
      </w:r>
      <w:r>
        <w:rPr/>
        <w:t>量。</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23</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Heading6"/>
        <w:spacing w:line="273" w:lineRule="auto" w:before="0"/>
        <w:ind w:right="0"/>
        <w:jc w:val="left"/>
      </w:pPr>
      <w:r>
        <w:rPr>
          <w:spacing w:val="-2"/>
        </w:rPr>
        <w:t>公司取得的、用于购建或以其他方式形成长期资产的政府补助划分为与资产相关的政府补助。与资产相关</w:t>
      </w:r>
      <w:r>
        <w:rPr>
          <w:spacing w:val="-44"/>
        </w:rPr>
        <w:t> </w:t>
      </w:r>
      <w:r>
        <w:rPr>
          <w:spacing w:val="-44"/>
        </w:rPr>
      </w:r>
      <w:r>
        <w:rPr>
          <w:spacing w:val="-2"/>
        </w:rPr>
        <w:t>的政府补助，冲减相关资产的账面价值或确认为递延收益。与资产相关补助确认为递延收益的，在相关资</w:t>
      </w:r>
      <w:r>
        <w:rPr>
          <w:spacing w:val="-42"/>
        </w:rPr>
        <w:t> </w:t>
      </w:r>
      <w:r>
        <w:rPr>
          <w:spacing w:val="-42"/>
        </w:rPr>
      </w:r>
      <w:r>
        <w:rPr/>
        <w:t>产使用寿命内按照合理、系统的方法分期计入损益。按照名义金额计量的政府补助，直接计入当期损益。</w:t>
      </w:r>
      <w:r>
        <w:rPr>
          <w:spacing w:val="-31"/>
        </w:rPr>
        <w:t> </w:t>
      </w:r>
      <w:r>
        <w:rPr>
          <w:spacing w:val="-31"/>
        </w:rPr>
      </w:r>
      <w:r>
        <w:rPr>
          <w:spacing w:val="-2"/>
        </w:rPr>
        <w:t>相关资产在使用寿命结束前被出售、转让、报废或发生毁损的，将尚未分配的相关递延收益余额转入资产</w:t>
      </w:r>
      <w:r>
        <w:rPr>
          <w:spacing w:val="-43"/>
        </w:rPr>
        <w:t> </w:t>
      </w:r>
      <w:r>
        <w:rPr>
          <w:spacing w:val="-43"/>
        </w:rPr>
      </w:r>
      <w:r>
        <w:rPr/>
        <w:t>处置当期的损益。</w:t>
      </w:r>
    </w:p>
    <w:p>
      <w:pPr>
        <w:spacing w:line="60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除与资产相关的政府补助之外的政府补助划分为与收益相关的政府补助。对于同时包含与资产相关部</w:t>
      </w:r>
    </w:p>
    <w:p>
      <w:pPr>
        <w:pStyle w:val="Heading6"/>
        <w:spacing w:line="273" w:lineRule="auto" w:before="37"/>
        <w:ind w:right="306"/>
        <w:jc w:val="both"/>
      </w:pPr>
      <w:r>
        <w:rPr>
          <w:spacing w:val="-2"/>
        </w:rPr>
        <w:t>分和与收益相关部分的政府补助，难以区分与资产相关或与收益相关的，整体归类为与收益相关的政府补</w:t>
      </w:r>
      <w:r>
        <w:rPr>
          <w:spacing w:val="-44"/>
        </w:rPr>
        <w:t> </w:t>
      </w:r>
      <w:r>
        <w:rPr>
          <w:spacing w:val="-44"/>
        </w:rPr>
      </w:r>
      <w:r>
        <w:rPr>
          <w:spacing w:val="-2"/>
        </w:rPr>
        <w:t>助。与收益相关的政府补助，用于补偿以后期间的相关成本费用或损失的，确认为递延收益，在确认相关</w:t>
      </w:r>
      <w:r>
        <w:rPr>
          <w:spacing w:val="-50"/>
        </w:rPr>
        <w:t> </w:t>
      </w:r>
      <w:r>
        <w:rPr>
          <w:spacing w:val="-50"/>
        </w:rPr>
      </w:r>
      <w:r>
        <w:rPr>
          <w:spacing w:val="-2"/>
        </w:rPr>
        <w:t>成本费用或损失的期间，计入当期损益或冲减相关成本；用于补偿已发生的相关成本费用或损失的，直接</w:t>
      </w:r>
      <w:r>
        <w:rPr>
          <w:spacing w:val="-43"/>
        </w:rPr>
        <w:t> </w:t>
      </w:r>
      <w:r>
        <w:rPr>
          <w:spacing w:val="-43"/>
        </w:rPr>
      </w:r>
      <w:r>
        <w:rPr/>
        <w:t>计入当期损益或冲减相关成本。</w:t>
      </w:r>
    </w:p>
    <w:p>
      <w:pPr>
        <w:spacing w:line="240" w:lineRule="auto" w:before="6"/>
        <w:rPr>
          <w:rFonts w:ascii="宋体" w:hAnsi="宋体" w:cs="宋体" w:eastAsia="宋体" w:hint="default"/>
          <w:sz w:val="24"/>
          <w:szCs w:val="24"/>
        </w:rPr>
      </w:pPr>
    </w:p>
    <w:p>
      <w:pPr>
        <w:pStyle w:val="Heading6"/>
        <w:spacing w:line="256" w:lineRule="auto" w:before="0"/>
        <w:ind w:right="0"/>
        <w:jc w:val="left"/>
      </w:pPr>
      <w:r>
        <w:rPr/>
        <w:t>（</w:t>
      </w:r>
      <w:r>
        <w:rPr>
          <w:rFonts w:ascii="Times New Roman" w:hAnsi="Times New Roman" w:cs="Times New Roman" w:eastAsia="Times New Roman" w:hint="default"/>
        </w:rPr>
        <w:t>3</w:t>
      </w:r>
      <w:r>
        <w:rPr/>
        <w:t>）与公司日常经营活动相关的政府补助，按照经济业务实质，计入其他收益或冲减相关成本费用。与</w:t>
      </w:r>
      <w:r>
        <w:rPr>
          <w:spacing w:val="-25"/>
        </w:rPr>
        <w:t> </w:t>
      </w:r>
      <w:r>
        <w:rPr>
          <w:spacing w:val="-25"/>
        </w:rPr>
      </w:r>
      <w:r>
        <w:rPr/>
        <w:t>公司日常活动无关的政府补助，计入营业外收支。</w:t>
      </w:r>
    </w:p>
    <w:p>
      <w:pPr>
        <w:spacing w:line="240" w:lineRule="auto" w:before="7"/>
        <w:rPr>
          <w:rFonts w:ascii="宋体" w:hAnsi="宋体" w:cs="宋体" w:eastAsia="宋体" w:hint="default"/>
          <w:sz w:val="25"/>
          <w:szCs w:val="25"/>
        </w:rPr>
      </w:pPr>
    </w:p>
    <w:p>
      <w:pPr>
        <w:pStyle w:val="Heading6"/>
        <w:spacing w:line="240" w:lineRule="auto" w:before="0"/>
        <w:ind w:right="0"/>
        <w:jc w:val="left"/>
      </w:pPr>
      <w:r>
        <w:rPr/>
        <w:t>（</w:t>
      </w:r>
      <w:r>
        <w:rPr>
          <w:rFonts w:ascii="Times New Roman" w:hAnsi="Times New Roman" w:cs="Times New Roman" w:eastAsia="Times New Roman" w:hint="default"/>
        </w:rPr>
        <w:t>4</w:t>
      </w:r>
      <w:r>
        <w:rPr/>
        <w:t>）政策性优惠贷款贴息的会计处理方法</w:t>
      </w:r>
    </w:p>
    <w:p>
      <w:pPr>
        <w:pStyle w:val="Heading4"/>
        <w:spacing w:line="259" w:lineRule="auto" w:before="9"/>
        <w:ind w:left="152" w:right="306" w:firstLine="420"/>
        <w:jc w:val="both"/>
        <w:rPr>
          <w:i w:val="0"/>
        </w:rPr>
      </w:pPr>
      <w:r>
        <w:rPr>
          <w:spacing w:val="-3"/>
          <w:w w:val="95"/>
        </w:rPr>
        <w:t>财政将贴息资金拨付给贷款银行，由贷款银行以政策性优惠利率向公司提供贷款的，以实际收到的借</w:t>
      </w:r>
      <w:r>
        <w:rPr>
          <w:w w:val="96"/>
        </w:rPr>
        <w:t> </w:t>
      </w:r>
      <w:r>
        <w:rPr/>
        <w:t>款金额作为借款的入账价值，按照借款本金和该政策性优惠利率计算相关借款费用。</w:t>
      </w:r>
      <w:r>
        <w:rPr>
          <w:i w:val="0"/>
        </w:rPr>
      </w:r>
    </w:p>
    <w:p>
      <w:pPr>
        <w:pStyle w:val="Heading6"/>
        <w:spacing w:line="240" w:lineRule="auto" w:before="18"/>
        <w:ind w:left="573" w:right="0"/>
        <w:jc w:val="left"/>
      </w:pPr>
      <w:r>
        <w:rPr/>
        <w:t>财政将贴息资金直接拨付给公司的，将对应的贴息冲减相关借款费用。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6"/>
        <w:spacing w:line="264" w:lineRule="auto" w:before="0"/>
        <w:ind w:right="30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spacing w:val="-3"/>
        </w:rPr>
        <w:t>根据资产、负债的账面价值与其计税基础之间的差额（未作为资产和负债确认的项目按照税法规定</w:t>
      </w:r>
      <w:r>
        <w:rPr>
          <w:w w:val="100"/>
        </w:rPr>
        <w:t> </w:t>
      </w:r>
      <w:r>
        <w:rPr>
          <w:spacing w:val="-2"/>
        </w:rPr>
        <w:t>可以确定其计税基础的，该计税基础与其账面数之间的差额），按照预期收回该资产或清偿该负债期间的</w:t>
      </w:r>
      <w:r>
        <w:rPr>
          <w:spacing w:val="-43"/>
        </w:rPr>
        <w:t> </w:t>
      </w:r>
      <w:r>
        <w:rPr>
          <w:spacing w:val="-43"/>
        </w:rPr>
      </w:r>
      <w:r>
        <w:rPr/>
        <w:t>适用税率计算确认递延所得税资产或递延所得税负债。</w:t>
      </w:r>
    </w:p>
    <w:p>
      <w:pPr>
        <w:spacing w:after="0" w:line="264" w:lineRule="auto"/>
        <w:jc w:val="both"/>
        <w:sectPr>
          <w:pgSz w:w="11910" w:h="16840"/>
          <w:pgMar w:header="877" w:footer="1186" w:top="1100" w:bottom="1380" w:left="980" w:right="820"/>
        </w:sectPr>
      </w:pPr>
    </w:p>
    <w:p>
      <w:pPr>
        <w:spacing w:line="240" w:lineRule="auto" w:before="12"/>
        <w:rPr>
          <w:rFonts w:ascii="宋体" w:hAnsi="宋体" w:cs="宋体" w:eastAsia="宋体" w:hint="default"/>
          <w:sz w:val="20"/>
          <w:szCs w:val="20"/>
        </w:rPr>
      </w:pPr>
    </w:p>
    <w:p>
      <w:pPr>
        <w:pStyle w:val="Heading6"/>
        <w:spacing w:line="264" w:lineRule="auto" w:before="36"/>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spacing w:val="-3"/>
        </w:rPr>
        <w:t>确认递延所得税资产以很可能取得用来抵扣可抵扣暂时性差异的应纳税所得额为限。资产负债表日，</w:t>
      </w:r>
      <w:r>
        <w:rPr>
          <w:w w:val="100"/>
        </w:rPr>
        <w:t> </w:t>
      </w:r>
      <w:r>
        <w:rPr/>
        <w:t>有确凿证据表明未来期间很可能获得足够的应纳税所得额用来抵扣可抵扣暂时性差异的，确认以前会计期</w:t>
      </w:r>
      <w:r>
        <w:rPr>
          <w:w w:val="100"/>
        </w:rPr>
        <w:t> </w:t>
      </w:r>
      <w:r>
        <w:rPr/>
        <w:t>间未确认的递延所得税资产。</w:t>
      </w:r>
    </w:p>
    <w:p>
      <w:pPr>
        <w:pStyle w:val="Heading6"/>
        <w:spacing w:line="264" w:lineRule="auto" w:before="16"/>
        <w:ind w:right="326"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spacing w:val="-3"/>
        </w:rPr>
        <w:t>资产负债表日，对递延所得税资产的账面价值进行复核，如果未来期间很可能无法获得足够的应纳</w:t>
      </w:r>
      <w:r>
        <w:rPr>
          <w:w w:val="100"/>
        </w:rPr>
        <w:t> </w:t>
      </w:r>
      <w:r>
        <w:rPr>
          <w:spacing w:val="-2"/>
        </w:rPr>
        <w:t>税所得额用以抵扣递延所得税资产的利益，则减记递延所得税资产的账面价值。在很可能获得足够的应纳</w:t>
      </w:r>
      <w:r>
        <w:rPr>
          <w:spacing w:val="-44"/>
        </w:rPr>
        <w:t> </w:t>
      </w:r>
      <w:r>
        <w:rPr>
          <w:spacing w:val="-44"/>
        </w:rPr>
      </w:r>
      <w:r>
        <w:rPr/>
        <w:t>税所得额时，转回减记的金额。</w:t>
      </w:r>
    </w:p>
    <w:p>
      <w:pPr>
        <w:pStyle w:val="Heading6"/>
        <w:spacing w:line="256" w:lineRule="auto" w:before="16"/>
        <w:ind w:right="0" w:firstLine="42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4"/>
        </w:rPr>
        <w:t> </w:t>
      </w:r>
      <w:r>
        <w:rPr>
          <w:spacing w:val="-3"/>
        </w:rPr>
        <w:t>公司当期所得税和递延所得税作为所得税费用或收益计入当期损益，但不包括下列情况产生的所得</w:t>
      </w:r>
      <w:r>
        <w:rPr>
          <w:w w:val="100"/>
        </w:rPr>
        <w:t> </w:t>
      </w:r>
      <w:r>
        <w:rPr/>
        <w:t>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直接在所有者权益中确认的交易或者事项。</w:t>
      </w:r>
    </w:p>
    <w:p>
      <w:pPr>
        <w:spacing w:line="240" w:lineRule="auto" w:before="4"/>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25</w:t>
      </w:r>
      <w:r>
        <w:rPr/>
        <w:t>、租赁</w:t>
      </w:r>
      <w:r>
        <w:rPr>
          <w:b w:val="0"/>
          <w:bCs w:val="0"/>
        </w:rPr>
      </w:r>
    </w:p>
    <w:p>
      <w:pPr>
        <w:spacing w:line="590" w:lineRule="atLeast" w:before="25"/>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公司为承租人时，在租赁期内各个期间按照直线法将租金计入相关资产成本或确认为当期损益，发生</w:t>
      </w:r>
    </w:p>
    <w:p>
      <w:pPr>
        <w:pStyle w:val="Heading6"/>
        <w:spacing w:line="273" w:lineRule="auto" w:before="37"/>
        <w:ind w:left="573" w:right="0" w:hanging="421"/>
        <w:jc w:val="left"/>
      </w:pPr>
      <w:r>
        <w:rPr/>
        <w:t>的初始直接费用，直接计入当期损益。或有租金在实际发生时计入当期损益。</w:t>
      </w:r>
      <w:r>
        <w:rPr>
          <w:w w:val="100"/>
        </w:rPr>
        <w:t> </w:t>
      </w:r>
      <w:r>
        <w:rPr>
          <w:spacing w:val="-2"/>
        </w:rPr>
        <w:t>公司为出租人时，在租赁期内各个期间按照直线法将租金确认为当期损益，发生的初始直接费用，除</w:t>
      </w:r>
    </w:p>
    <w:p>
      <w:pPr>
        <w:pStyle w:val="Heading6"/>
        <w:spacing w:line="240" w:lineRule="auto" w:before="7"/>
        <w:ind w:right="0"/>
        <w:jc w:val="left"/>
      </w:pPr>
      <w:r>
        <w:rPr/>
        <w:t>金额较大的予以资本化并分期计入损益外，均直接计入当期损益。或有租金在实际发生时计入当期损益。</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590" w:lineRule="atLeast" w:before="57"/>
        <w:ind w:left="573" w:right="329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、其他重要的会计政策和会计估计</w:t>
      </w:r>
      <w:r>
        <w:rPr>
          <w:rFonts w:ascii="宋体" w:hAnsi="宋体" w:cs="宋体" w:eastAsia="宋体" w:hint="default"/>
          <w:b/>
          <w:bCs/>
          <w:w w:val="100"/>
          <w:sz w:val="21"/>
          <w:szCs w:val="21"/>
        </w:rPr>
        <w:t> </w:t>
      </w:r>
      <w:r>
        <w:rPr>
          <w:rFonts w:ascii="宋体" w:hAnsi="宋体" w:cs="宋体" w:eastAsia="宋体" w:hint="default"/>
          <w:spacing w:val="-2"/>
          <w:sz w:val="21"/>
          <w:szCs w:val="21"/>
        </w:rPr>
        <w:t>终止经营的确认标准、会计处理方法</w:t>
      </w:r>
    </w:p>
    <w:p>
      <w:pPr>
        <w:pStyle w:val="Heading6"/>
        <w:spacing w:line="240" w:lineRule="auto" w:before="37"/>
        <w:ind w:left="573" w:right="0"/>
        <w:jc w:val="left"/>
      </w:pPr>
      <w:r>
        <w:rPr/>
        <w:t>满足下列条件之一的、已经被处置或划分为持有待售类别且能够单独区分的组成部分确认为终止经营：</w:t>
      </w:r>
    </w:p>
    <w:p>
      <w:pPr>
        <w:pStyle w:val="Heading6"/>
        <w:spacing w:line="240" w:lineRule="auto" w:before="37"/>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该组成部分代表一项独立的主要业务或一个单独的主要经营地区；</w:t>
      </w:r>
    </w:p>
    <w:p>
      <w:pPr>
        <w:pStyle w:val="Heading6"/>
        <w:spacing w:line="256" w:lineRule="auto" w:before="21"/>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该组成部分是拟对一项独立的主要业务或一个单独的主要经营地区进行处置的一项相关联计划的</w:t>
      </w:r>
      <w:r>
        <w:rPr>
          <w:w w:val="100"/>
        </w:rPr>
        <w:t> </w:t>
      </w:r>
      <w:r>
        <w:rPr/>
        <w:t>一部分；</w:t>
      </w:r>
    </w:p>
    <w:p>
      <w:pPr>
        <w:pStyle w:val="Heading6"/>
        <w:spacing w:line="256" w:lineRule="auto"/>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该组成部分是专为转售而取得的子公司。</w:t>
      </w:r>
      <w:r>
        <w:rPr>
          <w:w w:val="100"/>
        </w:rPr>
        <w:t> </w:t>
      </w:r>
      <w:r>
        <w:rPr>
          <w:spacing w:val="-2"/>
        </w:rPr>
        <w:t>本公司终止经营的情况见本财务报表附注其他重要事项之终止经营的说明。</w:t>
      </w:r>
    </w:p>
    <w:p>
      <w:pPr>
        <w:spacing w:line="240" w:lineRule="auto" w:before="9"/>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27</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4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日起执行财政部</w:t>
            </w:r>
          </w:p>
          <w:p>
            <w:pPr>
              <w:pStyle w:val="TableParagraph"/>
              <w:spacing w:line="309" w:lineRule="auto" w:before="60"/>
              <w:ind w:left="24" w:right="23"/>
              <w:jc w:val="left"/>
              <w:rPr>
                <w:rFonts w:ascii="宋体" w:hAnsi="宋体" w:cs="宋体" w:eastAsia="宋体" w:hint="default"/>
                <w:sz w:val="18"/>
                <w:szCs w:val="18"/>
              </w:rPr>
            </w:pPr>
            <w:r>
              <w:rPr>
                <w:rFonts w:ascii="宋体" w:hAnsi="宋体" w:cs="宋体" w:eastAsia="宋体" w:hint="default"/>
                <w:spacing w:val="-6"/>
                <w:sz w:val="18"/>
                <w:szCs w:val="18"/>
              </w:rPr>
              <w:t>制定的《企业会计准则第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 待售的非流动资产、处置组和终止经 </w:t>
            </w:r>
            <w:r>
              <w:rPr>
                <w:rFonts w:ascii="宋体" w:hAnsi="宋体" w:cs="宋体" w:eastAsia="宋体" w:hint="default"/>
                <w:spacing w:val="-31"/>
                <w:sz w:val="18"/>
                <w:szCs w:val="18"/>
              </w:rPr>
              <w:t>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本次会计政策变更采用未来适用法处理</w:t>
            </w:r>
          </w:p>
        </w:tc>
      </w:tr>
      <w:tr>
        <w:trPr>
          <w:trHeight w:val="67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日起执行经修订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的《企业会计准则第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本次会计政策变更采用未来适用法处理</w:t>
            </w:r>
          </w:p>
        </w:tc>
      </w:tr>
    </w:tbl>
    <w:p>
      <w:pPr>
        <w:spacing w:after="0" w:line="240" w:lineRule="auto"/>
        <w:jc w:val="center"/>
        <w:rPr>
          <w:rFonts w:ascii="宋体" w:hAnsi="宋体" w:cs="宋体" w:eastAsia="宋体" w:hint="default"/>
          <w:sz w:val="18"/>
          <w:szCs w:val="18"/>
        </w:rPr>
        <w:sectPr>
          <w:pgSz w:w="11910" w:h="16840"/>
          <w:pgMar w:header="877" w:footer="1186" w:top="1100" w:bottom="1380" w:left="980" w:right="80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36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助</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本公司编制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年度报表执行《财政 部关于修订印发一般企业财务报表格式 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，将原列 报于</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的非 流动资产处置利得和损失和非货币性资 产交换利得和损失变更为列报于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资产 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89"/>
              <w:jc w:val="left"/>
              <w:rPr>
                <w:rFonts w:ascii="宋体" w:hAnsi="宋体" w:cs="宋体" w:eastAsia="宋体" w:hint="default"/>
                <w:sz w:val="18"/>
                <w:szCs w:val="18"/>
              </w:rPr>
            </w:pPr>
            <w:r>
              <w:rPr>
                <w:rFonts w:ascii="宋体" w:hAnsi="宋体" w:cs="宋体" w:eastAsia="宋体" w:hint="default"/>
                <w:sz w:val="18"/>
                <w:szCs w:val="18"/>
              </w:rPr>
              <w:t>此项会计政策变更采用追溯调整法，调 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年度营业外收入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56,392.22 </w:t>
            </w:r>
            <w:r>
              <w:rPr>
                <w:rFonts w:ascii="宋体" w:hAnsi="宋体" w:cs="宋体" w:eastAsia="宋体" w:hint="default"/>
                <w:sz w:val="18"/>
                <w:szCs w:val="18"/>
              </w:rPr>
              <w:t>元，</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营业外支出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28,266.92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元，调增资产处置</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28,125.30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、免税</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4"/>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后余值的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0"/>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本公司、和仁云慧公司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天津和仁公司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广西和仁公司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before="0"/>
        <w:ind w:left="573"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0"/>
        </w:rPr>
        <w:t> </w:t>
      </w:r>
      <w:r>
        <w:rPr/>
        <w:t>根据财政部、国务税务总局《关于软件产品增值税政策的通知》（财税〔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号），本公司</w:t>
      </w:r>
    </w:p>
    <w:p>
      <w:pPr>
        <w:spacing w:after="0" w:line="240" w:lineRule="auto"/>
        <w:jc w:val="left"/>
        <w:sectPr>
          <w:footerReference w:type="default" r:id="rId24"/>
          <w:pgSz w:w="11910" w:h="16840"/>
          <w:pgMar w:footer="1186" w:header="877" w:top="1100" w:bottom="1380" w:left="980" w:right="980"/>
          <w:pgNumType w:start="110"/>
        </w:sectPr>
      </w:pPr>
    </w:p>
    <w:p>
      <w:pPr>
        <w:spacing w:line="240" w:lineRule="auto" w:before="12"/>
        <w:rPr>
          <w:rFonts w:ascii="宋体" w:hAnsi="宋体" w:cs="宋体" w:eastAsia="宋体" w:hint="default"/>
          <w:sz w:val="20"/>
          <w:szCs w:val="20"/>
        </w:rPr>
      </w:pPr>
    </w:p>
    <w:p>
      <w:pPr>
        <w:pStyle w:val="Heading6"/>
        <w:spacing w:line="256" w:lineRule="auto" w:before="36"/>
        <w:ind w:right="253"/>
        <w:jc w:val="left"/>
      </w:pPr>
      <w:r>
        <w:rPr>
          <w:spacing w:val="-3"/>
        </w:rPr>
        <w:t>自行开发研制的软件产品销售先按</w:t>
      </w:r>
      <w:r>
        <w:rPr>
          <w:rFonts w:ascii="Times New Roman" w:hAnsi="Times New Roman" w:cs="Times New Roman" w:eastAsia="Times New Roman" w:hint="default"/>
          <w:spacing w:val="-3"/>
        </w:rPr>
        <w:t>17%</w:t>
      </w:r>
      <w:r>
        <w:rPr>
          <w:spacing w:val="-3"/>
        </w:rPr>
        <w:t>的税率计缴增值税，其实际税负超过</w:t>
      </w:r>
      <w:r>
        <w:rPr>
          <w:rFonts w:ascii="Times New Roman" w:hAnsi="Times New Roman" w:cs="Times New Roman" w:eastAsia="Times New Roman" w:hint="default"/>
          <w:spacing w:val="-3"/>
        </w:rPr>
        <w:t>3%</w:t>
      </w:r>
      <w:r>
        <w:rPr>
          <w:spacing w:val="-3"/>
        </w:rPr>
        <w:t>部分经主管国家税务局审核</w:t>
      </w:r>
      <w:r>
        <w:rPr>
          <w:spacing w:val="-27"/>
        </w:rPr>
        <w:t> </w:t>
      </w:r>
      <w:r>
        <w:rPr>
          <w:spacing w:val="-27"/>
        </w:rPr>
      </w:r>
      <w:r>
        <w:rPr/>
        <w:t>后予以退税。</w:t>
      </w:r>
    </w:p>
    <w:p>
      <w:pPr>
        <w:pStyle w:val="Heading6"/>
        <w:spacing w:line="256" w:lineRule="auto"/>
        <w:ind w:right="20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根据浙江省高新技术企业认定管理工作领导小组《关于浙江省</w:t>
      </w:r>
      <w:r>
        <w:rPr>
          <w:rFonts w:ascii="Times New Roman" w:hAnsi="Times New Roman" w:cs="Times New Roman" w:eastAsia="Times New Roman" w:hint="default"/>
        </w:rPr>
        <w:t>2015</w:t>
      </w:r>
      <w:r>
        <w:rPr/>
        <w:t>年通过复审的</w:t>
      </w:r>
      <w:r>
        <w:rPr>
          <w:rFonts w:ascii="Times New Roman" w:hAnsi="Times New Roman" w:cs="Times New Roman" w:eastAsia="Times New Roman" w:hint="default"/>
        </w:rPr>
        <w:t>429</w:t>
      </w:r>
      <w:r>
        <w:rPr/>
        <w:t>家高新技术企</w:t>
      </w:r>
      <w:r>
        <w:rPr>
          <w:w w:val="100"/>
        </w:rPr>
        <w:t> </w:t>
      </w:r>
      <w:r>
        <w:rPr>
          <w:spacing w:val="-2"/>
        </w:rPr>
        <w:t>业的公示》（浙高企认〔</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2</w:t>
      </w:r>
      <w:r>
        <w:rPr>
          <w:spacing w:val="-2"/>
        </w:rPr>
        <w:t>号），本公司被认定为高新技术企业，认定有效期为</w:t>
      </w:r>
      <w:r>
        <w:rPr>
          <w:rFonts w:ascii="Times New Roman" w:hAnsi="Times New Roman" w:cs="Times New Roman" w:eastAsia="Times New Roman" w:hint="default"/>
          <w:spacing w:val="-2"/>
        </w:rPr>
        <w:t>3</w:t>
      </w:r>
      <w:r>
        <w:rPr>
          <w:spacing w:val="-2"/>
        </w:rPr>
        <w:t>年（</w:t>
      </w:r>
      <w:r>
        <w:rPr>
          <w:rFonts w:ascii="Times New Roman" w:hAnsi="Times New Roman" w:cs="Times New Roman" w:eastAsia="Times New Roman" w:hint="default"/>
          <w:spacing w:val="-2"/>
        </w:rPr>
        <w:t>2015</w:t>
      </w:r>
      <w:r>
        <w:rPr>
          <w:spacing w:val="-2"/>
        </w:rPr>
        <w:t>年至</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年）。本期按</w:t>
      </w:r>
      <w:r>
        <w:rPr>
          <w:rFonts w:ascii="Times New Roman" w:hAnsi="Times New Roman" w:cs="Times New Roman" w:eastAsia="Times New Roman" w:hint="default"/>
        </w:rPr>
        <w:t>15%</w:t>
      </w:r>
      <w:r>
        <w:rPr/>
        <w:t>的税率计缴企业所得税。</w:t>
      </w:r>
    </w:p>
    <w:p>
      <w:pPr>
        <w:pStyle w:val="Heading6"/>
        <w:spacing w:line="240" w:lineRule="auto" w:before="5"/>
        <w:ind w:left="489" w:right="106"/>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13"/>
        </w:rPr>
        <w:t> </w:t>
      </w:r>
      <w:r>
        <w:rPr>
          <w:spacing w:val="-3"/>
        </w:rPr>
        <w:t>根据江西省高企认定工作领导小组《关于公布江西省</w:t>
      </w:r>
      <w:r>
        <w:rPr>
          <w:rFonts w:ascii="Times New Roman" w:hAnsi="Times New Roman" w:cs="Times New Roman" w:eastAsia="Times New Roman" w:hint="default"/>
          <w:spacing w:val="-3"/>
        </w:rPr>
        <w:t>2016</w:t>
      </w:r>
      <w:r>
        <w:rPr>
          <w:spacing w:val="-3"/>
        </w:rPr>
        <w:t>年高新技术企业名单的通知》</w:t>
      </w:r>
      <w:r>
        <w:rPr>
          <w:rFonts w:ascii="Times New Roman" w:hAnsi="Times New Roman" w:cs="Times New Roman" w:eastAsia="Times New Roman" w:hint="default"/>
          <w:spacing w:val="-3"/>
        </w:rPr>
        <w:t>(</w:t>
      </w:r>
      <w:r>
        <w:rPr>
          <w:spacing w:val="-3"/>
        </w:rPr>
        <w:t>赣高企认发</w:t>
      </w:r>
    </w:p>
    <w:p>
      <w:pPr>
        <w:pStyle w:val="Heading6"/>
        <w:spacing w:line="256" w:lineRule="auto" w:before="21"/>
        <w:ind w:right="106"/>
        <w:jc w:val="left"/>
      </w:pPr>
      <w:r>
        <w:rPr>
          <w:spacing w:val="-1"/>
        </w:rPr>
        <w:t>〔</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2</w:t>
      </w:r>
      <w:r>
        <w:rPr>
          <w:spacing w:val="-1"/>
        </w:rPr>
        <w:t>号</w:t>
      </w:r>
      <w:r>
        <w:rPr>
          <w:rFonts w:ascii="Times New Roman" w:hAnsi="Times New Roman" w:cs="Times New Roman" w:eastAsia="Times New Roman" w:hint="default"/>
          <w:spacing w:val="-1"/>
        </w:rPr>
        <w:t>)</w:t>
      </w:r>
      <w:r>
        <w:rPr>
          <w:spacing w:val="-1"/>
        </w:rPr>
        <w:t>，控股子公司和仁云慧公司被认定为高新技术企业，认定有效期为</w:t>
      </w:r>
      <w:r>
        <w:rPr>
          <w:rFonts w:ascii="Times New Roman" w:hAnsi="Times New Roman" w:cs="Times New Roman" w:eastAsia="Times New Roman" w:hint="default"/>
          <w:spacing w:val="-1"/>
        </w:rPr>
        <w:t>3</w:t>
      </w:r>
      <w:r>
        <w:rPr>
          <w:spacing w:val="-1"/>
        </w:rPr>
        <w:t>年（</w:t>
      </w:r>
      <w:r>
        <w:rPr>
          <w:rFonts w:ascii="Times New Roman" w:hAnsi="Times New Roman" w:cs="Times New Roman" w:eastAsia="Times New Roman" w:hint="default"/>
          <w:spacing w:val="-1"/>
        </w:rPr>
        <w:t>2016</w:t>
      </w:r>
      <w:r>
        <w:rPr>
          <w:spacing w:val="-1"/>
        </w:rPr>
        <w:t>年至</w:t>
      </w:r>
      <w:r>
        <w:rPr>
          <w:rFonts w:ascii="Times New Roman" w:hAnsi="Times New Roman" w:cs="Times New Roman" w:eastAsia="Times New Roman" w:hint="default"/>
          <w:spacing w:val="-1"/>
        </w:rPr>
        <w:t>2018</w:t>
      </w:r>
      <w:r>
        <w:rPr>
          <w:spacing w:val="-1"/>
        </w:rPr>
        <w:t>年）。</w:t>
      </w:r>
      <w:r>
        <w:rPr>
          <w:spacing w:val="-49"/>
        </w:rPr>
        <w:t> </w:t>
      </w:r>
      <w:r>
        <w:rPr>
          <w:spacing w:val="-49"/>
        </w:rPr>
      </w:r>
      <w:r>
        <w:rPr/>
        <w:t>本期按</w:t>
      </w:r>
      <w:r>
        <w:rPr>
          <w:rFonts w:ascii="Times New Roman" w:hAnsi="Times New Roman" w:cs="Times New Roman" w:eastAsia="Times New Roman" w:hint="default"/>
        </w:rPr>
        <w:t>15%</w:t>
      </w:r>
      <w:r>
        <w:rPr/>
        <w:t>的税率计缴企业所得税。</w:t>
      </w:r>
    </w:p>
    <w:p>
      <w:pPr>
        <w:pStyle w:val="Heading6"/>
        <w:spacing w:line="264" w:lineRule="auto" w:before="5"/>
        <w:ind w:right="206"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spacing w:val="-7"/>
        </w:rPr>
        <w:t>根据财政部、国家税务总局《关于全面推开营业税改征增值税试点的通知》（财税〔</w:t>
      </w:r>
      <w:r>
        <w:rPr>
          <w:rFonts w:ascii="Times New Roman" w:hAnsi="Times New Roman" w:cs="Times New Roman" w:eastAsia="Times New Roman" w:hint="default"/>
          <w:spacing w:val="-7"/>
        </w:rPr>
        <w:t>2016</w:t>
      </w:r>
      <w:r>
        <w:rPr>
          <w:spacing w:val="-7"/>
        </w:rPr>
        <w:t>〕</w:t>
      </w:r>
      <w:r>
        <w:rPr>
          <w:rFonts w:ascii="Times New Roman" w:hAnsi="Times New Roman" w:cs="Times New Roman" w:eastAsia="Times New Roman" w:hint="default"/>
          <w:spacing w:val="-7"/>
        </w:rPr>
        <w:t>36</w:t>
      </w:r>
      <w:r>
        <w:rPr>
          <w:spacing w:val="-7"/>
        </w:rPr>
        <w:t>号），</w:t>
      </w:r>
      <w:r>
        <w:rPr>
          <w:w w:val="100"/>
        </w:rPr>
        <w:t> </w:t>
      </w:r>
      <w:r>
        <w:rPr>
          <w:spacing w:val="-2"/>
        </w:rPr>
        <w:t>提供技术转让、技术开发和与之相关的技术咨询、技术服务业务取得的收入，免缴增值税。本公司及控股</w:t>
      </w:r>
      <w:r>
        <w:rPr>
          <w:spacing w:val="-47"/>
        </w:rPr>
        <w:t> </w:t>
      </w:r>
      <w:r>
        <w:rPr>
          <w:spacing w:val="-47"/>
        </w:rPr>
      </w:r>
      <w:r>
        <w:rPr/>
        <w:t>子公司天津和仁公司对符合条件的技术开发收入免缴增值税。</w:t>
      </w:r>
    </w:p>
    <w:p>
      <w:pPr>
        <w:pStyle w:val="Heading6"/>
        <w:spacing w:line="261" w:lineRule="auto" w:before="16"/>
        <w:ind w:right="206" w:firstLine="42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32"/>
        </w:rPr>
        <w:t> </w:t>
      </w:r>
      <w:r>
        <w:rPr>
          <w:spacing w:val="-3"/>
        </w:rPr>
        <w:t>根据财政部、国家税务总局、海关总署《关于鼓励软件产业和集成电路产业发展有关税收政策问题</w:t>
      </w:r>
      <w:r>
        <w:rPr>
          <w:w w:val="100"/>
        </w:rPr>
        <w:t> </w:t>
      </w:r>
      <w:r>
        <w:rPr>
          <w:spacing w:val="-2"/>
        </w:rPr>
        <w:t>的通知》（财税〔</w:t>
      </w:r>
      <w:r>
        <w:rPr>
          <w:rFonts w:ascii="Times New Roman" w:hAnsi="Times New Roman" w:cs="Times New Roman" w:eastAsia="Times New Roman" w:hint="default"/>
          <w:spacing w:val="-2"/>
        </w:rPr>
        <w:t>2000</w:t>
      </w:r>
      <w:r>
        <w:rPr>
          <w:spacing w:val="-2"/>
        </w:rPr>
        <w:t>〕</w:t>
      </w:r>
      <w:r>
        <w:rPr>
          <w:rFonts w:ascii="Times New Roman" w:hAnsi="Times New Roman" w:cs="Times New Roman" w:eastAsia="Times New Roman" w:hint="default"/>
          <w:spacing w:val="-2"/>
        </w:rPr>
        <w:t>25</w:t>
      </w:r>
      <w:r>
        <w:rPr>
          <w:spacing w:val="-2"/>
        </w:rPr>
        <w:t>号），对我国境内新办软件生产企业经认定后，自开始获利年度起，企业所得</w:t>
      </w:r>
      <w:r>
        <w:rPr>
          <w:spacing w:val="-42"/>
        </w:rPr>
        <w:t> </w:t>
      </w:r>
      <w:r>
        <w:rPr>
          <w:spacing w:val="-42"/>
        </w:rPr>
      </w:r>
      <w:r>
        <w:rPr>
          <w:spacing w:val="-2"/>
        </w:rPr>
        <w:t>税可享受两免三减半税收优惠。控股子公司天津和仁公司由天津市软件行业协会认证为软件企业，并取得</w:t>
      </w:r>
      <w:r>
        <w:rPr>
          <w:spacing w:val="-43"/>
        </w:rPr>
        <w:t> </w:t>
      </w:r>
      <w:r>
        <w:rPr>
          <w:spacing w:val="-43"/>
        </w:rPr>
      </w:r>
      <w:r>
        <w:rPr>
          <w:spacing w:val="-3"/>
        </w:rPr>
        <w:t>编号为津</w:t>
      </w:r>
      <w:r>
        <w:rPr>
          <w:rFonts w:ascii="Times New Roman" w:hAnsi="Times New Roman" w:cs="Times New Roman" w:eastAsia="Times New Roman" w:hint="default"/>
          <w:spacing w:val="-3"/>
        </w:rPr>
        <w:t>RQ-2016-0115</w:t>
      </w:r>
      <w:r>
        <w:rPr>
          <w:spacing w:val="-3"/>
        </w:rPr>
        <w:t>的《软件企业认定证书》，经天津市经济技术开发区国税局第一税务所同意</w:t>
      </w:r>
      <w:r>
        <w:rPr>
          <w:rFonts w:ascii="Times New Roman" w:hAnsi="Times New Roman" w:cs="Times New Roman" w:eastAsia="Times New Roman" w:hint="default"/>
          <w:spacing w:val="-3"/>
        </w:rPr>
        <w:t>,</w:t>
      </w:r>
      <w:r>
        <w:rPr>
          <w:spacing w:val="-3"/>
        </w:rPr>
        <w:t>天津和</w:t>
      </w:r>
      <w:r>
        <w:rPr>
          <w:spacing w:val="-49"/>
        </w:rPr>
        <w:t> </w:t>
      </w:r>
      <w:r>
        <w:rPr/>
        <w:t>仁公司从</w:t>
      </w:r>
      <w:r>
        <w:rPr>
          <w:rFonts w:ascii="Times New Roman" w:hAnsi="Times New Roman" w:cs="Times New Roman" w:eastAsia="Times New Roman" w:hint="default"/>
        </w:rPr>
        <w:t>2016</w:t>
      </w:r>
      <w:r>
        <w:rPr/>
        <w:t>年度起享受两免三减半的税收优惠，本期享受免征企业所得税的税收优惠。</w:t>
      </w:r>
    </w:p>
    <w:p>
      <w:pPr>
        <w:pStyle w:val="Heading6"/>
        <w:spacing w:line="256" w:lineRule="auto" w:before="0"/>
        <w:ind w:right="106" w:firstLine="408"/>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8"/>
        </w:rPr>
        <w:t> </w:t>
      </w:r>
      <w:r>
        <w:rPr/>
        <w:t>根据财政部、国家税务总局《关于小型微利企业所得税优惠政策的通知》（财税〔</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34</w:t>
      </w:r>
      <w:r>
        <w:rPr/>
        <w:t>号），</w:t>
      </w:r>
      <w:r>
        <w:rPr>
          <w:w w:val="100"/>
        </w:rPr>
        <w:t> </w:t>
      </w:r>
      <w:r>
        <w:rPr/>
        <w:t>子公司广西和仁公司</w:t>
      </w:r>
      <w:r>
        <w:rPr>
          <w:rFonts w:ascii="Times New Roman" w:hAnsi="Times New Roman" w:cs="Times New Roman" w:eastAsia="Times New Roman" w:hint="default"/>
        </w:rPr>
        <w:t>2017</w:t>
      </w:r>
      <w:r>
        <w:rPr/>
        <w:t>年度属于小型微利企业，其所得减按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w:t>
      </w:r>
      <w:r>
        <w:rPr>
          <w:spacing w:val="-55"/>
        </w:rPr>
        <w:t> </w:t>
      </w:r>
      <w:r>
        <w:rPr/>
        <w:t>企业所得税。</w:t>
      </w:r>
    </w:p>
    <w:p>
      <w:pPr>
        <w:spacing w:line="240" w:lineRule="auto" w:before="8"/>
        <w:rPr>
          <w:rFonts w:ascii="宋体" w:hAnsi="宋体" w:cs="宋体" w:eastAsia="宋体" w:hint="default"/>
          <w:sz w:val="24"/>
          <w:szCs w:val="24"/>
        </w:rPr>
      </w:pPr>
    </w:p>
    <w:p>
      <w:pPr>
        <w:pStyle w:val="Heading5"/>
        <w:spacing w:line="240" w:lineRule="auto"/>
        <w:ind w:right="25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53"/>
        <w:jc w:val="left"/>
      </w:pPr>
      <w:r>
        <w:rPr/>
        <w:t>无</w:t>
      </w:r>
    </w:p>
    <w:p>
      <w:pPr>
        <w:spacing w:line="240" w:lineRule="auto" w:before="3"/>
        <w:rPr>
          <w:rFonts w:ascii="宋体" w:hAnsi="宋体" w:cs="宋体" w:eastAsia="宋体" w:hint="default"/>
          <w:sz w:val="25"/>
          <w:szCs w:val="25"/>
        </w:rPr>
      </w:pPr>
    </w:p>
    <w:p>
      <w:pPr>
        <w:pStyle w:val="Heading2"/>
        <w:spacing w:line="240" w:lineRule="auto"/>
        <w:ind w:right="253"/>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5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2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2,467.40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113,663,152.76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125,950,242.93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3,432,770.03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2,977,227.95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117,112,048.56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128,929,938.28</w:t>
            </w:r>
          </w:p>
        </w:tc>
      </w:tr>
    </w:tbl>
    <w:p>
      <w:pPr>
        <w:pStyle w:val="BodyText"/>
        <w:spacing w:line="240" w:lineRule="auto" w:before="49"/>
        <w:ind w:right="253"/>
        <w:jc w:val="left"/>
      </w:pPr>
      <w:r>
        <w:rPr/>
        <w:t>其他说明</w:t>
      </w:r>
    </w:p>
    <w:p>
      <w:pPr>
        <w:pStyle w:val="Heading6"/>
        <w:spacing w:line="256" w:lineRule="auto" w:before="94"/>
        <w:ind w:right="253" w:firstLine="420"/>
        <w:jc w:val="left"/>
      </w:pPr>
      <w:r>
        <w:rPr/>
        <w:t>其他货币资金中有票据保证金存款</w:t>
      </w:r>
      <w:r>
        <w:rPr>
          <w:rFonts w:ascii="Times New Roman" w:hAnsi="Times New Roman" w:cs="Times New Roman" w:eastAsia="Times New Roman" w:hint="default"/>
        </w:rPr>
        <w:t>1,351,282.56</w:t>
      </w:r>
      <w:r>
        <w:rPr/>
        <w:t>元、保函保证金存款</w:t>
      </w:r>
      <w:r>
        <w:rPr>
          <w:rFonts w:ascii="Times New Roman" w:hAnsi="Times New Roman" w:cs="Times New Roman" w:eastAsia="Times New Roman" w:hint="default"/>
        </w:rPr>
        <w:t>1,342,525.37</w:t>
      </w:r>
      <w:r>
        <w:rPr/>
        <w:t>元、农民工工资保证</w:t>
      </w:r>
      <w:r>
        <w:rPr>
          <w:w w:val="100"/>
        </w:rPr>
        <w:t> </w:t>
      </w:r>
      <w:r>
        <w:rPr/>
        <w:t>金专户存款</w:t>
      </w:r>
      <w:r>
        <w:rPr>
          <w:rFonts w:ascii="Times New Roman" w:hAnsi="Times New Roman" w:cs="Times New Roman" w:eastAsia="Times New Roman" w:hint="default"/>
        </w:rPr>
        <w:t>504,045.13</w:t>
      </w:r>
      <w:r>
        <w:rPr/>
        <w:t>元，均使用受限。</w:t>
      </w:r>
    </w:p>
    <w:p>
      <w:pPr>
        <w:spacing w:line="240" w:lineRule="auto" w:before="4"/>
        <w:rPr>
          <w:rFonts w:ascii="宋体" w:hAnsi="宋体" w:cs="宋体" w:eastAsia="宋体" w:hint="default"/>
          <w:sz w:val="23"/>
          <w:szCs w:val="23"/>
        </w:rPr>
      </w:pPr>
    </w:p>
    <w:p>
      <w:pPr>
        <w:pStyle w:val="Heading5"/>
        <w:spacing w:line="240" w:lineRule="auto"/>
        <w:ind w:right="253"/>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5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211"/>
        <w:jc w:val="right"/>
      </w:pPr>
      <w:r>
        <w:rPr/>
        <w:t>单位：</w:t>
      </w:r>
      <w:r>
        <w:rPr>
          <w:spacing w:val="1"/>
        </w:rPr>
        <w:t> </w:t>
      </w:r>
      <w:r>
        <w:rPr/>
        <w:t>元</w:t>
      </w:r>
    </w:p>
    <w:p>
      <w:pPr>
        <w:spacing w:after="0" w:line="240" w:lineRule="auto"/>
        <w:jc w:val="right"/>
        <w:sectPr>
          <w:pgSz w:w="11910" w:h="16840"/>
          <w:pgMar w:header="877" w:footer="1186" w:top="1100" w:bottom="1380" w:left="980" w:right="92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17,939,556.00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17,939,556.00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tcPr>
          <w:p>
            <w:pPr/>
          </w:p>
        </w:tc>
        <w:tc>
          <w:tcPr>
            <w:tcW w:w="4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49"/>
        <w:ind w:right="9054"/>
        <w:jc w:val="left"/>
      </w:pPr>
      <w:r>
        <w:rPr/>
        <w:t>其他说明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225,407,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372.83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29,598,7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17.61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13.13%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195,808,6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55.22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162,724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,676.61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16,882,99</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0.18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10.38%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145,841,68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6.43</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225,407,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372.83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29,598,7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17.61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13.13%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195,808,6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55.22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162,724</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,676.61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16,882,99</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0.18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10.38%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145,841,68</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6.43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6" w:top="1100" w:bottom="138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280" w:left="980" w:right="980"/>
          <w:cols w:num="2" w:equalWidth="0">
            <w:col w:w="4293" w:space="4536"/>
            <w:col w:w="1121"/>
          </w:cols>
        </w:sectPr>
      </w:pP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3"/>
        <w:gridCol w:w="2393"/>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84"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113,293,775.86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3,398,813.28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34,960,133.55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3,496,013.36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62,039,515.62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12,407,903.12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7,827,183.37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3,913,591.69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4,521,841.35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3,617,473.08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2,764,923.08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2,764,923.08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225,407,372.83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29,598,717.61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13.13%</w:t>
            </w:r>
          </w:p>
        </w:tc>
      </w:tr>
    </w:tbl>
    <w:p>
      <w:pPr>
        <w:pStyle w:val="BodyText"/>
        <w:spacing w:line="360" w:lineRule="auto" w:before="49"/>
        <w:ind w:right="5454"/>
        <w:jc w:val="left"/>
      </w:pPr>
      <w:r>
        <w:rPr/>
        <w:t>确定该组合依据的说明： 组合中，采用余额百分比法计提坏账准备的应收账款：</w:t>
      </w:r>
    </w:p>
    <w:p>
      <w:pPr>
        <w:pStyle w:val="BodyText"/>
        <w:spacing w:line="350" w:lineRule="auto" w:before="2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无</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100" w:bottom="280" w:left="980" w:right="980"/>
        </w:sectPr>
      </w:pPr>
    </w:p>
    <w:p>
      <w:pPr>
        <w:pStyle w:val="BodyText"/>
        <w:spacing w:line="340" w:lineRule="auto" w:before="44"/>
        <w:ind w:right="-13"/>
        <w:jc w:val="left"/>
      </w:pPr>
      <w:r>
        <w:rPr/>
        <w:t>本期计提坏账准备金额</w:t>
      </w:r>
      <w:r>
        <w:rPr>
          <w:spacing w:val="-46"/>
        </w:rPr>
        <w:t> </w:t>
      </w:r>
      <w:r>
        <w:rPr>
          <w:rFonts w:ascii="Times New Roman" w:hAnsi="Times New Roman" w:cs="Times New Roman" w:eastAsia="Times New Roman" w:hint="default"/>
        </w:rPr>
        <w:t>12,715,727.43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280" w:left="980" w:right="980"/>
          <w:cols w:num="2" w:equalWidth="0">
            <w:col w:w="6548" w:space="2281"/>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8"/>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40"/>
          <w:pgMar w:top="1100" w:bottom="28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其中重要的应收账款核销情况：</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49"/>
        <w:ind w:right="8154"/>
        <w:jc w:val="left"/>
      </w:pPr>
      <w:r>
        <w:rPr/>
        <w:t>应收账款核销说明：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pStyle w:val="Heading6"/>
        <w:spacing w:line="256" w:lineRule="auto" w:before="4"/>
        <w:ind w:right="0" w:firstLine="420"/>
        <w:jc w:val="left"/>
      </w:pPr>
      <w:r>
        <w:rPr>
          <w:spacing w:val="-1"/>
        </w:rPr>
        <w:t>期末余额前</w:t>
      </w:r>
      <w:r>
        <w:rPr>
          <w:rFonts w:ascii="Times New Roman" w:hAnsi="Times New Roman" w:cs="Times New Roman" w:eastAsia="Times New Roman" w:hint="default"/>
          <w:spacing w:val="-1"/>
        </w:rPr>
        <w:t>5</w:t>
      </w:r>
      <w:r>
        <w:rPr>
          <w:spacing w:val="-1"/>
        </w:rPr>
        <w:t>名的应收账款合计数为</w:t>
      </w:r>
      <w:r>
        <w:rPr>
          <w:rFonts w:ascii="Times New Roman" w:hAnsi="Times New Roman" w:cs="Times New Roman" w:eastAsia="Times New Roman" w:hint="default"/>
          <w:spacing w:val="-1"/>
        </w:rPr>
        <w:t>127,580,148.25</w:t>
      </w:r>
      <w:r>
        <w:rPr>
          <w:spacing w:val="-1"/>
        </w:rPr>
        <w:t>元，占应收账款期末余额合计数的比例为</w:t>
      </w:r>
      <w:r>
        <w:rPr>
          <w:rFonts w:ascii="Times New Roman" w:hAnsi="Times New Roman" w:cs="Times New Roman" w:eastAsia="Times New Roman" w:hint="default"/>
          <w:spacing w:val="-1"/>
        </w:rPr>
        <w:t>56.60%</w:t>
      </w:r>
      <w:r>
        <w:rPr>
          <w:spacing w:val="-1"/>
        </w:rPr>
        <w:t>，</w:t>
      </w:r>
      <w:r>
        <w:rPr>
          <w:w w:val="100"/>
        </w:rPr>
        <w:t> </w:t>
      </w:r>
      <w:r>
        <w:rPr/>
        <w:t>相应计提的坏账准备合计数为</w:t>
      </w:r>
      <w:r>
        <w:rPr>
          <w:rFonts w:ascii="Times New Roman" w:hAnsi="Times New Roman" w:cs="Times New Roman" w:eastAsia="Times New Roman" w:hint="default"/>
        </w:rPr>
        <w:t>14,830,521.45</w:t>
      </w:r>
      <w:r>
        <w:rPr/>
        <w:t>元。</w:t>
      </w:r>
    </w:p>
    <w:p>
      <w:pPr>
        <w:spacing w:line="240" w:lineRule="auto" w:before="4"/>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874"/>
        <w:jc w:val="left"/>
      </w:pPr>
      <w:r>
        <w:rPr/>
        <w:t>无 其他说明：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5,785,978.09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98.69%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2,490,984.51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99.77%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5,727.84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3,112.45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5,863,135.54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2,496,712.35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4916"/>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612" w:lineRule="exact" w:before="37"/>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100"/>
          <w:sz w:val="21"/>
          <w:szCs w:val="21"/>
        </w:rPr>
        <w:t> </w:t>
      </w:r>
      <w:r>
        <w:rPr>
          <w:rFonts w:ascii="宋体" w:hAnsi="宋体" w:cs="宋体" w:eastAsia="宋体" w:hint="default"/>
          <w:spacing w:val="-2"/>
          <w:sz w:val="21"/>
          <w:szCs w:val="21"/>
        </w:rPr>
        <w:t>期末余额前</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名的预付款项合计数为</w:t>
      </w:r>
      <w:r>
        <w:rPr>
          <w:rFonts w:ascii="Times New Roman" w:hAnsi="Times New Roman" w:cs="Times New Roman" w:eastAsia="Times New Roman" w:hint="default"/>
          <w:spacing w:val="-2"/>
          <w:sz w:val="21"/>
          <w:szCs w:val="21"/>
        </w:rPr>
        <w:t>3,288,213.72</w:t>
      </w:r>
      <w:r>
        <w:rPr>
          <w:rFonts w:ascii="宋体" w:hAnsi="宋体" w:cs="宋体" w:eastAsia="宋体" w:hint="default"/>
          <w:spacing w:val="-2"/>
          <w:sz w:val="21"/>
          <w:szCs w:val="21"/>
        </w:rPr>
        <w:t>元，占预付款项期末余额合计数的比例为</w:t>
      </w:r>
      <w:r>
        <w:rPr>
          <w:rFonts w:ascii="Times New Roman" w:hAnsi="Times New Roman" w:cs="Times New Roman" w:eastAsia="Times New Roman" w:hint="default"/>
          <w:spacing w:val="-2"/>
          <w:sz w:val="21"/>
          <w:szCs w:val="21"/>
        </w:rPr>
        <w:t>56.08%</w:t>
      </w:r>
      <w:r>
        <w:rPr>
          <w:rFonts w:ascii="宋体" w:hAnsi="宋体" w:cs="宋体" w:eastAsia="宋体" w:hint="default"/>
          <w:spacing w:val="-2"/>
          <w:sz w:val="21"/>
          <w:szCs w:val="21"/>
        </w:rPr>
        <w:t>。</w:t>
      </w:r>
    </w:p>
    <w:p>
      <w:pPr>
        <w:spacing w:after="0" w:line="612" w:lineRule="exact"/>
        <w:jc w:val="left"/>
        <w:rPr>
          <w:rFonts w:ascii="宋体" w:hAnsi="宋体" w:cs="宋体" w:eastAsia="宋体" w:hint="default"/>
          <w:sz w:val="21"/>
          <w:szCs w:val="21"/>
        </w:rPr>
        <w:sectPr>
          <w:pgSz w:w="11910" w:h="16840"/>
          <w:pgMar w:header="877" w:footer="1186" w:top="1100" w:bottom="1380" w:left="980" w:right="980"/>
        </w:sectPr>
      </w:pPr>
    </w:p>
    <w:p>
      <w:pPr>
        <w:spacing w:line="240" w:lineRule="auto" w:before="11"/>
        <w:rPr>
          <w:rFonts w:ascii="宋体" w:hAnsi="宋体" w:cs="宋体" w:eastAsia="宋体" w:hint="default"/>
          <w:sz w:val="21"/>
          <w:szCs w:val="21"/>
        </w:rPr>
      </w:pPr>
    </w:p>
    <w:p>
      <w:pPr>
        <w:pStyle w:val="BodyText"/>
        <w:spacing w:line="360" w:lineRule="auto" w:before="44"/>
        <w:ind w:right="8874"/>
        <w:jc w:val="left"/>
      </w:pPr>
      <w:r>
        <w:rPr/>
        <w:t>其他说明：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0"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18,830,1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02.29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81.60%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1,988,08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2.19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10.56%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16,842,02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0.10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16,594,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225.17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1,508,148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9.09%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15,086,076.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4,245,27</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8.96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18.40%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4,245,278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4,125,0</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87.56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19.91%</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4,125,087.5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23,075,3</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81.25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1,988,08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2.19</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8.62%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21,087,29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9.06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20,719,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312.73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1,508,148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7.28%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19,211,164.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4"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28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4"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4"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10,374,421.44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311,232.64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6,702,969.10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670,296.91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534,697.60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106,939.52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291,994.00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145,997.00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862,020.15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689,616.12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18,830,102.29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1,988,082.19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10.56%</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240" w:lineRule="auto" w:before="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100" w:bottom="28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组合中，采用其他方法计提坏账准备的其他应收款：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186" w:top="1100" w:bottom="1380" w:left="980" w:right="980"/>
        </w:sectPr>
      </w:pPr>
    </w:p>
    <w:p>
      <w:pPr>
        <w:pStyle w:val="BodyText"/>
        <w:spacing w:line="340" w:lineRule="auto" w:before="44"/>
        <w:ind w:right="-11"/>
        <w:jc w:val="left"/>
      </w:pPr>
      <w:r>
        <w:rPr/>
        <w:t>本期计提坏账准备金额</w:t>
      </w:r>
      <w:r>
        <w:rPr>
          <w:spacing w:val="-46"/>
        </w:rPr>
        <w:t> </w:t>
      </w:r>
      <w:r>
        <w:rPr>
          <w:rFonts w:ascii="Times New Roman" w:hAnsi="Times New Roman" w:cs="Times New Roman" w:eastAsia="Times New Roman" w:hint="default"/>
        </w:rPr>
        <w:t>502,733.58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280" w:left="980" w:right="980"/>
          <w:cols w:num="2" w:equalWidth="0">
            <w:col w:w="6325" w:space="2504"/>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8"/>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1"/>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无法收回的租金和押金</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22,800.00</w:t>
            </w:r>
          </w:p>
        </w:tc>
      </w:tr>
    </w:tbl>
    <w:p>
      <w:pPr>
        <w:pStyle w:val="BodyText"/>
        <w:spacing w:line="240" w:lineRule="auto" w:before="49"/>
        <w:ind w:right="0"/>
        <w:jc w:val="left"/>
      </w:pPr>
      <w:r>
        <w:rPr/>
        <w:t>其中重要的其他应收款核销情况：</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6"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49"/>
        <w:ind w:right="7974"/>
        <w:jc w:val="left"/>
      </w:pPr>
      <w:r>
        <w:rPr/>
        <w:t>其他应收款核销说明：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17,095,395.31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13,324,421.70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1,134,730.15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1,329,260.85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452,215.47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1,600,022.17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4,245,278.96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4,125,087.56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147,761.36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340,520.45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23,075,381.25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20,719,312.73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6"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100" w:bottom="2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广西中医药大学第 一附属医院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5,495,002.90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294,000.29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杭州市国家税务局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软件销售增值税退 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4,245,278.96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18.40%</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金湖县住房和城乡 建设局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1,745,512.90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141,581.29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重庆市第四人民医 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885,894.00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88,589.40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pacing w:val="-1"/>
                <w:sz w:val="18"/>
              </w:rPr>
              <w:t>14,371,688.76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62.28%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724,170.98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3"/>
        <w:gridCol w:w="1916"/>
        <w:gridCol w:w="1913"/>
        <w:gridCol w:w="1918"/>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杭州市国家税务局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软件产品增值税超税负 退税款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4,245,278.96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日已收到</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4,245,278.96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8"/>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57" w:lineRule="auto"/>
        <w:ind w:right="8874"/>
        <w:jc w:val="left"/>
      </w:pPr>
      <w:r>
        <w:rPr/>
        <w:t>无 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534"/>
        <w:jc w:val="left"/>
      </w:pPr>
      <w:r>
        <w:rPr/>
        <w:t>公司是否需要遵守房地产行业的披露要求 否</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451,721.21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451,721.21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791,661.76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791,661.76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301,568.39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301,568.39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1,243,382.97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1,243,382.97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301,568.39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301,568.39</w:t>
            </w:r>
          </w:p>
        </w:tc>
      </w:tr>
    </w:tbl>
    <w:p>
      <w:pPr>
        <w:pStyle w:val="BodyText"/>
        <w:spacing w:line="338" w:lineRule="auto" w:before="49"/>
        <w:ind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right="7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4"/>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8"/>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773,364.49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1,038,172.51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172,507.58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11,295.31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143,983.31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2,111,931.78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136,089,855.38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98,161,399.60</w:t>
            </w:r>
          </w:p>
        </w:tc>
      </w:tr>
    </w:tbl>
    <w:p>
      <w:pPr>
        <w:pStyle w:val="BodyText"/>
        <w:spacing w:line="357" w:lineRule="auto" w:before="49"/>
        <w:ind w:right="8874"/>
        <w:jc w:val="left"/>
      </w:pPr>
      <w:r>
        <w:rPr/>
        <w:t>其他说明： 无</w:t>
      </w:r>
    </w:p>
    <w:p>
      <w:pPr>
        <w:spacing w:after="0" w:line="357" w:lineRule="auto"/>
        <w:jc w:val="left"/>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8</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2"/>
        <w:gridCol w:w="1166"/>
        <w:gridCol w:w="1167"/>
        <w:gridCol w:w="1166"/>
        <w:gridCol w:w="1169"/>
        <w:gridCol w:w="1166"/>
        <w:gridCol w:w="1167"/>
        <w:gridCol w:w="1164"/>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0"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202"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6"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19,780,080.00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19,780,080.00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19,780,080.00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19,780,080.00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9054"/>
        <w:jc w:val="left"/>
      </w:pPr>
      <w:r>
        <w:rPr/>
        <w:t>无 其他说明</w:t>
      </w:r>
    </w:p>
    <w:p>
      <w:pPr>
        <w:pStyle w:val="Heading6"/>
        <w:spacing w:line="273" w:lineRule="auto" w:before="4"/>
        <w:ind w:right="0" w:firstLine="420"/>
        <w:jc w:val="left"/>
      </w:pPr>
      <w:r>
        <w:rPr>
          <w:spacing w:val="-2"/>
        </w:rPr>
        <w:t>长期应收款系分期收款的医疗信息化建设项目按照完工进度确认的应收款项，待项目验收后按照实际</w:t>
      </w:r>
      <w:r>
        <w:rPr>
          <w:w w:val="100"/>
        </w:rPr>
        <w:t> </w:t>
      </w:r>
      <w:r>
        <w:rPr/>
        <w:t>利率法确认并摊销未确认融资收益。</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62,042,650.51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62,042,650.51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62,042,650.51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62,042,650.51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62,042,650.51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62,042,650.51</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2,328,684.38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2,328,684.38</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2,328,684.38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2,328,684.38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2,328,684.38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2,328,684.38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1186" w:header="877" w:top="1100" w:bottom="1380" w:left="980" w:right="980"/>
          <w:pgNumType w:start="12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0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59,713,966.13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59,713,966.13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医疗信息化产品生产基地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59,713,966.13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正在办理中，预计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年底办妥</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3"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10,403,679.72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1,104,248.68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11,507,928.40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116,662,409.42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2,968,283.72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5,905.00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119,636,598.14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2,968,283.72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5,905.00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2,974,188.72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116,662,409.42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116,662,409.42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691,656.29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691,656.29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691,656.29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691,656.29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116,662,409.42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12,680,307.15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1,110,153.68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130,452,870.25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4,404,178.31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308,245.41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4,712,423.72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4,378,760.95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2,642,378.95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206,068.92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7,227,208.82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4,378,760.95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2,642,378.95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206,068.92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7,227,208.82</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456,860.69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456,860.69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456,860.69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456,860.69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4,378,760.95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6,589,696.57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514,314.33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11,482,771.85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112,283,648.47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6,090,610.58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595,839.35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118,970,098.40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5,999,501.41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796,003.27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6,795,504.68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医疗信息化产品生产基地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2" w:right="0"/>
              <w:jc w:val="left"/>
              <w:rPr>
                <w:rFonts w:ascii="Times New Roman" w:hAnsi="Times New Roman" w:cs="Times New Roman" w:eastAsia="Times New Roman" w:hint="default"/>
                <w:sz w:val="18"/>
                <w:szCs w:val="18"/>
              </w:rPr>
            </w:pPr>
            <w:r>
              <w:rPr>
                <w:rFonts w:ascii="Times New Roman"/>
                <w:sz w:val="18"/>
              </w:rPr>
              <w:t>112,283,648.47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年底办妥</w:t>
            </w:r>
          </w:p>
        </w:tc>
      </w:tr>
    </w:tbl>
    <w:p>
      <w:pPr>
        <w:pStyle w:val="BodyText"/>
        <w:spacing w:line="357" w:lineRule="auto" w:before="49"/>
        <w:ind w:right="9054"/>
        <w:jc w:val="left"/>
      </w:pPr>
      <w:r>
        <w:rPr/>
        <w:t>其他说明 无</w:t>
      </w:r>
    </w:p>
    <w:p>
      <w:pPr>
        <w:spacing w:after="0" w:line="357" w:lineRule="auto"/>
        <w:jc w:val="left"/>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医疗信息化产品 生产基地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155,570,537.30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155,570,537.30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155,570,537.30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155,570,537.30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医疗信 息化产 品生产 基地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196,300,</w:t>
            </w:r>
          </w:p>
          <w:p>
            <w:pPr>
              <w:pStyle w:val="TableParagraph"/>
              <w:spacing w:line="240" w:lineRule="auto" w:before="103"/>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155,570,</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537.30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23,134,5</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22.63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178,705,</w:t>
            </w:r>
          </w:p>
          <w:p>
            <w:pPr>
              <w:pStyle w:val="TableParagraph"/>
              <w:spacing w:line="240" w:lineRule="auto" w:before="103"/>
              <w:ind w:left="185" w:right="0"/>
              <w:jc w:val="center"/>
              <w:rPr>
                <w:rFonts w:ascii="Times New Roman" w:hAnsi="Times New Roman" w:cs="Times New Roman" w:eastAsia="Times New Roman" w:hint="default"/>
                <w:sz w:val="18"/>
                <w:szCs w:val="18"/>
              </w:rPr>
            </w:pPr>
            <w:r>
              <w:rPr>
                <w:rFonts w:ascii="Times New Roman"/>
                <w:sz w:val="18"/>
              </w:rPr>
              <w:t>059.93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91.04%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6,055,25</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0.80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196,300,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155,570,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537.30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23,134,5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178,705,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059.93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6,055,25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357" w:lineRule="auto" w:before="50"/>
        <w:ind w:right="9054"/>
        <w:jc w:val="left"/>
      </w:pPr>
      <w:r>
        <w:rPr/>
        <w:t>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3"/>
        <w:gridCol w:w="1593"/>
        <w:gridCol w:w="1596"/>
        <w:gridCol w:w="1594"/>
        <w:gridCol w:w="1594"/>
        <w:gridCol w:w="1594"/>
      </w:tblGrid>
      <w:tr>
        <w:trPr>
          <w:trHeight w:val="40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3"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4,964,600.00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5,416,719.13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10,381,319.13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4,459,894.22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4,459,894.22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820,754.72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820,754.72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3,639,139.50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3,639,139.50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4,964,600.00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9,876,613.35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14,841,213.35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430,265.16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2,294,372.44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2,724,637.60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99,291.96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1,912,951.13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2,012,243.09</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99,291.96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1,912,951.13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2,012,243.09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529,557.12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4,207,323.57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4,736,880.69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4,435,042.88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5,669,289.78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10,104,332.66</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4,534,334.84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3,122,346.69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7,656,681.53</w:t>
            </w:r>
          </w:p>
        </w:tc>
      </w:tr>
    </w:tbl>
    <w:p>
      <w:pPr>
        <w:pStyle w:val="BodyText"/>
        <w:spacing w:line="240" w:lineRule="auto" w:before="49"/>
        <w:ind w:right="0"/>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43.43%</w:t>
      </w:r>
      <w:r>
        <w:rPr/>
        <w:t>。</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14</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智慧云医疗 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2,511,792.95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1,127,346.55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3,639,139.50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2,511,792.95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1,127,346.55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3,639,139.50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无</w:t>
      </w:r>
      <w:r>
        <w:rPr>
          <w:spacing w:val="-53"/>
        </w:rPr>
        <w:t> </w:t>
      </w:r>
      <w:r>
        <w:rPr>
          <w:rFonts w:ascii="Times New Roman" w:hAnsi="Times New Roman" w:cs="Times New Roman" w:eastAsia="Times New Roman" w:hint="default"/>
        </w:rPr>
        <w:t>15</w:t>
      </w:r>
      <w:r>
        <w:rPr/>
        <w:t>、长期待摊费用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551,215.46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928,855.37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223,159.62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1,256,911.21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551,215.46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928,855.37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223,159.62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1,256,911.21</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29,350,554.19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4,397,737.30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16,707,715.32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2,502,904.66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工会经费及职工教育经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4,253,814.50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638,072.18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2,923,912.54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438,586.88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6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1,097,104.79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159,736.88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559,235.05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82,125.34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34,701,473.48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5,195,546.36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20,190,862.91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3,023,616.88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5"/>
        <w:gridCol w:w="1905"/>
        <w:gridCol w:w="1914"/>
        <w:gridCol w:w="1914"/>
        <w:gridCol w:w="1903"/>
      </w:tblGrid>
      <w:tr>
        <w:trPr>
          <w:trHeight w:val="161"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0"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5,195,546.36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3,023,616.88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248,163.42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175,570.24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12,577,192.70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7,737,114.41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12,825,356.12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7,912,684.65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797,032.40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447,987.48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447,987.48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695,060.46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695,060.46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1,201,658.44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1,201,658.44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4,595,375.63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4,595,375.63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5,637,110.69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12,577,192.70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7,737,114.41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8874"/>
        <w:jc w:val="left"/>
      </w:pPr>
      <w:r>
        <w:rPr/>
        <w:t>其他说明： 无</w:t>
      </w:r>
    </w:p>
    <w:p>
      <w:pPr>
        <w:spacing w:after="0" w:line="360" w:lineRule="auto"/>
        <w:jc w:val="left"/>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7974"/>
        <w:jc w:val="left"/>
      </w:pPr>
      <w:r>
        <w:rPr/>
        <w:t>短期借款分类的说明： 无</w:t>
      </w:r>
    </w:p>
    <w:p>
      <w:pPr>
        <w:spacing w:line="240" w:lineRule="auto" w:before="5"/>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18</w:t>
      </w:r>
      <w:r>
        <w:rPr/>
        <w:t>、应付票据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4,504,275.20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3,216,421.50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4,504,275.20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3,216,421.50</w:t>
            </w:r>
          </w:p>
        </w:tc>
      </w:tr>
    </w:tbl>
    <w:p>
      <w:pPr>
        <w:pStyle w:val="BodyText"/>
        <w:spacing w:line="240" w:lineRule="auto" w:before="49"/>
        <w:ind w:right="0"/>
        <w:jc w:val="left"/>
      </w:pPr>
      <w:r>
        <w:rPr/>
        <w:t>本期末已到期未支付的应付票据总额为</w:t>
      </w:r>
      <w:r>
        <w:rPr>
          <w:spacing w:val="-45"/>
        </w:rPr>
        <w:t> </w:t>
      </w:r>
      <w:r>
        <w:rPr>
          <w:rFonts w:ascii="Times New Roman" w:hAnsi="Times New Roman" w:cs="Times New Roman" w:eastAsia="Times New Roman" w:hint="default"/>
        </w:rPr>
        <w:t>760,000.00</w:t>
      </w:r>
      <w:r>
        <w:rPr>
          <w:rFonts w:ascii="Times New Roman" w:hAnsi="Times New Roman" w:cs="Times New Roman" w:eastAsia="Times New Roman" w:hint="default"/>
          <w:spacing w:val="1"/>
        </w:rPr>
        <w:t> </w:t>
      </w:r>
      <w:r>
        <w:rPr/>
        <w:t>元，已于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2 </w:t>
      </w:r>
      <w:r>
        <w:rPr/>
        <w:t>日承兑。</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88,651,491.23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50,304,958.50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应付长期资产购置款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23,554,100.03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17,500,194.17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13,075.97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112,218,667.23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67,805,152.67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5,852,039.28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7,699,513.26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5,852,039.28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7,699,513.26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12,798,805.93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80,618,198.37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76,999,764.30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16,417,240.00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430,354.02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7,756,752.49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7,687,212.37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499,894.14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13,229,159.95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88,374,950.86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84,686,976.67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16,917,134.14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9,558,195.62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68,313,029.13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65,989,446.08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11,881,778.67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922,409.55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922,409.55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315,557.53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4,548,476.70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4,585,880.13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278,154.10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284,529.80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4,028,379.04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4,065,721.83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247,187.01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6,881.77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166,741.14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164,727.20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8,895.71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24,145.96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353,356.52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355,431.10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22,071.38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4,801,717.10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4,801,717.10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2,925,052.78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2,032,565.89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700,311.44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4,257,307.23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12,798,805.93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80,618,198.37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76,999,764.30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16,417,240.00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406,227.68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7,440,021.34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7,363,460.07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482,788.95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24,126.34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316,731.15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323,752.30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17,105.19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430,354.02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7,756,752.49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7,687,212.37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499,894.14</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3,785,511.02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142,977.77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2,768,059.28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5,661,420.08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298,908.29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282,988.33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450,991.37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257,196.55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193,265.70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110,210.79</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128,870.98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73,501.53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60,090.04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2,030.48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25,600.24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11,514.67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353,048.69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8,026,316.05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6,600,897.76</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23</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30,103.94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30,103.94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重要的已逾期未支付的利息情况：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24</w:t>
      </w:r>
      <w:r>
        <w:rPr/>
        <w:t>、应付股利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38" w:lineRule="auto" w:before="50"/>
        <w:ind w:right="4014"/>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预提及代垫费用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2,944,579.17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2,129,021.75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2,465,534.88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1,352,900.00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代扣笔记本电脑款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29,662.09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140,166.17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41,573.31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5,550,280.22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3,553,157.15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26</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1,097,104.79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559,235.05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维保费</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1,097,104.79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559,235.05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5094"/>
        <w:jc w:val="left"/>
      </w:pPr>
      <w:r>
        <w:rPr/>
        <w:t>其他说明，包括重要预计负债的相关重要假设、估计说明：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27</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7"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80,000,000.00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80,000,000.00</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28</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226,783,020.02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226,783,020.02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226,783,020.02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226,783,020.02</w:t>
            </w:r>
          </w:p>
        </w:tc>
      </w:tr>
    </w:tbl>
    <w:p>
      <w:pPr>
        <w:pStyle w:val="BodyText"/>
        <w:spacing w:line="360" w:lineRule="auto" w:before="49"/>
        <w:ind w:right="5634"/>
        <w:jc w:val="left"/>
      </w:pPr>
      <w:r>
        <w:rPr/>
        <w:t>其他说明，包括本期增减变动情况、变动原因说明：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29</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17,715,168.46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3,048,546.63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20,763,715.09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17,715,168.46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3,048,546.63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20,763,715.09</w:t>
            </w:r>
          </w:p>
        </w:tc>
      </w:tr>
    </w:tbl>
    <w:p>
      <w:pPr>
        <w:pStyle w:val="BodyText"/>
        <w:spacing w:line="357" w:lineRule="auto" w:before="49"/>
        <w:ind w:right="5274"/>
        <w:jc w:val="left"/>
      </w:pPr>
      <w:r>
        <w:rPr/>
        <w:t>盈余公积说明，包括本期增减变动情况、变动原因说明：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30</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155,437,215.88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108,786,825.48</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155,437,215.88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108,786,825.48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32,904,573.34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52,070,995.55</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3,048,546.63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5,420,605.15</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177,293,242.59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155,437,215.88</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31</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270,602,354.98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140,636,216.15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235,640,231.16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104,563,538.13</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5,655,572.42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2,553,965.41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276,257,927.40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143,190,181.56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235,640,231.16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104,563,538.13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32</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1,241,498.89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1,506,614.99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532,067.77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645,607.73</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2,310,021.86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40,060.03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413,671.99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69,438.19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354,596.92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430,108.50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4,875,547.43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2,697,449.44</w:t>
            </w:r>
          </w:p>
        </w:tc>
      </w:tr>
    </w:tbl>
    <w:p>
      <w:pPr>
        <w:pStyle w:val="BodyText"/>
        <w:spacing w:line="240" w:lineRule="auto" w:before="49"/>
        <w:ind w:right="0"/>
        <w:jc w:val="left"/>
      </w:pPr>
      <w:r>
        <w:rPr/>
        <w:t>其他说明：</w:t>
      </w:r>
    </w:p>
    <w:p>
      <w:pPr>
        <w:pStyle w:val="Heading6"/>
        <w:spacing w:line="256" w:lineRule="auto" w:before="94"/>
        <w:ind w:right="148" w:firstLine="420"/>
        <w:jc w:val="both"/>
      </w:pPr>
      <w:r>
        <w:rPr>
          <w:spacing w:val="-1"/>
        </w:rPr>
        <w:t>根据财政部《增值税会计处理规定》</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2016</w:t>
      </w:r>
      <w:r>
        <w:rPr>
          <w:spacing w:val="-1"/>
        </w:rPr>
        <w:t>〕</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以及《关于</w:t>
      </w:r>
      <w:r>
        <w:rPr>
          <w:rFonts w:ascii="Times New Roman" w:hAnsi="Times New Roman" w:cs="Times New Roman" w:eastAsia="Times New Roman" w:hint="default"/>
          <w:spacing w:val="-1"/>
        </w:rPr>
        <w:t>&lt;</w:t>
      </w:r>
      <w:r>
        <w:rPr>
          <w:spacing w:val="-1"/>
        </w:rPr>
        <w:t>增值税会计处理规定</w:t>
      </w:r>
      <w:r>
        <w:rPr>
          <w:rFonts w:ascii="Times New Roman" w:hAnsi="Times New Roman" w:cs="Times New Roman" w:eastAsia="Times New Roman" w:hint="default"/>
          <w:spacing w:val="-1"/>
        </w:rPr>
        <w:t>&gt;</w:t>
      </w:r>
      <w:r>
        <w:rPr>
          <w:spacing w:val="-1"/>
        </w:rPr>
        <w:t>有关问题</w:t>
      </w:r>
      <w:r>
        <w:rPr>
          <w:w w:val="100"/>
        </w:rPr>
        <w:t> </w:t>
      </w:r>
      <w:r>
        <w:rPr>
          <w:spacing w:val="-7"/>
        </w:rPr>
        <w:t>的解读》，本公司将</w:t>
      </w:r>
      <w:r>
        <w:rPr>
          <w:rFonts w:ascii="Times New Roman" w:hAnsi="Times New Roman" w:cs="Times New Roman" w:eastAsia="Times New Roman" w:hint="default"/>
          <w:spacing w:val="-7"/>
        </w:rPr>
        <w:t>2016</w:t>
      </w:r>
      <w:r>
        <w:rPr>
          <w:spacing w:val="-7"/>
        </w:rPr>
        <w:t>年</w:t>
      </w:r>
      <w:r>
        <w:rPr>
          <w:rFonts w:ascii="Times New Roman" w:hAnsi="Times New Roman" w:cs="Times New Roman" w:eastAsia="Times New Roman" w:hint="default"/>
          <w:spacing w:val="-7"/>
        </w:rPr>
        <w:t>5-12</w:t>
      </w:r>
      <w:r>
        <w:rPr>
          <w:spacing w:val="-7"/>
        </w:rPr>
        <w:t>月及</w:t>
      </w:r>
      <w:r>
        <w:rPr>
          <w:rFonts w:ascii="Times New Roman" w:hAnsi="Times New Roman" w:cs="Times New Roman" w:eastAsia="Times New Roman" w:hint="default"/>
          <w:spacing w:val="-7"/>
        </w:rPr>
        <w:t>2017</w:t>
      </w:r>
      <w:r>
        <w:rPr>
          <w:spacing w:val="-7"/>
        </w:rPr>
        <w:t>年度房产税、车船使用税、土地使用税和印花税的发生额列报于</w:t>
      </w:r>
      <w:r>
        <w:rPr>
          <w:rFonts w:ascii="Times New Roman" w:hAnsi="Times New Roman" w:cs="Times New Roman" w:eastAsia="Times New Roman" w:hint="default"/>
          <w:spacing w:val="-7"/>
        </w:rPr>
        <w:t>“</w:t>
      </w:r>
      <w:r>
        <w:rPr>
          <w:spacing w:val="-7"/>
        </w:rPr>
        <w:t>税</w:t>
      </w:r>
      <w:r>
        <w:rPr>
          <w:spacing w:val="-31"/>
        </w:rPr>
        <w:t> </w:t>
      </w:r>
      <w:r>
        <w:rPr/>
        <w:t>金及附加</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月之前的发生额仍列报于</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w:t>
      </w:r>
    </w:p>
    <w:p>
      <w:pPr>
        <w:spacing w:line="240" w:lineRule="auto" w:before="5"/>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33</w:t>
      </w:r>
      <w:r>
        <w:rPr/>
        <w:t>、销售费用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14,645,573.54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7,072,208.52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2,852,194.38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2,717,132.44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4,050,934.59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3,485,235.74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2,600,227.88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2,241,110.69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2,579,285.29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1,421,041.17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2,279,130.83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1,193,227.20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29,007,346.51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18,129,955.76</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34</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39,700,995.79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37,183,105.66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15,092,324.61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15,149,713.96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2,713,261.88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1,190,411.75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2,000,697.77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1,112,486.36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1,282,794.95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1,008,208.69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3,997,839.95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4,434,571.71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64,787,914.95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60,078,498.13</w:t>
            </w:r>
          </w:p>
        </w:tc>
      </w:tr>
    </w:tbl>
    <w:p>
      <w:pPr>
        <w:pStyle w:val="BodyText"/>
        <w:spacing w:line="357" w:lineRule="auto" w:before="49"/>
        <w:ind w:right="8874"/>
        <w:jc w:val="left"/>
      </w:pPr>
      <w:r>
        <w:rPr/>
        <w:t>其他说明： 无</w:t>
      </w:r>
    </w:p>
    <w:p>
      <w:pPr>
        <w:spacing w:after="0" w:line="357" w:lineRule="auto"/>
        <w:jc w:val="left"/>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35</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472,334.61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42,635.30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-504,538.08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-463,137.80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48,239.09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74,073.52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-346,428.98</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36</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13,218,461.01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9,911,660.88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13,218,461.01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9,911,660.88</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37</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3,945,477.07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390,663.25</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3,945,477.07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390,663.25</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1"/>
        <w:ind w:right="0"/>
        <w:jc w:val="left"/>
        <w:rPr>
          <w:b w:val="0"/>
          <w:bCs w:val="0"/>
        </w:rPr>
      </w:pPr>
      <w:r>
        <w:rPr>
          <w:rFonts w:ascii="Times New Roman" w:hAnsi="Times New Roman" w:cs="Times New Roman" w:eastAsia="Times New Roman" w:hint="default"/>
        </w:rPr>
        <w:t>38</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28,125.30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39</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12,352,860.22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40</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17,251,934.12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8,547.26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8,547.26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508,547.26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17,251,934.65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508,547.26</w:t>
            </w:r>
          </w:p>
        </w:tc>
      </w:tr>
    </w:tbl>
    <w:p>
      <w:pPr>
        <w:pStyle w:val="BodyText"/>
        <w:spacing w:line="240" w:lineRule="auto" w:before="49"/>
        <w:ind w:right="0"/>
        <w:jc w:val="left"/>
      </w:pPr>
      <w:r>
        <w:rPr/>
        <w:t>计入当期损益的政府补助：</w:t>
      </w:r>
    </w:p>
    <w:p>
      <w:pPr>
        <w:pStyle w:val="BodyText"/>
        <w:spacing w:line="240" w:lineRule="auto" w:before="118"/>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30"/>
              <w:jc w:val="left"/>
              <w:rPr>
                <w:rFonts w:ascii="宋体" w:hAnsi="宋体" w:cs="宋体" w:eastAsia="宋体" w:hint="default"/>
                <w:sz w:val="18"/>
                <w:szCs w:val="18"/>
              </w:rPr>
            </w:pPr>
            <w:r>
              <w:rPr>
                <w:rFonts w:ascii="宋体" w:hAnsi="宋体" w:cs="宋体" w:eastAsia="宋体" w:hint="default"/>
                <w:sz w:val="18"/>
                <w:szCs w:val="18"/>
              </w:rPr>
              <w:t>增值税超税 负退税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国家金库天 津经济技术 开发区支库</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168,119.66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130"/>
              <w:jc w:val="left"/>
              <w:rPr>
                <w:rFonts w:ascii="宋体" w:hAnsi="宋体" w:cs="宋体" w:eastAsia="宋体" w:hint="default"/>
                <w:sz w:val="18"/>
                <w:szCs w:val="18"/>
              </w:rPr>
            </w:pPr>
            <w:r>
              <w:rPr>
                <w:rFonts w:ascii="宋体" w:hAnsi="宋体" w:cs="宋体" w:eastAsia="宋体" w:hint="default"/>
                <w:sz w:val="18"/>
                <w:szCs w:val="18"/>
              </w:rPr>
              <w:t>增值税超税 负退税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杭州市国库 滨江区支库</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8,935,337.54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4" w:right="130"/>
              <w:jc w:val="left"/>
              <w:rPr>
                <w:rFonts w:ascii="宋体" w:hAnsi="宋体" w:cs="宋体" w:eastAsia="宋体" w:hint="default"/>
                <w:sz w:val="18"/>
                <w:szCs w:val="18"/>
              </w:rPr>
            </w:pPr>
            <w:r>
              <w:rPr>
                <w:rFonts w:ascii="宋体" w:hAnsi="宋体" w:cs="宋体" w:eastAsia="宋体" w:hint="default"/>
                <w:sz w:val="18"/>
                <w:szCs w:val="18"/>
              </w:rPr>
              <w:t>人才激励专 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杭州市滨江 区财政局财 政零余额户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135,728.00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瞪羚企业房 </w:t>
            </w:r>
            <w:r>
              <w:rPr>
                <w:rFonts w:ascii="宋体" w:hAnsi="宋体" w:cs="宋体" w:eastAsia="宋体" w:hint="default"/>
                <w:spacing w:val="-12"/>
                <w:sz w:val="18"/>
                <w:szCs w:val="18"/>
              </w:rPr>
              <w:t>租、研发及促</w:t>
            </w:r>
            <w:r>
              <w:rPr>
                <w:rFonts w:ascii="宋体" w:hAnsi="宋体" w:cs="宋体" w:eastAsia="宋体" w:hint="default"/>
                <w:sz w:val="18"/>
                <w:szCs w:val="18"/>
              </w:rPr>
              <w:t> 进就业补助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杭州市滨江 区财政局财 政零余额户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30"/>
              <w:jc w:val="right"/>
              <w:rPr>
                <w:rFonts w:ascii="宋体" w:hAnsi="宋体" w:cs="宋体" w:eastAsia="宋体" w:hint="default"/>
                <w:sz w:val="18"/>
                <w:szCs w:val="18"/>
              </w:rPr>
            </w:pPr>
            <w:r>
              <w:rPr>
                <w:rFonts w:ascii="宋体" w:hAnsi="宋体" w:cs="宋体" w:eastAsia="宋体" w:hint="default"/>
                <w:sz w:val="18"/>
                <w:szCs w:val="18"/>
              </w:rPr>
              <w:t>贷款贴息补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27"/>
              <w:jc w:val="right"/>
              <w:rPr>
                <w:rFonts w:ascii="宋体" w:hAnsi="宋体" w:cs="宋体" w:eastAsia="宋体" w:hint="default"/>
                <w:sz w:val="18"/>
                <w:szCs w:val="18"/>
              </w:rPr>
            </w:pPr>
            <w:r>
              <w:rPr>
                <w:rFonts w:ascii="宋体" w:hAnsi="宋体" w:cs="宋体" w:eastAsia="宋体" w:hint="default"/>
                <w:sz w:val="18"/>
                <w:szCs w:val="18"/>
              </w:rPr>
              <w:t>杭州市滨江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27"/>
              <w:jc w:val="right"/>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196,486.00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269.690002pt;margin-top:509.709991pt;width:52.75pt;height:23.4pt;mso-position-horizontal-relative:page;mso-position-vertical-relative:page;z-index:-802912" coordorigin="5394,10194" coordsize="1055,468">
            <v:shape style="position:absolute;left:5394;top:10194;width:1055;height:468" coordorigin="5394,10194" coordsize="1055,468" path="m5394,10662l6448,10662,6448,10194,5394,10194,5394,10662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7"/>
              <w:jc w:val="left"/>
              <w:rPr>
                <w:rFonts w:ascii="宋体" w:hAnsi="宋体" w:cs="宋体" w:eastAsia="宋体" w:hint="default"/>
                <w:sz w:val="18"/>
                <w:szCs w:val="18"/>
              </w:rPr>
            </w:pPr>
            <w:r>
              <w:rPr>
                <w:rFonts w:ascii="宋体" w:hAnsi="宋体" w:cs="宋体" w:eastAsia="宋体" w:hint="default"/>
                <w:sz w:val="18"/>
                <w:szCs w:val="18"/>
              </w:rPr>
              <w:t>区财政局财 政零余额户</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博士后科研 工作站建站 资助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杭州市滨江 区财政局财 政零余额户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企业稳定岗 位补贴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杭州市滨江 区财政局财 政零余额户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169,362.92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2"/>
                <w:sz w:val="18"/>
                <w:szCs w:val="18"/>
              </w:rPr>
              <w:t>雏鹰、青蓝企</w:t>
            </w:r>
            <w:r>
              <w:rPr>
                <w:rFonts w:ascii="宋体" w:hAnsi="宋体" w:cs="宋体" w:eastAsia="宋体" w:hint="default"/>
                <w:sz w:val="18"/>
                <w:szCs w:val="18"/>
              </w:rPr>
              <w:t> 业结转资助 经费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杭州市滨江 区财政局财 政零余额户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left"/>
              <w:rPr>
                <w:rFonts w:ascii="宋体" w:hAnsi="宋体" w:cs="宋体" w:eastAsia="宋体" w:hint="default"/>
                <w:sz w:val="18"/>
                <w:szCs w:val="18"/>
              </w:rPr>
            </w:pPr>
            <w:r>
              <w:rPr>
                <w:rFonts w:ascii="宋体" w:hAnsi="宋体" w:cs="宋体" w:eastAsia="宋体" w:hint="default"/>
                <w:sz w:val="18"/>
                <w:szCs w:val="18"/>
              </w:rPr>
              <w:t>研发项目补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杭州市滨江 区财政局财 政零余额户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3,219,900.00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杭州市建筑 业转型升级 奖励资金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杭州市滨江 区财政局财 政零余额户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上市奖励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杭州市滨江 区财政局财 政零余额户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景德镇市科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景德镇市科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69"/>
              <w:jc w:val="left"/>
              <w:rPr>
                <w:rFonts w:ascii="宋体" w:hAnsi="宋体" w:cs="宋体" w:eastAsia="宋体" w:hint="default"/>
                <w:sz w:val="18"/>
                <w:szCs w:val="18"/>
              </w:rPr>
            </w:pPr>
            <w:r>
              <w:rPr>
                <w:rFonts w:ascii="宋体" w:hAnsi="宋体" w:cs="宋体" w:eastAsia="宋体" w:hint="default"/>
                <w:sz w:val="18"/>
                <w:szCs w:val="18"/>
              </w:rPr>
              <w:t>学技术局</w:t>
            </w:r>
            <w:r>
              <w:rPr>
                <w:rFonts w:ascii="Times New Roman" w:hAnsi="Times New Roman" w:cs="Times New Roman" w:eastAsia="Times New Roman" w:hint="default"/>
                <w:sz w:val="18"/>
                <w:szCs w:val="18"/>
              </w:rPr>
              <w:t>-</w:t>
            </w:r>
            <w:r>
              <w:rPr>
                <w:rFonts w:ascii="宋体" w:hAnsi="宋体" w:cs="宋体" w:eastAsia="宋体" w:hint="default"/>
                <w:sz w:val="18"/>
                <w:szCs w:val="18"/>
              </w:rPr>
              <w:t>政 府补助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学技术局</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17,251,934.1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8874"/>
        <w:jc w:val="left"/>
      </w:pPr>
      <w:r>
        <w:rPr/>
        <w:t>其他说明： 无</w:t>
      </w:r>
    </w:p>
    <w:p>
      <w:pPr>
        <w:spacing w:line="240" w:lineRule="auto" w:before="5"/>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41</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25,865.41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25,865.41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218.80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121,101.97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240,020.59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2,870.00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240,020.59</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266,104.80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137,382.73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265,886.00</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42</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6,461,432.01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8,195,268.28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-2,171,929.48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-1,784,087.66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4,289,502.53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6,411,180.62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37,686,356.54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5,652,953.48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-1,301,457.63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653,140.48</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1,339,056.90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-1,828,729.43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合并抵消影响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-252,404.27</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26,943.00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4,289,502.53</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收回各类银行保证金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2,968,470.05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6,008,258.33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4,507,211.48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8,148,476.92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收回项目保证金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504,538.08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463,137.80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958,088.26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8,938,307.87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15,969,873.58</w:t>
            </w:r>
          </w:p>
        </w:tc>
      </w:tr>
    </w:tbl>
    <w:p>
      <w:pPr>
        <w:pStyle w:val="BodyText"/>
        <w:spacing w:line="360" w:lineRule="auto" w:before="49"/>
        <w:ind w:right="6534"/>
        <w:jc w:val="left"/>
      </w:pPr>
      <w:r>
        <w:rPr/>
        <w:t>收到的其他与经营活动有关的现金说明：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支付各类银行保证金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3,197,853.06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4,214,073.52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7,212,205.01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7,717,116.04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4,638,739.38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5,772,714.06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3,695,597.33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3,974,155.43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4,012,909.61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3,883,022.83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3,000,485.54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租赁物业费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1,592,449.92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1,862,529.52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2,157,651.60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1,120,606.36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2,128,779.65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2,963,140.18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32,519,208.39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38,624,820.65</w:t>
            </w:r>
          </w:p>
        </w:tc>
      </w:tr>
    </w:tbl>
    <w:p>
      <w:pPr>
        <w:pStyle w:val="BodyText"/>
        <w:spacing w:line="357" w:lineRule="auto" w:before="49"/>
        <w:ind w:right="6534"/>
        <w:jc w:val="left"/>
      </w:pPr>
      <w:r>
        <w:rPr/>
        <w:t>支付的其他与经营活动有关的现金说明：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资金拆借款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23,938.30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23,938.30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534"/>
        <w:jc w:val="left"/>
      </w:pPr>
      <w:r>
        <w:rPr/>
        <w:t>收到的其他与筹资活动有关的现金说明：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支付发行费用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8,470,000.00</w:t>
            </w:r>
          </w:p>
        </w:tc>
      </w:tr>
    </w:tbl>
    <w:p>
      <w:pPr>
        <w:pStyle w:val="BodyText"/>
        <w:spacing w:line="357" w:lineRule="auto" w:before="49"/>
        <w:ind w:right="6534"/>
        <w:jc w:val="left"/>
      </w:pPr>
      <w:r>
        <w:rPr/>
        <w:t>支付的其他与筹资活动有关的现金说明：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33,396,854.01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51,727,717.65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13,218,461.01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9,911,660.88</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9,555,893.20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2,043,509.35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2,012,243.09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721,825.51</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223,159.62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76,528.03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16,863.53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-14,714.54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r>
        <w:rPr/>
        <w:pict>
          <v:group style="position:absolute;margin-left:223.369995pt;margin-top:150.319977pt;width:151.25pt;height:20.8pt;mso-position-horizontal-relative:page;mso-position-vertical-relative:page;z-index:-802888" coordorigin="4467,3006" coordsize="3025,416">
            <v:group style="position:absolute;left:4478;top:3017;width:2;height:394" coordorigin="4478,3017" coordsize="2,394">
              <v:shape style="position:absolute;left:4478;top:3017;width:2;height:394" coordorigin="4478,3017" coordsize="0,394" path="m4478,3017l4478,3411e" filled="false" stroked="true" strokeweight="1.08pt" strokecolor="#ffffff">
                <v:path arrowok="t"/>
              </v:shape>
            </v:group>
            <v:group style="position:absolute;left:4489;top:3017;width:3003;height:394" coordorigin="4489,3017" coordsize="3003,394">
              <v:shape style="position:absolute;left:4489;top:3017;width:3003;height:394" coordorigin="4489,3017" coordsize="3003,394" path="m4489,3411l7492,3411,7492,3017,4489,3017,4489,3411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4"/>
        <w:gridCol w:w="2015"/>
        <w:gridCol w:w="3185"/>
      </w:tblGrid>
      <w:tr>
        <w:trPr>
          <w:trHeight w:val="36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25,865.41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472,334.61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23,996.40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-3,945,477.07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-390,663.25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-2,171,929.48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-1,784,087.66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-941,814.58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-184,276.04</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-68,890,660.72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-57,046,091.97</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61,704,074.46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10,798,795.78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44,675,867.09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15,884,200.14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113,914,195.50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125,961,468.23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125,961,468.23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71,235,751.54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-12,047,272.73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54,725,716.69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8874"/>
        <w:jc w:val="left"/>
      </w:pPr>
      <w:r>
        <w:rPr/>
        <w:t>其他说明： 无</w:t>
      </w:r>
    </w:p>
    <w:p>
      <w:pPr>
        <w:spacing w:after="0" w:line="357" w:lineRule="auto"/>
        <w:jc w:val="left"/>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113,914,195.50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125,961,468.23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16,125.77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2,467.40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113,663,152.76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125,950,242.93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234,916.97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8,757.90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113,914,195.50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125,961,468.23</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45</w:t>
      </w:r>
      <w:r>
        <w:rPr/>
        <w:t>、所有者权益变动表项目注释</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4394"/>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46</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3,197,853.06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各类保证金存款</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3,197,853.06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874"/>
        <w:jc w:val="left"/>
      </w:pPr>
      <w:r>
        <w:rPr/>
        <w:t>其他说明： 无</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Heading6"/>
        <w:spacing w:line="240" w:lineRule="auto" w:before="96"/>
        <w:ind w:left="555" w:right="8090"/>
        <w:jc w:val="center"/>
      </w:pPr>
      <w:r>
        <w:rPr/>
        <w:t>合并范围增加</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659"/>
        <w:gridCol w:w="1649"/>
        <w:gridCol w:w="1658"/>
        <w:gridCol w:w="1685"/>
        <w:gridCol w:w="1656"/>
      </w:tblGrid>
      <w:tr>
        <w:trPr>
          <w:trHeight w:val="346"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66"/>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21"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348"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72"/>
              <w:jc w:val="center"/>
              <w:rPr>
                <w:rFonts w:ascii="宋体" w:hAnsi="宋体" w:cs="宋体" w:eastAsia="宋体" w:hint="default"/>
                <w:sz w:val="21"/>
                <w:szCs w:val="21"/>
              </w:rPr>
            </w:pPr>
            <w:r>
              <w:rPr>
                <w:rFonts w:ascii="宋体" w:hAnsi="宋体" w:cs="宋体" w:eastAsia="宋体" w:hint="default"/>
                <w:sz w:val="21"/>
                <w:szCs w:val="21"/>
              </w:rPr>
              <w:t>江苏和仁公司</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新设子公司</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22" w:right="-1"/>
              <w:jc w:val="left"/>
              <w:rPr>
                <w:rFonts w:ascii="Times New Roman" w:hAnsi="Times New Roman" w:cs="Times New Roman" w:eastAsia="Times New Roman" w:hint="default"/>
                <w:sz w:val="21"/>
                <w:szCs w:val="21"/>
              </w:rPr>
            </w:pPr>
            <w:r>
              <w:rPr>
                <w:rFonts w:ascii="Times New Roman"/>
                <w:sz w:val="21"/>
              </w:rPr>
              <w:t>300,000.00</w:t>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60%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1186" w:top="1100" w:bottom="1380" w:left="980" w:right="98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和仁湘雅公司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和仁云慧公司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江西景德镇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天津和仁公司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湖北和仁公司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湖北武汉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湖北武汉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赣州和仁公司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重庆和仁公司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广西和仁公司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广西南宁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广西南宁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黑龙江和仁公司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黑龙江哈尔滨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黑龙江哈尔滨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西安和仁公司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江苏和仁公司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49"/>
        <w:ind w:right="5994"/>
        <w:jc w:val="left"/>
      </w:pPr>
      <w:r>
        <w:rPr/>
        <w:t>在子公司的持股比例不同于表决权比例的说明： 不适用</w:t>
      </w:r>
    </w:p>
    <w:p>
      <w:pPr>
        <w:pStyle w:val="BodyText"/>
        <w:spacing w:line="357" w:lineRule="auto" w:before="29"/>
        <w:ind w:right="1854"/>
        <w:jc w:val="left"/>
      </w:pPr>
      <w:r>
        <w:rPr/>
        <w:t>持有半数或以下表决权但仍控制被投资单位、以及持有半数以上表决权但不控制被投资单位的依据： 不适用</w:t>
      </w:r>
    </w:p>
    <w:p>
      <w:pPr>
        <w:pStyle w:val="BodyText"/>
        <w:spacing w:line="360" w:lineRule="auto" w:before="29"/>
        <w:ind w:right="5454"/>
        <w:jc w:val="left"/>
      </w:pPr>
      <w:r>
        <w:rPr/>
        <w:t>对于纳入合并范围的重要的结构化主体，控制的依据： 不适用</w:t>
      </w:r>
    </w:p>
    <w:p>
      <w:pPr>
        <w:pStyle w:val="BodyText"/>
        <w:spacing w:line="357" w:lineRule="auto" w:before="27"/>
        <w:ind w:right="6714"/>
        <w:jc w:val="left"/>
      </w:pPr>
      <w:r>
        <w:rPr/>
        <w:t>确定公司是代理人还是委托人的依据： 不适用</w:t>
      </w:r>
    </w:p>
    <w:p>
      <w:pPr>
        <w:pStyle w:val="BodyText"/>
        <w:spacing w:line="357" w:lineRule="auto" w:before="29"/>
        <w:ind w:right="8874"/>
        <w:jc w:val="left"/>
      </w:pPr>
      <w:r>
        <w:rPr/>
        <w:t>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5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和仁云慧公司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820,318.50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2,164,153.92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天津和仁公司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1,978,705.60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6,449,140.96</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西安和仁公司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-1,094,344.37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1,505,655.63</w:t>
            </w:r>
          </w:p>
        </w:tc>
      </w:tr>
    </w:tbl>
    <w:p>
      <w:pPr>
        <w:pStyle w:val="BodyText"/>
        <w:spacing w:line="240" w:lineRule="auto" w:before="49"/>
        <w:ind w:right="0"/>
        <w:jc w:val="left"/>
      </w:pPr>
      <w:r>
        <w:rPr/>
        <w:t>子公司少数股东的持股比例不同于表决权比例的说明：</w:t>
      </w:r>
    </w:p>
    <w:p>
      <w:pPr>
        <w:spacing w:after="0" w:line="240" w:lineRule="auto"/>
        <w:jc w:val="left"/>
        <w:sectPr>
          <w:pgSz w:w="11910" w:h="16840"/>
          <w:pgMar w:header="877" w:footer="1186" w:top="1100" w:bottom="1380" w:left="980" w:right="980"/>
        </w:sectPr>
      </w:pPr>
    </w:p>
    <w:p>
      <w:pPr>
        <w:spacing w:line="240" w:lineRule="auto" w:before="11"/>
        <w:rPr>
          <w:rFonts w:ascii="宋体" w:hAnsi="宋体" w:cs="宋体" w:eastAsia="宋体" w:hint="default"/>
          <w:sz w:val="21"/>
          <w:szCs w:val="21"/>
        </w:rPr>
      </w:pPr>
    </w:p>
    <w:p>
      <w:pPr>
        <w:pStyle w:val="BodyText"/>
        <w:spacing w:line="357" w:lineRule="auto" w:before="44"/>
        <w:ind w:right="8874"/>
        <w:jc w:val="left"/>
      </w:pPr>
      <w:r>
        <w:rPr/>
        <w:t>不适用 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和仁云 慧公司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10,630,4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51.53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2,902,68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13,533,1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38.46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8,012,98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109,769.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8,122,75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3.66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4,957,59</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2.02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5,558,93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10,516,5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26.89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7,109,25</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4.82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47,683.5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7,156,93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8.33</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天津和 仁公司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19,248,0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1,041,80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20,289,8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3,973,80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193,153.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4,166,95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13,745,2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66.37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113,978.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13,859,2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44.47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2,612,75</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9.17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70,396.9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2,683,15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6.07</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西安和 仁公司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7,050,13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170,296.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7,220,42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8.17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3,456,28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3,456,28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9.10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和仁云慧公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10,347,585.9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2,050,796.24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2,050,796.24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-473,465.79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6,733,852.52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2,620,307.04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2,620,307.04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6,082,992.40</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天津和仁公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20,459,460.5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4,946,764.00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4,946,764.00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5,181,156.43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11,732,817.4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1,523,850.20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1,523,850.20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2,524,851.48</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西安和仁公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3,947,430.74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2,735,860.93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-2,735,860.93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-1,273,267.52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8874"/>
        <w:jc w:val="left"/>
      </w:pPr>
      <w:r>
        <w:rPr/>
        <w:t>其他说明： 无</w:t>
      </w:r>
    </w:p>
    <w:p>
      <w:pPr>
        <w:spacing w:line="240" w:lineRule="auto" w:before="5"/>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874"/>
        <w:jc w:val="left"/>
      </w:pPr>
      <w:r>
        <w:rPr/>
        <w:t>不适用 其他说明： 无</w:t>
      </w:r>
    </w:p>
    <w:p>
      <w:pPr>
        <w:spacing w:after="0" w:line="357" w:lineRule="auto"/>
        <w:jc w:val="left"/>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left="212" w:right="94"/>
        <w:jc w:val="left"/>
        <w:rPr>
          <w:b w:val="0"/>
          <w:bCs w:val="0"/>
        </w:rPr>
      </w:pPr>
      <w:r>
        <w:rPr>
          <w:rFonts w:ascii="Times New Roman" w:hAnsi="Times New Roman" w:cs="Times New Roman" w:eastAsia="Times New Roman" w:hint="default"/>
        </w:rPr>
        <w:t>2</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94"/>
        <w:jc w:val="left"/>
      </w:pPr>
      <w:r>
        <w:rPr/>
        <w:t>无</w:t>
      </w:r>
    </w:p>
    <w:p>
      <w:pPr>
        <w:spacing w:line="240" w:lineRule="auto" w:before="3"/>
        <w:rPr>
          <w:rFonts w:ascii="宋体" w:hAnsi="宋体" w:cs="宋体" w:eastAsia="宋体" w:hint="default"/>
          <w:sz w:val="25"/>
          <w:szCs w:val="25"/>
        </w:rPr>
      </w:pPr>
    </w:p>
    <w:p>
      <w:pPr>
        <w:pStyle w:val="Heading2"/>
        <w:spacing w:line="240" w:lineRule="auto"/>
        <w:ind w:left="212" w:right="94"/>
        <w:jc w:val="left"/>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212" w:right="94" w:firstLine="420"/>
        <w:jc w:val="left"/>
      </w:pPr>
      <w:r>
        <w:rPr/>
        <w:t>本公司从事风险管理的目标是在风险和收益之间取得平衡，将风险对本公司经营业绩的负面影响降至最低水平，使股 </w:t>
      </w:r>
      <w:r>
        <w:rPr>
          <w:spacing w:val="-4"/>
        </w:rPr>
        <w:t>东和其他权益投资者的利益最大化。基于该风险管理目标，本公司风险管理的基本策略是确认和分析本公司面临的各种风险，</w:t>
      </w:r>
      <w:r>
        <w:rPr>
          <w:spacing w:val="-44"/>
        </w:rPr>
        <w:t> </w:t>
      </w:r>
      <w:r>
        <w:rPr>
          <w:spacing w:val="-44"/>
        </w:rPr>
      </w:r>
      <w:r>
        <w:rPr/>
        <w:t>建立适当的风险承受底线和进行风险管理，并及时可靠地对各种风险进行监督，将风险控制在限定的范围内。</w:t>
      </w:r>
    </w:p>
    <w:p>
      <w:pPr>
        <w:pStyle w:val="BodyText"/>
        <w:spacing w:line="316" w:lineRule="auto" w:before="19"/>
        <w:ind w:left="212" w:right="94" w:firstLine="420"/>
        <w:jc w:val="left"/>
      </w:pPr>
      <w:r>
        <w:rPr/>
        <w:t>本公司在日常活动中面临各种与金融工具相关的风险，主要包括信用风险、流动风险及市场风险。管理层已审议并批 准管理这些风险的政策，概括如下。</w:t>
      </w:r>
    </w:p>
    <w:p>
      <w:pPr>
        <w:pStyle w:val="BodyText"/>
        <w:spacing w:line="316" w:lineRule="auto" w:before="19"/>
        <w:ind w:left="633" w:right="2913"/>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信用风险 信用风险，是指金融工具的一方不能履行义务，造成另一方发生财务损失的风险。</w:t>
      </w:r>
    </w:p>
    <w:p>
      <w:pPr>
        <w:pStyle w:val="BodyText"/>
        <w:spacing w:line="316" w:lineRule="auto" w:before="19"/>
        <w:ind w:left="633" w:right="1293"/>
        <w:jc w:val="left"/>
      </w:pPr>
      <w:r>
        <w:rPr/>
        <w:t>本公司的信用风险主要来自银行存款和应收款项。为控制上述相关风险，本公司分别采取了以下措施。 </w:t>
      </w:r>
      <w:r>
        <w:rPr>
          <w:rFonts w:ascii="宋体" w:hAnsi="宋体" w:cs="宋体" w:eastAsia="宋体" w:hint="default"/>
        </w:rPr>
        <w:t>1.</w:t>
      </w:r>
      <w:r>
        <w:rPr>
          <w:rFonts w:ascii="宋体" w:hAnsi="宋体" w:cs="宋体" w:eastAsia="宋体" w:hint="default"/>
          <w:spacing w:val="3"/>
        </w:rPr>
        <w:t> </w:t>
      </w:r>
      <w:r>
        <w:rPr/>
        <w:t>银行存款</w:t>
      </w:r>
    </w:p>
    <w:p>
      <w:pPr>
        <w:pStyle w:val="BodyText"/>
        <w:spacing w:line="316" w:lineRule="auto" w:before="19"/>
        <w:ind w:left="633" w:right="3633"/>
        <w:jc w:val="left"/>
      </w:pPr>
      <w:r>
        <w:rPr/>
        <w:t>本公司将银行存款存放于信用评级较高的金融机构，故其信用风险较低。 </w:t>
      </w:r>
      <w:r>
        <w:rPr>
          <w:rFonts w:ascii="宋体" w:hAnsi="宋体" w:cs="宋体" w:eastAsia="宋体" w:hint="default"/>
        </w:rPr>
        <w:t>2.</w:t>
      </w:r>
      <w:r>
        <w:rPr>
          <w:rFonts w:ascii="宋体" w:hAnsi="宋体" w:cs="宋体" w:eastAsia="宋体" w:hint="default"/>
          <w:spacing w:val="3"/>
        </w:rPr>
        <w:t> </w:t>
      </w:r>
      <w:r>
        <w:rPr/>
        <w:t>应收款项</w:t>
      </w:r>
    </w:p>
    <w:p>
      <w:pPr>
        <w:pStyle w:val="BodyText"/>
        <w:spacing w:line="316" w:lineRule="auto" w:before="19"/>
        <w:ind w:left="212" w:right="94" w:firstLine="420"/>
        <w:jc w:val="left"/>
      </w:pPr>
      <w:r>
        <w:rPr/>
        <w:t>本公司持续对采用信用方式交易的客户进行信用评估。根据信用评估结果，本公司选择与经认可的且信用良好的客户 进行交易，并对其应收款项余额进行监控，以确保本公司不会面临重大坏账风险。</w:t>
      </w:r>
    </w:p>
    <w:p>
      <w:pPr>
        <w:pStyle w:val="BodyText"/>
        <w:spacing w:line="319" w:lineRule="auto" w:before="19"/>
        <w:ind w:left="212" w:right="94" w:firstLine="420"/>
        <w:jc w:val="left"/>
      </w:pPr>
      <w:r>
        <w:rPr>
          <w:spacing w:val="-3"/>
        </w:rPr>
        <w:t>由于本公司仅与经认可的且信用良好的第三方进行交易，所以无需担保物。信用风险集中按照客户进行管理。截至</w:t>
      </w:r>
      <w:r>
        <w:rPr>
          <w:rFonts w:ascii="宋体" w:hAnsi="宋体" w:cs="宋体" w:eastAsia="宋体" w:hint="default"/>
          <w:spacing w:val="-3"/>
        </w:rPr>
        <w:t>2017</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31</w:t>
      </w:r>
      <w:r>
        <w:rPr/>
        <w:t>日，本公司存在一定的信用集中风险，本公司应收账款的</w:t>
      </w:r>
      <w:r>
        <w:rPr>
          <w:rFonts w:ascii="宋体" w:hAnsi="宋体" w:cs="宋体" w:eastAsia="宋体" w:hint="default"/>
        </w:rPr>
        <w:t>56.60%(2016</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59.55%)</w:t>
      </w:r>
      <w:r>
        <w:rPr/>
        <w:t>源于余额前五名客户。 本公司对应收账款余额未持有任何担保物或其他信用增级。</w:t>
      </w:r>
    </w:p>
    <w:p>
      <w:pPr>
        <w:pStyle w:val="BodyText"/>
        <w:spacing w:line="316" w:lineRule="auto" w:before="17"/>
        <w:ind w:left="633" w:right="1294"/>
        <w:jc w:val="left"/>
      </w:pPr>
      <w:r>
        <w:rPr>
          <w:rFonts w:ascii="宋体" w:hAnsi="宋体" w:cs="宋体" w:eastAsia="宋体" w:hint="default"/>
        </w:rPr>
        <w:t>(1)</w:t>
      </w:r>
      <w:r>
        <w:rPr>
          <w:rFonts w:ascii="宋体" w:hAnsi="宋体" w:cs="宋体" w:eastAsia="宋体" w:hint="default"/>
          <w:spacing w:val="-1"/>
        </w:rPr>
        <w:t> </w:t>
      </w:r>
      <w:r>
        <w:rPr/>
        <w:t>本公司的应收款项中未逾期且未减值的金额，以及虽已逾期但未减值的金额和逾期账龄分析如下： 期账龄分析如下：</w:t>
      </w:r>
    </w:p>
    <w:tbl>
      <w:tblPr>
        <w:tblW w:w="0" w:type="auto"/>
        <w:jc w:val="left"/>
        <w:tblInd w:w="100" w:type="dxa"/>
        <w:tblLayout w:type="fixed"/>
        <w:tblCellMar>
          <w:top w:w="0" w:type="dxa"/>
          <w:left w:w="0" w:type="dxa"/>
          <w:bottom w:w="0" w:type="dxa"/>
          <w:right w:w="0" w:type="dxa"/>
        </w:tblCellMar>
        <w:tblLook w:val="01E0"/>
      </w:tblPr>
      <w:tblGrid>
        <w:gridCol w:w="1421"/>
        <w:gridCol w:w="1664"/>
        <w:gridCol w:w="1418"/>
        <w:gridCol w:w="1277"/>
        <w:gridCol w:w="1322"/>
        <w:gridCol w:w="1421"/>
      </w:tblGrid>
      <w:tr>
        <w:trPr>
          <w:trHeight w:val="322" w:hRule="exact"/>
        </w:trPr>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8"/>
              <w:ind w:left="20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2" w:hRule="exact"/>
        </w:trPr>
        <w:tc>
          <w:tcPr>
            <w:tcW w:w="1421" w:type="dxa"/>
            <w:vMerge/>
            <w:tcBorders>
              <w:left w:val="single" w:sz="4" w:space="0" w:color="000000"/>
              <w:right w:val="single" w:sz="4" w:space="0" w:color="000000"/>
            </w:tcBorders>
          </w:tcPr>
          <w:p>
            <w:pPr/>
          </w:p>
        </w:tc>
        <w:tc>
          <w:tcPr>
            <w:tcW w:w="1664" w:type="dxa"/>
            <w:vMerge w:val="restart"/>
            <w:tcBorders>
              <w:top w:val="single" w:sz="4" w:space="0" w:color="000000"/>
              <w:left w:val="single" w:sz="4" w:space="0" w:color="000000"/>
              <w:right w:val="single" w:sz="4" w:space="0" w:color="000000"/>
            </w:tcBorders>
          </w:tcPr>
          <w:p>
            <w:pPr>
              <w:pStyle w:val="TableParagraph"/>
              <w:spacing w:line="240" w:lineRule="auto" w:before="8"/>
              <w:ind w:left="287"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40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r>
      <w:tr>
        <w:trPr>
          <w:trHeight w:val="324" w:hRule="exact"/>
        </w:trPr>
        <w:tc>
          <w:tcPr>
            <w:tcW w:w="1421" w:type="dxa"/>
            <w:vMerge/>
            <w:tcBorders>
              <w:left w:val="single" w:sz="4" w:space="0" w:color="000000"/>
              <w:bottom w:val="single" w:sz="4" w:space="0" w:color="000000"/>
              <w:right w:val="single" w:sz="4" w:space="0" w:color="000000"/>
            </w:tcBorders>
          </w:tcPr>
          <w:p>
            <w:pPr/>
          </w:p>
        </w:tc>
        <w:tc>
          <w:tcPr>
            <w:tcW w:w="1664"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年以上</w:t>
            </w:r>
          </w:p>
        </w:tc>
        <w:tc>
          <w:tcPr>
            <w:tcW w:w="1421" w:type="dxa"/>
            <w:vMerge/>
            <w:tcBorders>
              <w:left w:val="single" w:sz="4" w:space="0" w:color="000000"/>
              <w:bottom w:val="single" w:sz="4" w:space="0" w:color="000000"/>
              <w:right w:val="single" w:sz="4" w:space="0" w:color="000000"/>
            </w:tcBorders>
          </w:tcPr>
          <w:p>
            <w:pPr/>
          </w:p>
        </w:tc>
      </w:tr>
      <w:tr>
        <w:trPr>
          <w:trHeight w:val="32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695,300.00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695,300.00</w:t>
            </w:r>
          </w:p>
        </w:tc>
      </w:tr>
      <w:tr>
        <w:trPr>
          <w:trHeight w:val="32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4,245,278.96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4,245,278.96</w:t>
            </w:r>
          </w:p>
        </w:tc>
      </w:tr>
      <w:tr>
        <w:trPr>
          <w:trHeight w:val="32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19,780,080.00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19,780,080.00</w:t>
            </w:r>
          </w:p>
        </w:tc>
      </w:tr>
      <w:tr>
        <w:trPr>
          <w:trHeight w:val="32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8"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24,720,658.96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24,720,658.96</w:t>
            </w:r>
          </w:p>
        </w:tc>
      </w:tr>
    </w:tbl>
    <w:p>
      <w:pPr>
        <w:pStyle w:val="BodyText"/>
        <w:spacing w:line="240" w:lineRule="auto" w:before="19"/>
        <w:ind w:left="633" w:right="94"/>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356"/>
        <w:gridCol w:w="1652"/>
        <w:gridCol w:w="1349"/>
        <w:gridCol w:w="1215"/>
        <w:gridCol w:w="1260"/>
        <w:gridCol w:w="1477"/>
      </w:tblGrid>
      <w:tr>
        <w:trPr>
          <w:trHeight w:val="324" w:hRule="exact"/>
        </w:trPr>
        <w:tc>
          <w:tcPr>
            <w:tcW w:w="1356" w:type="dxa"/>
            <w:vMerge w:val="restart"/>
            <w:tcBorders>
              <w:top w:val="single" w:sz="4" w:space="0" w:color="000000"/>
              <w:left w:val="single" w:sz="4" w:space="0" w:color="000000"/>
              <w:right w:val="single" w:sz="4" w:space="0" w:color="000000"/>
            </w:tcBorders>
          </w:tcPr>
          <w:p>
            <w:pPr>
              <w:pStyle w:val="TableParagraph"/>
              <w:spacing w:line="240" w:lineRule="auto" w:before="10"/>
              <w:ind w:left="20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9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1356" w:type="dxa"/>
            <w:vMerge/>
            <w:tcBorders>
              <w:left w:val="single" w:sz="4" w:space="0" w:color="000000"/>
              <w:right w:val="single" w:sz="4" w:space="0" w:color="000000"/>
            </w:tcBorders>
          </w:tcPr>
          <w:p>
            <w:pP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8"/>
              <w:ind w:left="280"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r>
      <w:tr>
        <w:trPr>
          <w:trHeight w:val="322" w:hRule="exact"/>
        </w:trPr>
        <w:tc>
          <w:tcPr>
            <w:tcW w:w="1356" w:type="dxa"/>
            <w:vMerge/>
            <w:tcBorders>
              <w:left w:val="single" w:sz="4" w:space="0" w:color="000000"/>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年以上</w:t>
            </w:r>
          </w:p>
        </w:tc>
        <w:tc>
          <w:tcPr>
            <w:tcW w:w="1477" w:type="dxa"/>
            <w:vMerge/>
            <w:tcBorders>
              <w:left w:val="single" w:sz="4" w:space="0" w:color="000000"/>
              <w:bottom w:val="single" w:sz="4" w:space="0" w:color="000000"/>
              <w:right w:val="single" w:sz="4" w:space="0" w:color="000000"/>
            </w:tcBorders>
          </w:tcPr>
          <w:p>
            <w:pP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17,939,556.00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17,939,556.00</w:t>
            </w: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4,125,087.56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4,125,087.56</w:t>
            </w: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8"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22,064,643.56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22,064,643.56</w:t>
            </w:r>
          </w:p>
        </w:tc>
      </w:tr>
    </w:tbl>
    <w:p>
      <w:pPr>
        <w:pStyle w:val="BodyText"/>
        <w:spacing w:line="316" w:lineRule="auto" w:before="8"/>
        <w:ind w:left="633" w:right="2014"/>
        <w:jc w:val="left"/>
      </w:pPr>
      <w:r>
        <w:rPr>
          <w:rFonts w:ascii="宋体" w:hAnsi="宋体" w:cs="宋体" w:eastAsia="宋体" w:hint="default"/>
        </w:rPr>
        <w:t>(2)</w:t>
      </w:r>
      <w:r>
        <w:rPr>
          <w:rFonts w:ascii="宋体" w:hAnsi="宋体" w:cs="宋体" w:eastAsia="宋体" w:hint="default"/>
          <w:spacing w:val="-1"/>
        </w:rPr>
        <w:t> </w:t>
      </w:r>
      <w:r>
        <w:rPr/>
        <w:t>单项计提减值的应收款项情况见本财务报表附注合并财务报表项目注释之应收款项说明。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流动风险</w:t>
      </w:r>
    </w:p>
    <w:p>
      <w:pPr>
        <w:pStyle w:val="BodyText"/>
        <w:spacing w:line="319" w:lineRule="auto" w:before="19"/>
        <w:ind w:left="212" w:right="190" w:firstLine="420"/>
        <w:jc w:val="both"/>
      </w:pPr>
      <w:r>
        <w:rPr/>
        <w:t>流动风险，是指本公司在履行以交付现金或其他金融资产的方式结算的义务时发生资金短缺的风险。流动风险可能源 </w:t>
      </w:r>
      <w:r>
        <w:rPr>
          <w:spacing w:val="-2"/>
        </w:rPr>
        <w:t>于无法尽快以公允价值售出金融资产；或者源于对方无法偿还其合同债务；或者源于提前到期的债务；或者源于无法产生预</w:t>
      </w:r>
      <w:r>
        <w:rPr>
          <w:spacing w:val="-63"/>
        </w:rPr>
        <w:t> </w:t>
      </w:r>
      <w:r>
        <w:rPr>
          <w:spacing w:val="-63"/>
        </w:rPr>
      </w:r>
      <w:r>
        <w:rPr/>
        <w:t>期的现金流量。</w:t>
      </w:r>
    </w:p>
    <w:p>
      <w:pPr>
        <w:pStyle w:val="BodyText"/>
        <w:spacing w:line="240" w:lineRule="auto" w:before="17"/>
        <w:ind w:left="633" w:right="94"/>
        <w:jc w:val="left"/>
      </w:pPr>
      <w:r>
        <w:rPr/>
        <w:t>为控制该项风险，本公司综合运用票据结算、银行借款等多种融资手段，并采取长、短期融资方式适当结合，优化融</w:t>
      </w:r>
    </w:p>
    <w:p>
      <w:pPr>
        <w:spacing w:after="0" w:line="240" w:lineRule="auto"/>
        <w:jc w:val="left"/>
        <w:sectPr>
          <w:pgSz w:w="11910" w:h="16840"/>
          <w:pgMar w:header="877" w:footer="1186" w:top="1100" w:bottom="1380" w:left="920" w:right="940"/>
        </w:sectPr>
      </w:pPr>
    </w:p>
    <w:p>
      <w:pPr>
        <w:spacing w:line="240" w:lineRule="auto" w:before="11"/>
        <w:rPr>
          <w:rFonts w:ascii="宋体" w:hAnsi="宋体" w:cs="宋体" w:eastAsia="宋体" w:hint="default"/>
          <w:sz w:val="21"/>
          <w:szCs w:val="21"/>
        </w:rPr>
      </w:pPr>
    </w:p>
    <w:p>
      <w:pPr>
        <w:pStyle w:val="BodyText"/>
        <w:spacing w:line="316" w:lineRule="auto" w:before="44"/>
        <w:ind w:left="212" w:right="106"/>
        <w:jc w:val="left"/>
      </w:pPr>
      <w:r>
        <w:rPr>
          <w:spacing w:val="-2"/>
        </w:rPr>
        <w:t>资结构的方法，保持融资持续性与灵活性之间的平衡。本公司已从多家商业银行取得银行授信额度以满足营运资金需求和资</w:t>
      </w:r>
      <w:r>
        <w:rPr>
          <w:spacing w:val="-63"/>
        </w:rPr>
        <w:t> </w:t>
      </w:r>
      <w:r>
        <w:rPr>
          <w:spacing w:val="-63"/>
        </w:rPr>
      </w:r>
      <w:r>
        <w:rPr/>
        <w:t>本开支。</w:t>
      </w:r>
    </w:p>
    <w:p>
      <w:pPr>
        <w:pStyle w:val="BodyText"/>
        <w:spacing w:line="240" w:lineRule="auto" w:before="19"/>
        <w:ind w:left="633" w:right="253"/>
        <w:jc w:val="left"/>
      </w:pPr>
      <w:r>
        <w:rPr/>
        <w:t>金融负债按剩余到期日分类</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277"/>
        <w:gridCol w:w="1476"/>
        <w:gridCol w:w="1664"/>
        <w:gridCol w:w="1476"/>
        <w:gridCol w:w="1166"/>
        <w:gridCol w:w="1249"/>
      </w:tblGrid>
      <w:tr>
        <w:trPr>
          <w:trHeight w:val="322"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0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2" w:hRule="exact"/>
        </w:trPr>
        <w:tc>
          <w:tcPr>
            <w:tcW w:w="1277"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年</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24,200,000.00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24,413,366.58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24,413,366.58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4,504,275.20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4,504,275.20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4,504,275.20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112,218,667.23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112,218,667.23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112,218,667.23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5,550,280.22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5,550,280.22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5,550,280.22</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146,473,222.65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146,686,589.23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146,686,589.23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left="633" w:right="253"/>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277"/>
        <w:gridCol w:w="1418"/>
        <w:gridCol w:w="1700"/>
        <w:gridCol w:w="1419"/>
        <w:gridCol w:w="1274"/>
        <w:gridCol w:w="1136"/>
      </w:tblGrid>
      <w:tr>
        <w:trPr>
          <w:trHeight w:val="324"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9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1277"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6"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7"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2" w:right="0"/>
              <w:jc w:val="center"/>
              <w:rPr>
                <w:rFonts w:ascii="宋体" w:hAnsi="宋体" w:cs="宋体" w:eastAsia="宋体" w:hint="default"/>
                <w:sz w:val="18"/>
                <w:szCs w:val="18"/>
              </w:rPr>
            </w:pPr>
            <w:r>
              <w:rPr>
                <w:rFonts w:ascii="宋体"/>
                <w:sz w:val="18"/>
              </w:rPr>
              <w:t>3,216,421.50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3,216,421.50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2" w:right="0"/>
              <w:jc w:val="center"/>
              <w:rPr>
                <w:rFonts w:ascii="宋体" w:hAnsi="宋体" w:cs="宋体" w:eastAsia="宋体" w:hint="default"/>
                <w:sz w:val="18"/>
                <w:szCs w:val="18"/>
              </w:rPr>
            </w:pPr>
            <w:r>
              <w:rPr>
                <w:rFonts w:ascii="宋体"/>
                <w:sz w:val="18"/>
              </w:rPr>
              <w:t>3,216,421.50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 w:right="0"/>
              <w:jc w:val="center"/>
              <w:rPr>
                <w:rFonts w:ascii="宋体" w:hAnsi="宋体" w:cs="宋体" w:eastAsia="宋体" w:hint="default"/>
                <w:sz w:val="18"/>
                <w:szCs w:val="18"/>
              </w:rPr>
            </w:pPr>
            <w:r>
              <w:rPr>
                <w:rFonts w:ascii="宋体"/>
                <w:sz w:val="18"/>
              </w:rPr>
              <w:t>67,805,152.67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67,805,152.67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 w:right="0"/>
              <w:jc w:val="center"/>
              <w:rPr>
                <w:rFonts w:ascii="宋体" w:hAnsi="宋体" w:cs="宋体" w:eastAsia="宋体" w:hint="default"/>
                <w:sz w:val="18"/>
                <w:szCs w:val="18"/>
              </w:rPr>
            </w:pPr>
            <w:r>
              <w:rPr>
                <w:rFonts w:ascii="宋体"/>
                <w:sz w:val="18"/>
              </w:rPr>
              <w:t>67,805,152.67</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2" w:right="0"/>
              <w:jc w:val="center"/>
              <w:rPr>
                <w:rFonts w:ascii="宋体" w:hAnsi="宋体" w:cs="宋体" w:eastAsia="宋体" w:hint="default"/>
                <w:sz w:val="18"/>
                <w:szCs w:val="18"/>
              </w:rPr>
            </w:pPr>
            <w:r>
              <w:rPr>
                <w:rFonts w:ascii="宋体"/>
                <w:sz w:val="18"/>
              </w:rPr>
              <w:t>3,553,157.15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3,553,157.15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2" w:right="0"/>
              <w:jc w:val="center"/>
              <w:rPr>
                <w:rFonts w:ascii="宋体" w:hAnsi="宋体" w:cs="宋体" w:eastAsia="宋体" w:hint="default"/>
                <w:sz w:val="18"/>
                <w:szCs w:val="18"/>
              </w:rPr>
            </w:pPr>
            <w:r>
              <w:rPr>
                <w:rFonts w:ascii="宋体"/>
                <w:sz w:val="18"/>
              </w:rPr>
              <w:t>3,553,157.15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 w:right="0"/>
              <w:jc w:val="center"/>
              <w:rPr>
                <w:rFonts w:ascii="宋体" w:hAnsi="宋体" w:cs="宋体" w:eastAsia="宋体" w:hint="default"/>
                <w:sz w:val="18"/>
                <w:szCs w:val="18"/>
              </w:rPr>
            </w:pPr>
            <w:r>
              <w:rPr>
                <w:rFonts w:ascii="宋体"/>
                <w:sz w:val="18"/>
              </w:rPr>
              <w:t>74,574,731.32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74,574,731.32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 w:right="0"/>
              <w:jc w:val="center"/>
              <w:rPr>
                <w:rFonts w:ascii="宋体" w:hAnsi="宋体" w:cs="宋体" w:eastAsia="宋体" w:hint="default"/>
                <w:sz w:val="18"/>
                <w:szCs w:val="18"/>
              </w:rPr>
            </w:pPr>
            <w:r>
              <w:rPr>
                <w:rFonts w:ascii="宋体"/>
                <w:sz w:val="18"/>
              </w:rPr>
              <w:t>74,574,731.32</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left="633" w:right="253"/>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市场风险</w:t>
      </w:r>
    </w:p>
    <w:p>
      <w:pPr>
        <w:pStyle w:val="Heading6"/>
        <w:spacing w:line="273" w:lineRule="auto" w:before="56"/>
        <w:ind w:left="212" w:right="146" w:firstLine="420"/>
        <w:jc w:val="both"/>
      </w:pPr>
      <w:r>
        <w:rPr>
          <w:spacing w:val="-2"/>
        </w:rPr>
        <w:t>市场风险，是指金融工具的公允价值或未来现金流量因市场价格变动而发生波动的风险。市场风险主</w:t>
      </w:r>
      <w:r>
        <w:rPr>
          <w:w w:val="100"/>
        </w:rPr>
        <w:t> </w:t>
      </w:r>
      <w:r>
        <w:rPr/>
        <w:t>要包括利率风险和外汇风险。</w:t>
      </w:r>
    </w:p>
    <w:p>
      <w:pPr>
        <w:pStyle w:val="Heading6"/>
        <w:spacing w:line="271" w:lineRule="auto" w:before="7"/>
        <w:ind w:left="212" w:right="146" w:firstLine="420"/>
        <w:jc w:val="both"/>
      </w:pPr>
      <w:r>
        <w:rPr>
          <w:spacing w:val="-2"/>
        </w:rPr>
        <w:t>利率风险，是指金融工具的公允价值或未来现金流量因市场利率变动而发生波动的风险。本公司面临</w:t>
      </w:r>
      <w:r>
        <w:rPr>
          <w:w w:val="100"/>
        </w:rPr>
        <w:t> </w:t>
      </w:r>
      <w:r>
        <w:rPr>
          <w:spacing w:val="-2"/>
        </w:rPr>
        <w:t>的市场利率变动的风险主要与本公司以浮动利率计息的借款有关。本公司资金较为充裕，对借款额度能有</w:t>
      </w:r>
      <w:r>
        <w:rPr>
          <w:spacing w:val="-43"/>
        </w:rPr>
        <w:t> </w:t>
      </w:r>
      <w:r>
        <w:rPr>
          <w:spacing w:val="-43"/>
        </w:rPr>
      </w:r>
      <w:r>
        <w:rPr/>
        <w:t>效的控制，因此，本公司所承担的利率风险不重大。</w:t>
      </w:r>
    </w:p>
    <w:p>
      <w:pPr>
        <w:spacing w:line="240" w:lineRule="auto" w:before="10"/>
        <w:rPr>
          <w:rFonts w:ascii="宋体" w:hAnsi="宋体" w:cs="宋体" w:eastAsia="宋体" w:hint="default"/>
          <w:sz w:val="21"/>
          <w:szCs w:val="21"/>
        </w:rPr>
      </w:pPr>
    </w:p>
    <w:p>
      <w:pPr>
        <w:pStyle w:val="Heading2"/>
        <w:spacing w:line="240" w:lineRule="auto"/>
        <w:ind w:left="212" w:right="253"/>
        <w:jc w:val="left"/>
        <w:rPr>
          <w:b w:val="0"/>
          <w:bCs w:val="0"/>
        </w:rPr>
      </w:pP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212" w:right="25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207"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杭州磐源投资有限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15" w:right="0"/>
              <w:jc w:val="left"/>
              <w:rPr>
                <w:rFonts w:ascii="Times New Roman" w:hAnsi="Times New Roman" w:cs="Times New Roman" w:eastAsia="Times New Roman" w:hint="default"/>
                <w:sz w:val="18"/>
                <w:szCs w:val="18"/>
              </w:rPr>
            </w:pPr>
            <w:r>
              <w:rPr>
                <w:rFonts w:ascii="Times New Roman"/>
                <w:sz w:val="18"/>
              </w:rPr>
              <w:t>54.11%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15" w:right="0"/>
              <w:jc w:val="left"/>
              <w:rPr>
                <w:rFonts w:ascii="Times New Roman" w:hAnsi="Times New Roman" w:cs="Times New Roman" w:eastAsia="Times New Roman" w:hint="default"/>
                <w:sz w:val="18"/>
                <w:szCs w:val="18"/>
              </w:rPr>
            </w:pPr>
            <w:r>
              <w:rPr>
                <w:rFonts w:ascii="Times New Roman"/>
                <w:sz w:val="18"/>
              </w:rPr>
              <w:t>54.11%</w:t>
            </w:r>
          </w:p>
        </w:tc>
      </w:tr>
    </w:tbl>
    <w:p>
      <w:pPr>
        <w:pStyle w:val="BodyText"/>
        <w:spacing w:line="338" w:lineRule="auto" w:before="49"/>
        <w:ind w:left="212" w:right="106"/>
        <w:jc w:val="left"/>
      </w:pPr>
      <w:r>
        <w:rPr/>
        <w:t>本企业的母公司情况的说明 </w:t>
      </w:r>
      <w:r>
        <w:rPr>
          <w:spacing w:val="-2"/>
        </w:rPr>
        <w:t>本公司实际控制人为杨一兵、杨波兄弟，其通过杭州磐源投资有限公司、杭州磐鸿投资管理合伙企业（有限合伙）分别间接</w:t>
      </w:r>
      <w:r>
        <w:rPr>
          <w:spacing w:val="-67"/>
        </w:rPr>
        <w:t> </w:t>
      </w:r>
      <w:r>
        <w:rPr>
          <w:spacing w:val="-67"/>
        </w:rPr>
      </w:r>
      <w:r>
        <w:rPr/>
        <w:t>持有本公司</w:t>
      </w:r>
      <w:r>
        <w:rPr>
          <w:rFonts w:ascii="宋体" w:hAnsi="宋体" w:cs="宋体" w:eastAsia="宋体" w:hint="default"/>
        </w:rPr>
        <w:t>34,612,680</w:t>
      </w:r>
      <w:r>
        <w:rPr/>
        <w:t>股、</w:t>
      </w:r>
      <w:r>
        <w:rPr>
          <w:rFonts w:ascii="宋体" w:hAnsi="宋体" w:cs="宋体" w:eastAsia="宋体" w:hint="default"/>
        </w:rPr>
        <w:t>5,763,840</w:t>
      </w:r>
      <w:r>
        <w:rPr/>
        <w:t>股</w:t>
      </w:r>
      <w:r>
        <w:rPr>
          <w:rFonts w:ascii="宋体" w:hAnsi="宋体" w:cs="宋体" w:eastAsia="宋体" w:hint="default"/>
        </w:rPr>
        <w:t>,</w:t>
      </w:r>
      <w:r>
        <w:rPr/>
        <w:t>合计持有本公司</w:t>
      </w:r>
      <w:r>
        <w:rPr>
          <w:rFonts w:ascii="宋体" w:hAnsi="宋体" w:cs="宋体" w:eastAsia="宋体" w:hint="default"/>
        </w:rPr>
        <w:t>40,376,520</w:t>
      </w:r>
      <w:r>
        <w:rPr/>
        <w:t>股的股权，占本公司注册资本的</w:t>
      </w:r>
      <w:r>
        <w:rPr>
          <w:rFonts w:ascii="宋体" w:hAnsi="宋体" w:cs="宋体" w:eastAsia="宋体" w:hint="default"/>
        </w:rPr>
        <w:t>48.52%</w:t>
      </w:r>
      <w:r>
        <w:rPr/>
        <w:t>。</w:t>
      </w:r>
    </w:p>
    <w:p>
      <w:pPr>
        <w:pStyle w:val="BodyText"/>
        <w:spacing w:line="357" w:lineRule="auto" w:before="43"/>
        <w:ind w:left="212" w:right="6894"/>
        <w:jc w:val="left"/>
      </w:pPr>
      <w:r>
        <w:rPr/>
        <w:t>本企业最终控制方是杨一兵、杨波。 其他说明：</w:t>
      </w:r>
    </w:p>
    <w:p>
      <w:pPr>
        <w:pStyle w:val="BodyText"/>
        <w:spacing w:line="240" w:lineRule="auto" w:before="29"/>
        <w:ind w:left="212" w:right="253"/>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left="212" w:right="25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12" w:right="253"/>
        <w:jc w:val="left"/>
      </w:pPr>
      <w:r>
        <w:rPr/>
        <w:t>本企业子公司的情况详见附注在其他主体中的权益之说明。</w:t>
      </w:r>
    </w:p>
    <w:p>
      <w:pPr>
        <w:spacing w:after="0" w:line="240" w:lineRule="auto"/>
        <w:jc w:val="left"/>
        <w:sectPr>
          <w:footerReference w:type="default" r:id="rId26"/>
          <w:pgSz w:w="11910" w:h="16840"/>
          <w:pgMar w:footer="1186" w:header="877" w:top="1100" w:bottom="1380" w:left="920" w:right="980"/>
          <w:pgNumType w:start="145"/>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pStyle w:val="BodyText"/>
        <w:spacing w:line="360" w:lineRule="auto" w:before="49"/>
        <w:ind w:right="9054"/>
        <w:jc w:val="left"/>
      </w:pPr>
      <w:r>
        <w:rPr/>
        <w:t>其他说明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60"/>
        <w:gridCol w:w="2258"/>
        <w:gridCol w:w="2643"/>
      </w:tblGrid>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49"/>
        <w:ind w:right="6354"/>
        <w:jc w:val="left"/>
      </w:pPr>
      <w:r>
        <w:rPr/>
        <w:t>购销商品、提供和接受劳务的关联交易说明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4" w:lineRule="auto"/>
        <w:jc w:val="left"/>
        <w:rPr>
          <w:rFonts w:ascii="宋体" w:hAnsi="宋体" w:cs="宋体" w:eastAsia="宋体" w:hint="default"/>
          <w:sz w:val="18"/>
          <w:szCs w:val="18"/>
        </w:rPr>
        <w:sectPr>
          <w:pgSz w:w="11910" w:h="16840"/>
          <w:pgMar w:header="877" w:footer="1186" w:top="1100" w:bottom="1380" w:left="980" w:right="980"/>
        </w:sectPr>
      </w:pPr>
    </w:p>
    <w:p>
      <w:pPr>
        <w:pStyle w:val="BodyText"/>
        <w:spacing w:line="338" w:lineRule="auto" w:before="49"/>
        <w:ind w:right="521"/>
        <w:jc w:val="left"/>
      </w:pPr>
      <w:r>
        <w:rPr/>
        <w:t>关联托管</w:t>
      </w:r>
      <w:r>
        <w:rPr>
          <w:rFonts w:ascii="Times New Roman" w:hAnsi="Times New Roman" w:cs="Times New Roman" w:eastAsia="Times New Roman" w:hint="default"/>
        </w:rPr>
        <w:t>/</w:t>
      </w:r>
      <w:r>
        <w:rPr/>
        <w:t>承包情况说明 无</w:t>
      </w:r>
    </w:p>
    <w:p>
      <w:pPr>
        <w:pStyle w:val="BodyText"/>
        <w:spacing w:line="240" w:lineRule="auto" w:before="43"/>
        <w:ind w:right="-19"/>
        <w:jc w:val="left"/>
      </w:pPr>
      <w:r>
        <w:rPr/>
        <w:t>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280" w:left="980" w:right="980"/>
          <w:cols w:num="2" w:equalWidth="0">
            <w:col w:w="2544" w:space="6285"/>
            <w:col w:w="112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338" w:lineRule="auto" w:before="49"/>
        <w:ind w:right="7924"/>
        <w:jc w:val="left"/>
      </w:pPr>
      <w:r>
        <w:rPr/>
        <w:t>关联管理</w:t>
      </w:r>
      <w:r>
        <w:rPr>
          <w:rFonts w:ascii="Times New Roman" w:hAnsi="Times New Roman" w:cs="Times New Roman" w:eastAsia="Times New Roman" w:hint="default"/>
        </w:rPr>
        <w:t>/</w:t>
      </w:r>
      <w:r>
        <w:rPr/>
        <w:t>出包情况说明 无</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本公司作为出租方：</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0"/>
        <w:jc w:val="left"/>
      </w:pPr>
      <w:r>
        <w:rPr/>
        <w:t>本公司作为承租方：</w:t>
      </w:r>
    </w:p>
    <w:p>
      <w:pPr>
        <w:spacing w:after="0" w:line="240" w:lineRule="auto"/>
        <w:jc w:val="left"/>
        <w:sectPr>
          <w:type w:val="continuous"/>
          <w:pgSz w:w="11910" w:h="16840"/>
          <w:pgMar w:top="1100" w:bottom="280" w:left="980" w:right="980"/>
        </w:sectPr>
      </w:pPr>
    </w:p>
    <w:p>
      <w:pPr>
        <w:spacing w:line="240" w:lineRule="auto" w:before="11"/>
        <w:rPr>
          <w:rFonts w:ascii="宋体" w:hAnsi="宋体" w:cs="宋体" w:eastAsia="宋体" w:hint="default"/>
          <w:sz w:val="21"/>
          <w:szCs w:val="21"/>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360" w:lineRule="auto" w:before="49"/>
        <w:ind w:right="8334"/>
        <w:jc w:val="left"/>
      </w:pPr>
      <w:r>
        <w:rPr/>
        <w:t>关联租赁情况说明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本公司作为担保方</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本公司作为被担保方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杭州磐源投资有限公司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关联担保情况说明</w:t>
      </w:r>
    </w:p>
    <w:p>
      <w:pPr>
        <w:pStyle w:val="BodyText"/>
        <w:spacing w:line="300" w:lineRule="auto" w:before="115"/>
        <w:ind w:right="149" w:firstLine="360"/>
        <w:jc w:val="both"/>
      </w:pPr>
      <w:r>
        <w:rPr>
          <w:rFonts w:ascii="Times New Roman" w:hAnsi="Times New Roman" w:cs="Times New Roman" w:eastAsia="Times New Roman" w:hint="default"/>
          <w:spacing w:val="-1"/>
        </w:rPr>
        <w:t>(1)</w:t>
      </w:r>
      <w:r>
        <w:rPr>
          <w:spacing w:val="-1"/>
        </w:rPr>
        <w:t>根据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月杭州磐源投资有限公司与中国银行股份有限公司杭州滨江支行签订的《最高额保证合同》，杭州磐源</w:t>
      </w:r>
      <w:r>
        <w:rPr>
          <w:w w:val="99"/>
        </w:rPr>
        <w:t> </w:t>
      </w:r>
      <w:r>
        <w:rPr/>
        <w:t>投资有限公司为本公司与该银行于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日期间签订的合同提供最高额</w:t>
      </w:r>
      <w:r>
        <w:rPr>
          <w:rFonts w:ascii="Times New Roman" w:hAnsi="Times New Roman" w:cs="Times New Roman" w:eastAsia="Times New Roman" w:hint="default"/>
        </w:rPr>
        <w:t>17,000</w:t>
      </w:r>
      <w:r>
        <w:rPr/>
        <w:t>万元的担保。截至</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日，本公司在该担保项下尚未到期的保函金额</w:t>
      </w:r>
      <w:r>
        <w:rPr>
          <w:rFonts w:ascii="Times New Roman" w:hAnsi="Times New Roman" w:cs="Times New Roman" w:eastAsia="Times New Roman" w:hint="default"/>
          <w:spacing w:val="-1"/>
        </w:rPr>
        <w:t>106</w:t>
      </w:r>
      <w:r>
        <w:rPr>
          <w:spacing w:val="-1"/>
        </w:rPr>
        <w:t>万元，已到期未退回的保函</w:t>
      </w:r>
      <w:r>
        <w:rPr>
          <w:rFonts w:ascii="Times New Roman" w:hAnsi="Times New Roman" w:cs="Times New Roman" w:eastAsia="Times New Roman" w:hint="default"/>
          <w:spacing w:val="-1"/>
        </w:rPr>
        <w:t>1236.53</w:t>
      </w:r>
      <w:r>
        <w:rPr>
          <w:spacing w:val="-1"/>
        </w:rPr>
        <w:t>万元，该等保函同时由本公司</w:t>
      </w:r>
      <w:r>
        <w:rPr>
          <w:spacing w:val="-73"/>
        </w:rPr>
        <w:t> </w:t>
      </w:r>
      <w:r>
        <w:rPr>
          <w:spacing w:val="-73"/>
        </w:rPr>
      </w:r>
      <w:r>
        <w:rPr/>
        <w:t>在该银行缴存</w:t>
      </w:r>
      <w:r>
        <w:rPr>
          <w:rFonts w:ascii="Times New Roman" w:hAnsi="Times New Roman" w:cs="Times New Roman" w:eastAsia="Times New Roman" w:hint="default"/>
        </w:rPr>
        <w:t>134.25</w:t>
      </w:r>
      <w:r>
        <w:rPr/>
        <w:t>万元保函保证金存款。本公司在该担保项下尚未到期的应付票据余额</w:t>
      </w:r>
      <w:r>
        <w:rPr>
          <w:rFonts w:ascii="Times New Roman" w:hAnsi="Times New Roman" w:cs="Times New Roman" w:eastAsia="Times New Roman" w:hint="default"/>
        </w:rPr>
        <w:t>138.46</w:t>
      </w:r>
      <w:r>
        <w:rPr/>
        <w:t>万元，该等票据同时由本公</w:t>
      </w:r>
      <w:r>
        <w:rPr>
          <w:spacing w:val="-85"/>
        </w:rPr>
        <w:t> </w:t>
      </w:r>
      <w:r>
        <w:rPr/>
        <w:t>司在该银行缴存</w:t>
      </w:r>
      <w:r>
        <w:rPr>
          <w:rFonts w:ascii="Times New Roman" w:hAnsi="Times New Roman" w:cs="Times New Roman" w:eastAsia="Times New Roman" w:hint="default"/>
        </w:rPr>
        <w:t>41.54</w:t>
      </w:r>
      <w:r>
        <w:rPr/>
        <w:t>万元保证金存款。本公司在该担保项下尚未到期的流动资金借款</w:t>
      </w:r>
      <w:r>
        <w:rPr>
          <w:rFonts w:ascii="Times New Roman" w:hAnsi="Times New Roman" w:cs="Times New Roman" w:eastAsia="Times New Roman" w:hint="default"/>
        </w:rPr>
        <w:t>2000</w:t>
      </w:r>
      <w:r>
        <w:rPr/>
        <w:t>万元。</w:t>
      </w:r>
    </w:p>
    <w:p>
      <w:pPr>
        <w:pStyle w:val="BodyText"/>
        <w:spacing w:line="300" w:lineRule="auto" w:before="13"/>
        <w:ind w:right="151" w:firstLine="360"/>
        <w:jc w:val="both"/>
      </w:pPr>
      <w:r>
        <w:rPr>
          <w:rFonts w:ascii="Times New Roman" w:hAnsi="Times New Roman" w:cs="Times New Roman" w:eastAsia="Times New Roman" w:hint="default"/>
        </w:rPr>
        <w:t>(2)</w:t>
      </w: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月杨一兵与招商银行股份有限公司保俶支行签订的《最高额不可撤销担保书》，杨一兵为本公司与该</w:t>
      </w:r>
      <w:r>
        <w:rPr>
          <w:w w:val="99"/>
        </w:rPr>
        <w:t> </w:t>
      </w:r>
      <w:r>
        <w:rPr/>
        <w:t>银行于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01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日期间签订的合同提供最高额</w:t>
      </w:r>
      <w:r>
        <w:rPr>
          <w:rFonts w:ascii="Times New Roman" w:hAnsi="Times New Roman" w:cs="Times New Roman" w:eastAsia="Times New Roman" w:hint="default"/>
        </w:rPr>
        <w:t>6,000</w:t>
      </w:r>
      <w:r>
        <w:rPr/>
        <w:t>万元的担保。截至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日，本公司在该</w:t>
      </w:r>
      <w:r>
        <w:rPr>
          <w:spacing w:val="-47"/>
        </w:rPr>
        <w:t> </w:t>
      </w:r>
      <w:r>
        <w:rPr>
          <w:spacing w:val="-47"/>
        </w:rPr>
      </w:r>
      <w:r>
        <w:rPr/>
        <w:t>担保项下尚未到期的应付票据余额</w:t>
      </w:r>
      <w:r>
        <w:rPr>
          <w:rFonts w:ascii="Times New Roman" w:hAnsi="Times New Roman" w:cs="Times New Roman" w:eastAsia="Times New Roman" w:hint="default"/>
        </w:rPr>
        <w:t>311.97</w:t>
      </w:r>
      <w:r>
        <w:rPr/>
        <w:t>万元，该等票据同时由本公司在该银行缴存</w:t>
      </w:r>
      <w:r>
        <w:rPr>
          <w:rFonts w:ascii="Times New Roman" w:hAnsi="Times New Roman" w:cs="Times New Roman" w:eastAsia="Times New Roman" w:hint="default"/>
        </w:rPr>
        <w:t>93.59</w:t>
      </w:r>
      <w:r>
        <w:rPr/>
        <w:t>万元保证金存款。</w:t>
      </w:r>
    </w:p>
    <w:p>
      <w:pPr>
        <w:pStyle w:val="BodyText"/>
        <w:spacing w:line="300" w:lineRule="auto" w:before="13"/>
        <w:ind w:right="151" w:firstLine="360"/>
        <w:jc w:val="both"/>
      </w:pPr>
      <w:r>
        <w:rPr>
          <w:rFonts w:ascii="Times New Roman" w:hAnsi="Times New Roman" w:cs="Times New Roman" w:eastAsia="Times New Roman" w:hint="default"/>
          <w:spacing w:val="-1"/>
        </w:rPr>
        <w:t>(3)</w:t>
      </w:r>
      <w:r>
        <w:rPr>
          <w:spacing w:val="-1"/>
        </w:rPr>
        <w:t>根据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月杨一兵与中国农业银行股份有限公司杭州滨江支行签订的《最高额保证合同》，杨一兵为本公司与该</w:t>
      </w:r>
      <w:r>
        <w:rPr>
          <w:w w:val="99"/>
        </w:rPr>
        <w:t> </w:t>
      </w:r>
      <w:r>
        <w:rPr>
          <w:spacing w:val="-1"/>
        </w:rPr>
        <w:t>银行于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30</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30</w:t>
      </w:r>
      <w:r>
        <w:rPr>
          <w:spacing w:val="-1"/>
        </w:rPr>
        <w:t>日期间签订的合同提供最高额</w:t>
      </w:r>
      <w:r>
        <w:rPr>
          <w:rFonts w:ascii="Times New Roman" w:hAnsi="Times New Roman" w:cs="Times New Roman" w:eastAsia="Times New Roman" w:hint="default"/>
          <w:spacing w:val="-1"/>
        </w:rPr>
        <w:t>5,000</w:t>
      </w:r>
      <w:r>
        <w:rPr>
          <w:spacing w:val="-1"/>
        </w:rPr>
        <w:t>万元的担保。截至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日，本公司在该担</w:t>
      </w:r>
      <w:r>
        <w:rPr>
          <w:spacing w:val="-75"/>
        </w:rPr>
        <w:t> </w:t>
      </w:r>
      <w:r>
        <w:rPr>
          <w:spacing w:val="-75"/>
        </w:rPr>
      </w:r>
      <w:r>
        <w:rPr/>
        <w:t>保项下尚未到期的尚未到期的保函金额</w:t>
      </w:r>
      <w:r>
        <w:rPr>
          <w:rFonts w:ascii="Times New Roman" w:hAnsi="Times New Roman" w:cs="Times New Roman" w:eastAsia="Times New Roman" w:hint="default"/>
        </w:rPr>
        <w:t>303.61</w:t>
      </w:r>
      <w:r>
        <w:rPr/>
        <w:t>万元。本公司在该担保项下尚未到期的流动资金借款</w:t>
      </w:r>
      <w:r>
        <w:rPr>
          <w:rFonts w:ascii="Times New Roman" w:hAnsi="Times New Roman" w:cs="Times New Roman" w:eastAsia="Times New Roman" w:hint="default"/>
        </w:rPr>
        <w:t>420</w:t>
      </w:r>
      <w:r>
        <w:rPr/>
        <w:t>万元。</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2,194,900.00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6</w:t>
      </w:r>
      <w:r>
        <w:rPr/>
        <w:t>、关联方承诺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7</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十二、股份支付</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7" w:lineRule="auto" w:before="0"/>
        <w:ind w:left="152" w:right="69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pStyle w:val="Heading5"/>
        <w:spacing w:line="240" w:lineRule="auto" w:before="126"/>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十三、承诺及或有事项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434"/>
        <w:jc w:val="left"/>
      </w:pPr>
      <w:r>
        <w:rPr/>
        <w:t>资产负债表日存在的重要承诺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4,993,200.00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4,993,200.00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、销售退回</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48" w:firstLine="360"/>
        <w:jc w:val="both"/>
      </w:pPr>
      <w:r>
        <w:rPr>
          <w:spacing w:val="-2"/>
        </w:rPr>
        <w:t>根据公司第二届五次、六次、七次董事会决议及</w:t>
      </w:r>
      <w:r>
        <w:rPr>
          <w:rFonts w:ascii="宋体" w:hAnsi="宋体" w:cs="宋体" w:eastAsia="宋体" w:hint="default"/>
          <w:spacing w:val="-2"/>
        </w:rPr>
        <w:t>2017</w:t>
      </w:r>
      <w:r>
        <w:rPr>
          <w:spacing w:val="-2"/>
        </w:rPr>
        <w:t>年第二次临时股东大会决议，公司向章逸等</w:t>
      </w:r>
      <w:r>
        <w:rPr>
          <w:rFonts w:ascii="宋体" w:hAnsi="宋体" w:cs="宋体" w:eastAsia="宋体" w:hint="default"/>
          <w:spacing w:val="-2"/>
        </w:rPr>
        <w:t>36</w:t>
      </w:r>
      <w:r>
        <w:rPr>
          <w:spacing w:val="-2"/>
        </w:rPr>
        <w:t>名激励对象授予限制</w:t>
      </w:r>
      <w:r>
        <w:rPr/>
        <w:t> 性人民币普通股（</w:t>
      </w:r>
      <w:r>
        <w:rPr>
          <w:rFonts w:ascii="宋体" w:hAnsi="宋体" w:cs="宋体" w:eastAsia="宋体" w:hint="default"/>
        </w:rPr>
        <w:t>A</w:t>
      </w:r>
      <w:r>
        <w:rPr/>
        <w:t>股）股票</w:t>
      </w:r>
      <w:r>
        <w:rPr>
          <w:rFonts w:ascii="宋体" w:hAnsi="宋体" w:cs="宋体" w:eastAsia="宋体" w:hint="default"/>
        </w:rPr>
        <w:t>3,220,000</w:t>
      </w:r>
      <w:r>
        <w:rPr/>
        <w:t>股，每股面值</w:t>
      </w:r>
      <w:r>
        <w:rPr>
          <w:rFonts w:ascii="宋体" w:hAnsi="宋体" w:cs="宋体" w:eastAsia="宋体" w:hint="default"/>
        </w:rPr>
        <w:t>1</w:t>
      </w:r>
      <w:r>
        <w:rPr/>
        <w:t>元，增加注册资本人民币</w:t>
      </w:r>
      <w:r>
        <w:rPr>
          <w:rFonts w:ascii="宋体" w:hAnsi="宋体" w:cs="宋体" w:eastAsia="宋体" w:hint="default"/>
        </w:rPr>
        <w:t>3,220,000.00</w:t>
      </w:r>
      <w:r>
        <w:rPr/>
        <w:t>元，变更后的注册资本为人民 </w:t>
      </w:r>
      <w:r>
        <w:rPr>
          <w:spacing w:val="-2"/>
        </w:rPr>
        <w:t>币</w:t>
      </w:r>
      <w:r>
        <w:rPr>
          <w:rFonts w:ascii="宋体" w:hAnsi="宋体" w:cs="宋体" w:eastAsia="宋体" w:hint="default"/>
          <w:spacing w:val="-2"/>
        </w:rPr>
        <w:t>83,220,000.00</w:t>
      </w:r>
      <w:r>
        <w:rPr>
          <w:spacing w:val="-2"/>
        </w:rPr>
        <w:t>元。本次限制性股票的每股授予价为人民币</w:t>
      </w:r>
      <w:r>
        <w:rPr>
          <w:rFonts w:ascii="宋体" w:hAnsi="宋体" w:cs="宋体" w:eastAsia="宋体" w:hint="default"/>
          <w:spacing w:val="-2"/>
        </w:rPr>
        <w:t>16.53</w:t>
      </w:r>
      <w:r>
        <w:rPr>
          <w:spacing w:val="-2"/>
        </w:rPr>
        <w:t>元</w:t>
      </w:r>
      <w:r>
        <w:rPr>
          <w:rFonts w:ascii="宋体" w:hAnsi="宋体" w:cs="宋体" w:eastAsia="宋体" w:hint="default"/>
          <w:spacing w:val="-2"/>
        </w:rPr>
        <w:t>,</w:t>
      </w:r>
      <w:r>
        <w:rPr>
          <w:spacing w:val="-2"/>
        </w:rPr>
        <w:t>激励对象共计缴付出资额</w:t>
      </w:r>
      <w:r>
        <w:rPr>
          <w:rFonts w:ascii="宋体" w:hAnsi="宋体" w:cs="宋体" w:eastAsia="宋体" w:hint="default"/>
          <w:spacing w:val="-2"/>
        </w:rPr>
        <w:t>53,226,600.00</w:t>
      </w:r>
      <w:r>
        <w:rPr>
          <w:spacing w:val="-2"/>
        </w:rPr>
        <w:t>元，计入股本</w:t>
      </w:r>
      <w:r>
        <w:rPr>
          <w:spacing w:val="-44"/>
        </w:rPr>
        <w:t> </w:t>
      </w:r>
      <w:r>
        <w:rPr>
          <w:spacing w:val="-44"/>
        </w:rPr>
      </w:r>
      <w:r>
        <w:rPr>
          <w:spacing w:val="-3"/>
        </w:rPr>
        <w:t>溢价</w:t>
      </w:r>
      <w:r>
        <w:rPr>
          <w:rFonts w:ascii="宋体" w:hAnsi="宋体" w:cs="宋体" w:eastAsia="宋体" w:hint="default"/>
          <w:spacing w:val="-3"/>
        </w:rPr>
        <w:t>50,006,600.00</w:t>
      </w:r>
      <w:r>
        <w:rPr>
          <w:spacing w:val="-3"/>
        </w:rPr>
        <w:t>元。本次出资业经天健会计师事务所（特殊普通合伙）审验，并由其出具《验资报告》（天健验〔</w:t>
      </w:r>
      <w:r>
        <w:rPr>
          <w:rFonts w:ascii="宋体" w:hAnsi="宋体" w:cs="宋体" w:eastAsia="宋体" w:hint="default"/>
          <w:spacing w:val="-3"/>
        </w:rPr>
        <w:t>2018</w:t>
      </w:r>
      <w:r>
        <w:rPr>
          <w:spacing w:val="-3"/>
        </w:rPr>
        <w:t>〕</w:t>
      </w:r>
      <w:r>
        <w:rPr>
          <w:spacing w:val="-81"/>
        </w:rPr>
        <w:t> </w:t>
      </w:r>
      <w:r>
        <w:rPr>
          <w:rFonts w:ascii="宋体" w:hAnsi="宋体" w:cs="宋体" w:eastAsia="宋体" w:hint="default"/>
          <w:spacing w:val="-2"/>
        </w:rPr>
        <w:t>51</w:t>
      </w:r>
      <w:r>
        <w:rPr>
          <w:spacing w:val="-2"/>
        </w:rPr>
        <w:t>号）。根据授予日的公允价值总额确认上述限制性股票的激励成本为</w:t>
      </w:r>
      <w:r>
        <w:rPr>
          <w:rFonts w:ascii="宋体" w:hAnsi="宋体" w:cs="宋体" w:eastAsia="宋体" w:hint="default"/>
          <w:spacing w:val="-2"/>
        </w:rPr>
        <w:t>2,596.69</w:t>
      </w:r>
      <w:r>
        <w:rPr>
          <w:spacing w:val="-2"/>
        </w:rPr>
        <w:t>万元，将在限售期内（</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月至</w:t>
      </w:r>
      <w:r>
        <w:rPr>
          <w:rFonts w:ascii="宋体" w:hAnsi="宋体" w:cs="宋体" w:eastAsia="宋体" w:hint="default"/>
          <w:spacing w:val="-2"/>
        </w:rPr>
        <w:t>2022</w:t>
      </w:r>
      <w:r>
        <w:rPr>
          <w:spacing w:val="-2"/>
        </w:rPr>
        <w:t>年</w:t>
      </w:r>
      <w:r>
        <w:rPr>
          <w:rFonts w:ascii="宋体" w:hAnsi="宋体" w:cs="宋体" w:eastAsia="宋体" w:hint="default"/>
          <w:spacing w:val="-2"/>
        </w:rPr>
        <w:t>1</w:t>
      </w:r>
      <w:r>
        <w:rPr>
          <w:rFonts w:ascii="宋体" w:hAnsi="宋体" w:cs="宋体" w:eastAsia="宋体" w:hint="default"/>
          <w:spacing w:val="-51"/>
        </w:rPr>
        <w:t> </w:t>
      </w:r>
      <w:r>
        <w:rPr/>
        <w:t>月）分期摊销。</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）公司无报告分部的，或者不能披露各报告分部的资产总额和负债总额的，应说明原因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本公司不存在多种经营，故无报告分部。本公司按主要产品或提供的劳务分类的主营业务收入及主营业务成本明细如下：</w:t>
      </w:r>
    </w:p>
    <w:p>
      <w:pPr>
        <w:spacing w:line="240" w:lineRule="auto" w:before="1"/>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491"/>
        <w:gridCol w:w="2285"/>
        <w:gridCol w:w="1805"/>
        <w:gridCol w:w="1663"/>
        <w:gridCol w:w="1729"/>
      </w:tblGrid>
      <w:tr>
        <w:trPr>
          <w:trHeight w:val="341"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18"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95" w:right="0"/>
              <w:jc w:val="left"/>
              <w:rPr>
                <w:rFonts w:ascii="宋体" w:hAnsi="宋体" w:cs="宋体" w:eastAsia="宋体" w:hint="default"/>
                <w:sz w:val="18"/>
                <w:szCs w:val="18"/>
              </w:rPr>
            </w:pPr>
            <w:r>
              <w:rPr>
                <w:rFonts w:ascii="宋体" w:hAnsi="宋体" w:cs="宋体" w:eastAsia="宋体" w:hint="default"/>
                <w:sz w:val="18"/>
                <w:szCs w:val="18"/>
              </w:rPr>
              <w:t>医疗信息系统</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73" w:right="0"/>
              <w:jc w:val="left"/>
              <w:rPr>
                <w:rFonts w:ascii="宋体" w:hAnsi="宋体" w:cs="宋体" w:eastAsia="宋体" w:hint="default"/>
                <w:sz w:val="18"/>
                <w:szCs w:val="18"/>
              </w:rPr>
            </w:pPr>
            <w:r>
              <w:rPr>
                <w:rFonts w:ascii="宋体" w:hAnsi="宋体" w:cs="宋体" w:eastAsia="宋体" w:hint="default"/>
                <w:sz w:val="18"/>
                <w:szCs w:val="18"/>
              </w:rPr>
              <w:t>数字化场景应用</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07"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r>
      <w:tr>
        <w:trPr>
          <w:trHeight w:val="343"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spacing w:val="-1"/>
                <w:sz w:val="18"/>
              </w:rPr>
              <w:t>135,915,941.16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97,068,698.01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12" w:right="0"/>
              <w:jc w:val="left"/>
              <w:rPr>
                <w:rFonts w:ascii="Times New Roman" w:hAnsi="Times New Roman" w:cs="Times New Roman" w:eastAsia="Times New Roman" w:hint="default"/>
                <w:sz w:val="18"/>
                <w:szCs w:val="18"/>
              </w:rPr>
            </w:pPr>
            <w:r>
              <w:rPr>
                <w:rFonts w:ascii="Times New Roman"/>
                <w:sz w:val="18"/>
              </w:rPr>
              <w:t>37,617,715.81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88" w:right="0"/>
              <w:jc w:val="left"/>
              <w:rPr>
                <w:rFonts w:ascii="Times New Roman" w:hAnsi="Times New Roman" w:cs="Times New Roman" w:eastAsia="Times New Roman" w:hint="default"/>
                <w:sz w:val="18"/>
                <w:szCs w:val="18"/>
              </w:rPr>
            </w:pPr>
            <w:r>
              <w:rPr>
                <w:rFonts w:ascii="Times New Roman"/>
                <w:sz w:val="18"/>
              </w:rPr>
              <w:t>270,602,354.98</w:t>
            </w:r>
          </w:p>
        </w:tc>
      </w:tr>
      <w:tr>
        <w:trPr>
          <w:trHeight w:val="341"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59,416,931.33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66,500,252.97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12" w:right="0"/>
              <w:jc w:val="left"/>
              <w:rPr>
                <w:rFonts w:ascii="Times New Roman" w:hAnsi="Times New Roman" w:cs="Times New Roman" w:eastAsia="Times New Roman" w:hint="default"/>
                <w:sz w:val="18"/>
                <w:szCs w:val="18"/>
              </w:rPr>
            </w:pPr>
            <w:r>
              <w:rPr>
                <w:rFonts w:ascii="Times New Roman"/>
                <w:sz w:val="18"/>
              </w:rPr>
              <w:t>14,719,031.85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8" w:right="0"/>
              <w:jc w:val="left"/>
              <w:rPr>
                <w:rFonts w:ascii="Times New Roman" w:hAnsi="Times New Roman" w:cs="Times New Roman" w:eastAsia="Times New Roman" w:hint="default"/>
                <w:sz w:val="18"/>
                <w:szCs w:val="18"/>
              </w:rPr>
            </w:pPr>
            <w:r>
              <w:rPr>
                <w:rFonts w:ascii="Times New Roman"/>
                <w:sz w:val="18"/>
              </w:rPr>
              <w:t>140,636,216.15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十六、母公司财务报表主要项目注释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47"/>
        <w:gridCol w:w="751"/>
        <w:gridCol w:w="761"/>
        <w:gridCol w:w="775"/>
        <w:gridCol w:w="740"/>
        <w:gridCol w:w="812"/>
        <w:gridCol w:w="642"/>
        <w:gridCol w:w="761"/>
        <w:gridCol w:w="814"/>
        <w:gridCol w:w="922"/>
        <w:gridCol w:w="943"/>
      </w:tblGrid>
      <w:tr>
        <w:trPr>
          <w:trHeight w:val="398" w:hRule="exact"/>
        </w:trPr>
        <w:tc>
          <w:tcPr>
            <w:tcW w:w="1647" w:type="dxa"/>
            <w:vMerge w:val="restart"/>
            <w:tcBorders>
              <w:top w:val="single" w:sz="4" w:space="0" w:color="000000"/>
              <w:left w:val="single" w:sz="4" w:space="0" w:color="000000"/>
              <w:right w:val="single" w:sz="4" w:space="0" w:color="000000"/>
            </w:tcBorders>
            <w:shd w:val="clear" w:color="auto" w:fill="D2D2D2"/>
          </w:tcPr>
          <w:p>
            <w:pP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7" w:type="dxa"/>
            <w:vMerge/>
            <w:tcBorders>
              <w:left w:val="single" w:sz="4" w:space="0" w:color="000000"/>
              <w:bottom w:val="nil" w:sz="6" w:space="0" w:color="auto"/>
              <w:right w:val="single" w:sz="4" w:space="0" w:color="000000"/>
            </w:tcBorders>
            <w:shd w:val="clear" w:color="auto" w:fill="D2D2D2"/>
          </w:tcPr>
          <w:p>
            <w:pP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2" w:type="dxa"/>
            <w:vMerge w:val="restart"/>
            <w:tcBorders>
              <w:top w:val="single" w:sz="4" w:space="0" w:color="000000"/>
              <w:left w:val="single" w:sz="4" w:space="0" w:color="000000"/>
              <w:right w:val="single" w:sz="4" w:space="0" w:color="000000"/>
            </w:tcBorders>
            <w:shd w:val="clear" w:color="auto" w:fill="D2D2D2"/>
          </w:tcPr>
          <w:p>
            <w:pPr/>
          </w:p>
        </w:tc>
        <w:tc>
          <w:tcPr>
            <w:tcW w:w="140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3"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1516" w:type="dxa"/>
            <w:gridSpan w:val="2"/>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1403" w:type="dxa"/>
            <w:gridSpan w:val="2"/>
            <w:vMerge/>
            <w:tcBorders>
              <w:left w:val="single" w:sz="4" w:space="0" w:color="000000"/>
              <w:bottom w:val="single" w:sz="4" w:space="0" w:color="000000"/>
              <w:right w:val="single" w:sz="4" w:space="0" w:color="000000"/>
            </w:tcBorders>
            <w:shd w:val="clear" w:color="auto" w:fill="D2D2D2"/>
          </w:tcPr>
          <w:p>
            <w:pPr/>
          </w:p>
        </w:tc>
        <w:tc>
          <w:tcPr>
            <w:tcW w:w="1736" w:type="dxa"/>
            <w:gridSpan w:val="2"/>
            <w:vMerge/>
            <w:tcBorders>
              <w:left w:val="single" w:sz="4" w:space="0" w:color="000000"/>
              <w:bottom w:val="single" w:sz="4" w:space="0" w:color="000000"/>
              <w:right w:val="single" w:sz="4" w:space="0" w:color="000000"/>
            </w:tcBorders>
            <w:shd w:val="clear" w:color="auto" w:fill="D2D2D2"/>
          </w:tcPr>
          <w:p>
            <w:pPr/>
          </w:p>
        </w:tc>
        <w:tc>
          <w:tcPr>
            <w:tcW w:w="943"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47" w:type="dxa"/>
            <w:vMerge/>
            <w:tcBorders>
              <w:left w:val="single" w:sz="4" w:space="0" w:color="000000"/>
              <w:bottom w:val="single" w:sz="4" w:space="0" w:color="FFFFFF"/>
              <w:right w:val="single" w:sz="4" w:space="0" w:color="000000"/>
            </w:tcBorders>
            <w:shd w:val="clear" w:color="auto" w:fill="D2D2D2"/>
          </w:tcPr>
          <w:p>
            <w:pPr/>
          </w:p>
        </w:tc>
        <w:tc>
          <w:tcPr>
            <w:tcW w:w="75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4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76" w:right="9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tcBorders>
              <w:top w:val="single" w:sz="4" w:space="0" w:color="000000"/>
              <w:left w:val="single" w:sz="4" w:space="0" w:color="000000"/>
              <w:bottom w:val="nil" w:sz="6" w:space="0" w:color="auto"/>
              <w:right w:val="single" w:sz="4" w:space="0" w:color="000000"/>
            </w:tcBorders>
            <w:shd w:val="clear" w:color="auto" w:fill="D2D2D2"/>
          </w:tcPr>
          <w:p>
            <w:pPr/>
          </w:p>
        </w:tc>
        <w:tc>
          <w:tcPr>
            <w:tcW w:w="9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47" w:type="dxa"/>
            <w:vMerge w:val="restart"/>
            <w:tcBorders>
              <w:top w:val="single" w:sz="4" w:space="0" w:color="FFFFFF"/>
              <w:left w:val="single" w:sz="4" w:space="0" w:color="000000"/>
              <w:right w:val="single" w:sz="4" w:space="0" w:color="000000"/>
            </w:tcBorders>
            <w:shd w:val="clear" w:color="auto" w:fill="D2D2D2"/>
          </w:tcPr>
          <w:p>
            <w:pPr/>
          </w:p>
        </w:tc>
        <w:tc>
          <w:tcPr>
            <w:tcW w:w="75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40" w:type="dxa"/>
            <w:vMerge/>
            <w:tcBorders>
              <w:left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6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4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47" w:type="dxa"/>
            <w:vMerge/>
            <w:tcBorders>
              <w:left w:val="single" w:sz="4" w:space="0" w:color="000000"/>
              <w:right w:val="single" w:sz="4" w:space="0" w:color="000000"/>
            </w:tcBorders>
            <w:shd w:val="clear" w:color="auto" w:fill="D2D2D2"/>
          </w:tcPr>
          <w:p>
            <w:pPr/>
          </w:p>
        </w:tc>
        <w:tc>
          <w:tcPr>
            <w:tcW w:w="751"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40" w:type="dxa"/>
            <w:vMerge/>
            <w:tcBorders>
              <w:left w:val="single" w:sz="4" w:space="0" w:color="000000"/>
              <w:right w:val="single" w:sz="4" w:space="0" w:color="000000"/>
            </w:tcBorders>
            <w:shd w:val="clear" w:color="auto" w:fill="D2D2D2"/>
          </w:tcPr>
          <w:p>
            <w:pPr/>
          </w:p>
        </w:tc>
        <w:tc>
          <w:tcPr>
            <w:tcW w:w="812" w:type="dxa"/>
            <w:vMerge w:val="restart"/>
            <w:tcBorders>
              <w:top w:val="nil" w:sz="6" w:space="0" w:color="auto"/>
              <w:left w:val="single" w:sz="4" w:space="0" w:color="000000"/>
              <w:right w:val="single" w:sz="4" w:space="0" w:color="000000"/>
            </w:tcBorders>
            <w:shd w:val="clear" w:color="auto" w:fill="D2D2D2"/>
          </w:tcPr>
          <w:p>
            <w:pPr/>
          </w:p>
        </w:tc>
        <w:tc>
          <w:tcPr>
            <w:tcW w:w="642"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94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7" w:type="dxa"/>
            <w:vMerge/>
            <w:tcBorders>
              <w:left w:val="single" w:sz="4" w:space="0" w:color="000000"/>
              <w:bottom w:val="single" w:sz="4" w:space="0" w:color="000000"/>
              <w:right w:val="single" w:sz="4" w:space="0" w:color="000000"/>
            </w:tcBorders>
            <w:shd w:val="clear" w:color="auto" w:fill="D2D2D2"/>
          </w:tcPr>
          <w:p>
            <w:pPr/>
          </w:p>
        </w:tc>
        <w:tc>
          <w:tcPr>
            <w:tcW w:w="7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40"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6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single" w:sz="4" w:space="0" w:color="000000"/>
              <w:right w:val="single" w:sz="4" w:space="0" w:color="000000"/>
            </w:tcBorders>
            <w:shd w:val="clear" w:color="auto" w:fill="D2D2D2"/>
          </w:tcPr>
          <w:p>
            <w:pPr/>
          </w:p>
        </w:tc>
        <w:tc>
          <w:tcPr>
            <w:tcW w:w="94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0"/>
              <w:ind w:left="82" w:right="0"/>
              <w:jc w:val="left"/>
              <w:rPr>
                <w:rFonts w:ascii="Times New Roman" w:hAnsi="Times New Roman" w:cs="Times New Roman" w:eastAsia="Times New Roman" w:hint="default"/>
                <w:sz w:val="18"/>
                <w:szCs w:val="18"/>
              </w:rPr>
            </w:pPr>
            <w:r>
              <w:rPr>
                <w:rFonts w:ascii="Times New Roman"/>
                <w:sz w:val="18"/>
              </w:rPr>
              <w:t>219,065,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29,455,4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13.45%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6" w:right="0"/>
              <w:jc w:val="left"/>
              <w:rPr>
                <w:rFonts w:ascii="Times New Roman" w:hAnsi="Times New Roman" w:cs="Times New Roman" w:eastAsia="Times New Roman" w:hint="default"/>
                <w:sz w:val="18"/>
                <w:szCs w:val="18"/>
              </w:rPr>
            </w:pPr>
            <w:r>
              <w:rPr>
                <w:rFonts w:ascii="Times New Roman"/>
                <w:sz w:val="18"/>
              </w:rPr>
              <w:t>189,610,4</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5" w:right="0"/>
              <w:jc w:val="left"/>
              <w:rPr>
                <w:rFonts w:ascii="Times New Roman" w:hAnsi="Times New Roman" w:cs="Times New Roman" w:eastAsia="Times New Roman" w:hint="default"/>
                <w:sz w:val="18"/>
                <w:szCs w:val="18"/>
              </w:rPr>
            </w:pPr>
            <w:r>
              <w:rPr>
                <w:rFonts w:ascii="Times New Roman"/>
                <w:sz w:val="18"/>
              </w:rPr>
              <w:t>165,533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16,715,38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6" w:right="0"/>
              <w:jc w:val="left"/>
              <w:rPr>
                <w:rFonts w:ascii="Times New Roman" w:hAnsi="Times New Roman" w:cs="Times New Roman" w:eastAsia="Times New Roman" w:hint="default"/>
                <w:sz w:val="18"/>
                <w:szCs w:val="18"/>
              </w:rPr>
            </w:pPr>
            <w:r>
              <w:rPr>
                <w:rFonts w:ascii="Times New Roman"/>
                <w:sz w:val="18"/>
              </w:rPr>
              <w:t>10.10%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148,818,35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67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7" w:right="0"/>
              <w:jc w:val="left"/>
              <w:rPr>
                <w:rFonts w:ascii="Times New Roman" w:hAnsi="Times New Roman" w:cs="Times New Roman" w:eastAsia="Times New Roman" w:hint="default"/>
                <w:sz w:val="18"/>
                <w:szCs w:val="18"/>
              </w:rPr>
            </w:pPr>
            <w:r>
              <w:rPr>
                <w:rFonts w:ascii="Times New Roman"/>
                <w:sz w:val="18"/>
              </w:rPr>
              <w:t>923.43</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3" w:right="0"/>
              <w:jc w:val="left"/>
              <w:rPr>
                <w:rFonts w:ascii="Times New Roman" w:hAnsi="Times New Roman" w:cs="Times New Roman" w:eastAsia="Times New Roman" w:hint="default"/>
                <w:sz w:val="18"/>
                <w:szCs w:val="18"/>
              </w:rPr>
            </w:pPr>
            <w:r>
              <w:rPr>
                <w:rFonts w:ascii="Times New Roman"/>
                <w:sz w:val="18"/>
              </w:rPr>
              <w:t>35.83</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87.60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3" w:right="0"/>
              <w:jc w:val="left"/>
              <w:rPr>
                <w:rFonts w:ascii="Times New Roman" w:hAnsi="Times New Roman" w:cs="Times New Roman" w:eastAsia="Times New Roman" w:hint="default"/>
                <w:sz w:val="18"/>
                <w:szCs w:val="18"/>
              </w:rPr>
            </w:pPr>
            <w:r>
              <w:rPr>
                <w:rFonts w:ascii="Times New Roman"/>
                <w:sz w:val="18"/>
              </w:rPr>
              <w:t>,744.00</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4.70</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5" w:right="0"/>
              <w:jc w:val="left"/>
              <w:rPr>
                <w:rFonts w:ascii="Times New Roman" w:hAnsi="Times New Roman" w:cs="Times New Roman" w:eastAsia="Times New Roman" w:hint="default"/>
                <w:sz w:val="18"/>
                <w:szCs w:val="18"/>
              </w:rPr>
            </w:pPr>
            <w:r>
              <w:rPr>
                <w:rFonts w:ascii="Times New Roman"/>
                <w:sz w:val="18"/>
              </w:rPr>
              <w:t>9.30</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219,065,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923.43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29,455,4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35.83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13.45%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189,610,4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87.60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165,533</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,744.00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16,715,38</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4.70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10.10%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148,818,35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9.30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6" w:top="1100" w:bottom="1380" w:left="980" w:right="980"/>
        </w:sectPr>
      </w:pPr>
    </w:p>
    <w:p>
      <w:pPr>
        <w:pStyle w:val="BodyText"/>
        <w:spacing w:line="240" w:lineRule="auto" w:before="49"/>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28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5"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3"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102,838,587.70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3,085,157.63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39,739,872.31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3,973,987.23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61,591,515.62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12,318,303.12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7,827,183.37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3,913,591.69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4,521,841.35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3,617,473.08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2,546,923.08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2,546,923.08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219,065,923.43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29,455,435.83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13.45%</w:t>
            </w:r>
          </w:p>
        </w:tc>
      </w:tr>
    </w:tbl>
    <w:p>
      <w:pPr>
        <w:pStyle w:val="BodyText"/>
        <w:spacing w:line="357" w:lineRule="auto" w:before="49"/>
        <w:ind w:right="7794"/>
        <w:jc w:val="left"/>
      </w:pPr>
      <w:r>
        <w:rPr/>
        <w:t>确定该组合依据的说明： 无</w:t>
      </w:r>
    </w:p>
    <w:p>
      <w:pPr>
        <w:pStyle w:val="BodyText"/>
        <w:spacing w:line="240" w:lineRule="auto" w:before="29"/>
        <w:ind w:right="0"/>
        <w:jc w:val="left"/>
      </w:pPr>
      <w:r>
        <w:rPr/>
        <w:t>组合中，采用余额百分比法计提坏账准备的应收账款：</w:t>
      </w:r>
    </w:p>
    <w:p>
      <w:pPr>
        <w:pStyle w:val="BodyText"/>
        <w:spacing w:line="35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无</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100" w:bottom="280" w:left="980" w:right="980"/>
        </w:sectPr>
      </w:pPr>
    </w:p>
    <w:p>
      <w:pPr>
        <w:pStyle w:val="BodyText"/>
        <w:spacing w:line="340" w:lineRule="auto" w:before="44"/>
        <w:ind w:right="-13"/>
        <w:jc w:val="left"/>
      </w:pPr>
      <w:r>
        <w:rPr/>
        <w:t>本期计提坏账准备金额</w:t>
      </w:r>
      <w:r>
        <w:rPr>
          <w:spacing w:val="-46"/>
        </w:rPr>
        <w:t> </w:t>
      </w:r>
      <w:r>
        <w:rPr>
          <w:rFonts w:ascii="Times New Roman" w:hAnsi="Times New Roman" w:cs="Times New Roman" w:eastAsia="Times New Roman" w:hint="default"/>
        </w:rPr>
        <w:t>12,740,051.13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280" w:left="980" w:right="980"/>
          <w:cols w:num="2" w:equalWidth="0">
            <w:col w:w="6548" w:space="2281"/>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8"/>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40"/>
          <w:pgMar w:top="1100" w:bottom="28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其中重要的应收账款核销情况：</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49"/>
        <w:ind w:right="8154"/>
        <w:jc w:val="left"/>
      </w:pPr>
      <w:r>
        <w:rPr/>
        <w:t>应收账款核销说明：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jc w:val="left"/>
      </w:pPr>
      <w:r>
        <w:rPr>
          <w:spacing w:val="-1"/>
        </w:rPr>
        <w:t>期末余额前</w:t>
      </w:r>
      <w:r>
        <w:rPr>
          <w:rFonts w:ascii="Times New Roman" w:hAnsi="Times New Roman" w:cs="Times New Roman" w:eastAsia="Times New Roman" w:hint="default"/>
          <w:spacing w:val="-1"/>
        </w:rPr>
        <w:t>5</w:t>
      </w:r>
      <w:r>
        <w:rPr>
          <w:spacing w:val="-1"/>
        </w:rPr>
        <w:t>名的应收账款合计数为</w:t>
      </w:r>
      <w:r>
        <w:rPr>
          <w:rFonts w:ascii="Times New Roman" w:hAnsi="Times New Roman" w:cs="Times New Roman" w:eastAsia="Times New Roman" w:hint="default"/>
          <w:spacing w:val="-1"/>
        </w:rPr>
        <w:t>127,580,148.25</w:t>
      </w:r>
      <w:r>
        <w:rPr>
          <w:spacing w:val="-1"/>
        </w:rPr>
        <w:t>元，占应收账款期末余额合计数的比例为</w:t>
      </w:r>
      <w:r>
        <w:rPr>
          <w:rFonts w:ascii="Times New Roman" w:hAnsi="Times New Roman" w:cs="Times New Roman" w:eastAsia="Times New Roman" w:hint="default"/>
          <w:spacing w:val="-1"/>
        </w:rPr>
        <w:t>58.24%</w:t>
      </w:r>
      <w:r>
        <w:rPr>
          <w:spacing w:val="-1"/>
        </w:rPr>
        <w:t>，相应计提的坏账准备合</w:t>
      </w:r>
      <w:r>
        <w:rPr>
          <w:spacing w:val="-82"/>
        </w:rPr>
        <w:t> </w:t>
      </w:r>
      <w:r>
        <w:rPr>
          <w:spacing w:val="-82"/>
        </w:rPr>
      </w:r>
      <w:r>
        <w:rPr/>
        <w:t>计数为</w:t>
      </w:r>
      <w:r>
        <w:rPr>
          <w:rFonts w:ascii="Times New Roman" w:hAnsi="Times New Roman" w:cs="Times New Roman" w:eastAsia="Times New Roman" w:hint="default"/>
        </w:rPr>
        <w:t>14,830,521.45</w:t>
      </w:r>
      <w:r>
        <w:rPr/>
        <w:t>元。</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874"/>
        <w:jc w:val="left"/>
      </w:pPr>
      <w:r>
        <w:rPr/>
        <w:t>无 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1"/>
        <w:gridCol w:w="763"/>
        <w:gridCol w:w="763"/>
        <w:gridCol w:w="788"/>
        <w:gridCol w:w="655"/>
        <w:gridCol w:w="761"/>
        <w:gridCol w:w="814"/>
        <w:gridCol w:w="934"/>
        <w:gridCol w:w="931"/>
      </w:tblGrid>
      <w:tr>
        <w:trPr>
          <w:trHeight w:val="398"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24,962,8</w:t>
            </w:r>
          </w:p>
          <w:p>
            <w:pPr>
              <w:pStyle w:val="TableParagraph"/>
              <w:spacing w:line="240" w:lineRule="auto" w:before="102"/>
              <w:ind w:left="320" w:right="0"/>
              <w:jc w:val="left"/>
              <w:rPr>
                <w:rFonts w:ascii="Times New Roman" w:hAnsi="Times New Roman" w:cs="Times New Roman" w:eastAsia="Times New Roman" w:hint="default"/>
                <w:sz w:val="18"/>
                <w:szCs w:val="18"/>
              </w:rPr>
            </w:pPr>
            <w:r>
              <w:rPr>
                <w:rFonts w:ascii="Times New Roman"/>
                <w:sz w:val="18"/>
              </w:rPr>
              <w:t>48.36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2,439,86</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3.11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9.77%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22,522,98</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5.25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19,150,</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069.76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82.88%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1,586,927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17,563,142.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13</w:t>
            </w:r>
          </w:p>
        </w:tc>
      </w:tr>
      <w:tr>
        <w:trPr>
          <w:trHeight w:val="1027"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4,245,27</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8.96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14.53%</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4,245,278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3,956,9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67.90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17.12%</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3,956,967.9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29,208,1</w:t>
            </w:r>
          </w:p>
          <w:p>
            <w:pPr>
              <w:pStyle w:val="TableParagraph"/>
              <w:spacing w:line="240" w:lineRule="auto" w:before="102"/>
              <w:ind w:left="320" w:right="0"/>
              <w:jc w:val="left"/>
              <w:rPr>
                <w:rFonts w:ascii="Times New Roman" w:hAnsi="Times New Roman" w:cs="Times New Roman" w:eastAsia="Times New Roman" w:hint="default"/>
                <w:sz w:val="18"/>
                <w:szCs w:val="18"/>
              </w:rPr>
            </w:pPr>
            <w:r>
              <w:rPr>
                <w:rFonts w:ascii="Times New Roman"/>
                <w:sz w:val="18"/>
              </w:rPr>
              <w:t>27.32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2,439,86</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3.11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8.35%</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26,768,26</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4.21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23,107,</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037.66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1,586,927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6.87%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21,520,110.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03</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期末单项金额重大并单项计提坏账准备的其他应收款：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186" w:top="1100" w:bottom="1380" w:left="980" w:right="98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27"/>
          <w:pgSz w:w="11910" w:h="16840"/>
          <w:pgMar w:footer="1186" w:header="877" w:top="1100" w:bottom="1380" w:left="980" w:right="980"/>
          <w:pgNumType w:start="153"/>
        </w:sectPr>
      </w:pPr>
    </w:p>
    <w:p>
      <w:pPr>
        <w:pStyle w:val="BodyText"/>
        <w:spacing w:line="240" w:lineRule="auto" w:before="44"/>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28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12,810,450.51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384,313.52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10,309,402.70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1,030,940.27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624,981.00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124,996.20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291,994.00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145,997.00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862,020.15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689,616.12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24,962,848.36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2,439,863.11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9.77%</w:t>
            </w:r>
          </w:p>
        </w:tc>
      </w:tr>
    </w:tbl>
    <w:p>
      <w:pPr>
        <w:pStyle w:val="BodyText"/>
        <w:spacing w:line="357" w:lineRule="auto" w:before="49"/>
        <w:ind w:right="7794"/>
        <w:jc w:val="left"/>
      </w:pPr>
      <w:r>
        <w:rPr/>
        <w:t>确定该组合依据的说明： 无</w:t>
      </w:r>
    </w:p>
    <w:p>
      <w:pPr>
        <w:pStyle w:val="BodyText"/>
        <w:spacing w:line="240" w:lineRule="auto" w:before="29"/>
        <w:ind w:right="0"/>
        <w:jc w:val="left"/>
      </w:pPr>
      <w:r>
        <w:rPr/>
        <w:t>组合中，采用余额百分比法计提坏账准备的其他应收款：</w:t>
      </w:r>
    </w:p>
    <w:p>
      <w:pPr>
        <w:pStyle w:val="BodyText"/>
        <w:spacing w:line="338" w:lineRule="auto" w:before="117"/>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100" w:bottom="280" w:left="980" w:right="980"/>
        </w:sectPr>
      </w:pPr>
    </w:p>
    <w:p>
      <w:pPr>
        <w:pStyle w:val="BodyText"/>
        <w:spacing w:line="338" w:lineRule="auto" w:before="44"/>
        <w:ind w:right="-11"/>
        <w:jc w:val="left"/>
      </w:pPr>
      <w:r>
        <w:rPr/>
        <w:t>本期计提坏账准备金额</w:t>
      </w:r>
      <w:r>
        <w:rPr>
          <w:spacing w:val="-46"/>
        </w:rPr>
        <w:t> </w:t>
      </w:r>
      <w:r>
        <w:rPr>
          <w:rFonts w:ascii="Times New Roman" w:hAnsi="Times New Roman" w:cs="Times New Roman" w:eastAsia="Times New Roman" w:hint="default"/>
        </w:rPr>
        <w:t>875,735.48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280" w:left="980" w:right="980"/>
          <w:cols w:num="2" w:equalWidth="0">
            <w:col w:w="6325" w:space="2504"/>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8"/>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1"/>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无法收回的租金和押金</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22,800.00</w:t>
            </w:r>
          </w:p>
        </w:tc>
      </w:tr>
    </w:tbl>
    <w:p>
      <w:pPr>
        <w:pStyle w:val="BodyText"/>
        <w:spacing w:line="240" w:lineRule="auto" w:before="49"/>
        <w:ind w:right="0"/>
        <w:jc w:val="left"/>
      </w:pPr>
      <w:r>
        <w:rPr/>
        <w:t>其中重要的其他应收款核销情况：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after="0" w:line="240" w:lineRule="auto"/>
        <w:jc w:val="left"/>
        <w:sectPr>
          <w:type w:val="continuous"/>
          <w:pgSz w:w="11910" w:h="16840"/>
          <w:pgMar w:top="1100" w:bottom="280" w:left="980" w:right="980"/>
        </w:sectPr>
      </w:pPr>
    </w:p>
    <w:p>
      <w:pPr>
        <w:spacing w:line="240" w:lineRule="auto" w:before="12"/>
        <w:rPr>
          <w:rFonts w:ascii="宋体" w:hAnsi="宋体" w:cs="宋体" w:eastAsia="宋体" w:hint="default"/>
          <w:sz w:val="20"/>
          <w:szCs w:val="20"/>
        </w:rPr>
      </w:pPr>
    </w:p>
    <w:p>
      <w:pPr>
        <w:pStyle w:val="Heading6"/>
        <w:spacing w:line="240" w:lineRule="auto" w:before="36"/>
        <w:ind w:right="0"/>
        <w:jc w:val="left"/>
      </w:pPr>
      <w:r>
        <w:rPr>
          <w:w w:val="100"/>
        </w:rPr>
        <w:t>无</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16,760,116.10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12,973,128.70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4,245,278.96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3,956,967.90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7,004,881.75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4,638,454.45</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1,050,202.03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1,197,966.76</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147,648.48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340,519.85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29,208,127.32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23,107,037.66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广西中医药大学第一 附属医院</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5,495,002.90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294,000.29</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杭州市国家税务局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软件销售增值税退 税</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4,245,278.96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14.53%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赣州和仁公司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暂付款及借款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3,550,300.00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201,030.00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金湖县住房和城乡建 设局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浙江医院</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1,745,512.90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141,581.29</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17,036,094.76</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836,611.58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26"/>
        <w:gridCol w:w="1865"/>
        <w:gridCol w:w="1868"/>
        <w:gridCol w:w="1867"/>
        <w:gridCol w:w="1945"/>
      </w:tblGrid>
      <w:tr>
        <w:trPr>
          <w:trHeight w:val="713"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5"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杭州市国家税务局</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软件产品增值税超税负 退税款</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4,245,278.96</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日已收到</w:t>
            </w:r>
          </w:p>
        </w:tc>
      </w:tr>
      <w:tr>
        <w:trPr>
          <w:trHeight w:val="403"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4,245,278.96</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8"/>
        <w:ind w:right="0"/>
        <w:jc w:val="left"/>
      </w:pPr>
      <w:r>
        <w:rPr/>
        <w:t>无</w:t>
      </w:r>
    </w:p>
    <w:p>
      <w:pPr>
        <w:spacing w:after="0" w:line="240" w:lineRule="auto"/>
        <w:jc w:val="left"/>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57" w:lineRule="auto"/>
        <w:ind w:right="8874"/>
        <w:jc w:val="left"/>
      </w:pPr>
      <w:r>
        <w:rPr/>
        <w:t>无 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16,073,000.00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11,873,000.00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11,873,000.00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16,073,000.00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11,873,000.00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11,873,000.00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和仁湘雅公司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和仁云慧公司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天津和仁公司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湖北和仁公司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赣州和仁公司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重庆和仁公司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广西和仁公司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西安和仁公司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江苏和仁公司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11,873,000.00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16,073,000.00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1186" w:top="1100" w:bottom="1380" w:left="980" w:right="980"/>
        </w:sectPr>
      </w:pPr>
    </w:p>
    <w:p>
      <w:pPr>
        <w:spacing w:line="240" w:lineRule="auto" w:before="12"/>
        <w:rPr>
          <w:rFonts w:ascii="宋体" w:hAnsi="宋体" w:cs="宋体" w:eastAsia="宋体"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239,444,298.88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129,851,949.48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223,659,479.45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100,980,327.39</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5,655,572.42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2,553,965.41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245,099,871.30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132,405,914.89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223,659,479.45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100,980,327.39</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3,814,095.06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390,663.25</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3,814,095.06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390,663.25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-42,728.94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4,507,211.48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3,945,477.07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-231,473.33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1,069,916.20</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355,571.97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6,752,998.11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3"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0.410</w:t>
            </w:r>
          </w:p>
        </w:tc>
      </w:tr>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0.33</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1"/>
        <w:ind w:right="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1186"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285" w:right="0"/>
        <w:jc w:val="left"/>
        <w:rPr>
          <w:b w:val="0"/>
          <w:bCs w:val="0"/>
        </w:rPr>
      </w:pPr>
      <w:bookmarkStart w:name="_bookmark10" w:id="11"/>
      <w:bookmarkEnd w:id="11"/>
      <w:r>
        <w:rPr>
          <w:b w:val="0"/>
          <w:bCs w:val="0"/>
        </w:rPr>
      </w:r>
      <w:r>
        <w:rPr/>
        <w:t>第十二节</w:t>
      </w:r>
      <w:r>
        <w:rPr>
          <w:spacing w:val="-6"/>
        </w:rPr>
        <w:t> </w:t>
      </w:r>
      <w:r>
        <w:rPr/>
        <w:t>备查文件目录</w:t>
      </w:r>
      <w:r>
        <w:rPr>
          <w:b w:val="0"/>
          <w:bCs w:val="0"/>
        </w:rPr>
      </w:r>
    </w:p>
    <w:p>
      <w:pPr>
        <w:spacing w:line="240" w:lineRule="auto" w:before="11"/>
        <w:rPr>
          <w:rFonts w:ascii="宋体" w:hAnsi="宋体" w:cs="宋体" w:eastAsia="宋体" w:hint="default"/>
          <w:b/>
          <w:bCs/>
          <w:sz w:val="44"/>
          <w:szCs w:val="44"/>
        </w:rPr>
      </w:pPr>
    </w:p>
    <w:p>
      <w:pPr>
        <w:pStyle w:val="Heading3"/>
        <w:spacing w:line="355" w:lineRule="auto"/>
        <w:ind w:left="152" w:right="174"/>
        <w:jc w:val="left"/>
      </w:pPr>
      <w:r>
        <w:rPr/>
        <w:t>一、载有公司法定代表人签名、公司盖章的</w:t>
      </w:r>
      <w:r>
        <w:rPr>
          <w:rFonts w:ascii="Times New Roman" w:hAnsi="Times New Roman" w:cs="Times New Roman" w:eastAsia="Times New Roman" w:hint="default"/>
        </w:rPr>
        <w:t>2017</w:t>
      </w:r>
      <w:r>
        <w:rPr/>
        <w:t>年年度报告全文及摘要文本； 二、载有法定代表人、主管会计工作负责人、会计机构负责人签名、盖章的财务报表； 三、载有天健会计师事务所（特殊普通合伙）注册会计师签名、会计师事务所盖章的审计报 告原件； 四、报告期内在中国证监会指定报纸上公开披露过的所有公司文件的正本及公告的原稿； 五、其他有关资料； 六、以上备查文件的备置地点：浙江和仁科技股份有限公司董事会办公室</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6"/>
          <w:szCs w:val="26"/>
        </w:rPr>
      </w:pPr>
    </w:p>
    <w:p>
      <w:pPr>
        <w:pStyle w:val="Heading3"/>
        <w:spacing w:line="357" w:lineRule="auto"/>
        <w:ind w:left="6912" w:right="134" w:firstLine="177"/>
        <w:jc w:val="left"/>
      </w:pPr>
      <w:r>
        <w:rPr/>
        <w:t>法定代表人：杨一兵 浙江和仁科技股份有限公司</w:t>
      </w:r>
    </w:p>
    <w:p>
      <w:pPr>
        <w:pStyle w:val="Heading3"/>
        <w:spacing w:line="240" w:lineRule="auto" w:before="36"/>
        <w:ind w:right="151"/>
        <w:jc w:val="right"/>
      </w:pPr>
      <w:r>
        <w:rPr/>
        <w:t>二〇一八年四月二十四日</w:t>
      </w:r>
    </w:p>
    <w:sectPr>
      <w:pgSz w:w="11910" w:h="16840"/>
      <w:pgMar w:header="877" w:footer="1186" w:top="1100" w:bottom="13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37939pt;width:13.15pt;height:11pt;mso-position-horizontal-relative:page;mso-position-vertical-relative:page;z-index:-803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71.637939pt;width:17.3pt;height:11pt;mso-position-horizontal-relative:page;mso-position-vertical-relative:page;z-index:-802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37939pt;width:17.7pt;height:11pt;mso-position-horizontal-relative:page;mso-position-vertical-relative:page;z-index:-802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37939pt;width:17.7pt;height:11pt;mso-position-horizontal-relative:page;mso-position-vertical-relative:page;z-index:-802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145</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37939pt;width:17.7pt;height:11pt;mso-position-horizontal-relative:page;mso-position-vertical-relative:page;z-index:-802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153</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37939pt;width:13.15pt;height:11pt;mso-position-horizontal-relative:page;mso-position-vertical-relative:page;z-index:-803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769989pt;margin-top:771.637939pt;width:13.15pt;height:11pt;mso-position-horizontal-relative:page;mso-position-vertical-relative:page;z-index:-803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769989pt;margin-top:771.637939pt;width:13.15pt;height:11pt;mso-position-horizontal-relative:page;mso-position-vertical-relative:page;z-index:-803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769989pt;margin-top:771.637939pt;width:13.15pt;height:11pt;mso-position-horizontal-relative:page;mso-position-vertical-relative:page;z-index:-803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25</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37939pt;width:13.15pt;height:11pt;mso-position-horizontal-relative:page;mso-position-vertical-relative:page;z-index:-803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36</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37939pt;width:13.15pt;height:11pt;mso-position-horizontal-relative:page;mso-position-vertical-relative:page;z-index:-802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72</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71.637939pt;width:15.7pt;height:11pt;mso-position-horizontal-relative:page;mso-position-vertical-relative:page;z-index:-8029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37939pt;width:17.7pt;height:11pt;mso-position-horizontal-relative:page;mso-position-vertical-relative:page;z-index:-802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033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4.070007pt;margin-top:42.865608pt;width:195.75pt;height:11.5pt;mso-position-horizontal-relative:page;mso-position-vertical-relative:page;z-index:-803296" type="#_x0000_t202" filled="false" stroked="false">
          <v:textbox inset="0,0,0,0">
            <w:txbxContent>
              <w:p>
                <w:pPr>
                  <w:pStyle w:val="BodyText"/>
                  <w:spacing w:line="214" w:lineRule="exact"/>
                  <w:ind w:left="20" w:right="0"/>
                  <w:jc w:val="left"/>
                </w:pPr>
                <w:r>
                  <w:rPr/>
                  <w:t>浙江和仁科技股份有限公司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032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03224" type="#_x0000_t202" filled="false" stroked="false">
          <v:textbox inset="0,0,0,0">
            <w:txbxContent>
              <w:p>
                <w:pPr>
                  <w:pStyle w:val="BodyText"/>
                  <w:spacing w:line="214" w:lineRule="exact"/>
                  <w:ind w:left="20" w:right="0"/>
                  <w:jc w:val="left"/>
                </w:pPr>
                <w:r>
                  <w:rPr/>
                  <w:t>浙江和仁科技股份有限公司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506.3pt;height:.1pt;mso-position-horizontal-relative:page;mso-position-vertical-relative:page;z-index:-803176" coordorigin="1104,1111" coordsize="10126,2">
          <v:shape style="position:absolute;left:1104;top:1111;width:10126;height:2" coordorigin="1104,1111" coordsize="10126,0" path="m1104,1111l11229,1111e" filled="false" stroked="true" strokeweight=".72pt" strokecolor="#000000">
            <v:path arrowok="t"/>
          </v:shape>
          <w10:wrap type="none"/>
        </v:group>
      </w:pict>
    </w:r>
    <w:r>
      <w:rPr/>
      <w:pict>
        <v:shape style="position:absolute;margin-left:365.429993pt;margin-top:42.865608pt;width:195.75pt;height:11.5pt;mso-position-horizontal-relative:page;mso-position-vertical-relative:page;z-index:-803152" type="#_x0000_t202" filled="false" stroked="false">
          <v:textbox inset="0,0,0,0">
            <w:txbxContent>
              <w:p>
                <w:pPr>
                  <w:pStyle w:val="BodyText"/>
                  <w:spacing w:line="214" w:lineRule="exact"/>
                  <w:ind w:left="20" w:right="0"/>
                  <w:jc w:val="left"/>
                </w:pPr>
                <w:r>
                  <w:rPr/>
                  <w:t>浙江和仁科技股份有限公司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030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03032" type="#_x0000_t202" filled="false" stroked="false">
          <v:textbox inset="0,0,0,0">
            <w:txbxContent>
              <w:p>
                <w:pPr>
                  <w:pStyle w:val="BodyText"/>
                  <w:spacing w:line="214" w:lineRule="exact"/>
                  <w:ind w:left="20" w:right="0"/>
                  <w:jc w:val="left"/>
                </w:pPr>
                <w:r>
                  <w:rPr/>
                  <w:t>浙江和仁科技股份有限公司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555"/>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outlineLvl w:val="3"/>
    </w:pPr>
    <w:rPr>
      <w:rFonts w:ascii="宋体" w:hAnsi="宋体" w:eastAsia="宋体"/>
      <w:sz w:val="24"/>
      <w:szCs w:val="24"/>
    </w:rPr>
  </w:style>
  <w:style w:styleId="Heading4" w:type="paragraph">
    <w:name w:val="Heading 4"/>
    <w:basedOn w:val="Normal"/>
    <w:uiPriority w:val="1"/>
    <w:qFormat/>
    <w:pPr>
      <w:ind w:left="573"/>
      <w:outlineLvl w:val="4"/>
    </w:pPr>
    <w:rPr>
      <w:rFonts w:ascii="宋体" w:hAnsi="宋体" w:eastAsia="宋体"/>
      <w:i/>
      <w:sz w:val="22"/>
      <w:szCs w:val="22"/>
    </w:rPr>
  </w:style>
  <w:style w:styleId="Heading5" w:type="paragraph">
    <w:name w:val="Heading 5"/>
    <w:basedOn w:val="Normal"/>
    <w:uiPriority w:val="1"/>
    <w:qFormat/>
    <w:pPr>
      <w:ind w:left="152"/>
      <w:outlineLvl w:val="5"/>
    </w:pPr>
    <w:rPr>
      <w:rFonts w:ascii="宋体" w:hAnsi="宋体" w:eastAsia="宋体"/>
      <w:b/>
      <w:bCs/>
      <w:sz w:val="21"/>
      <w:szCs w:val="21"/>
    </w:rPr>
  </w:style>
  <w:style w:styleId="Heading6" w:type="paragraph">
    <w:name w:val="Heading 6"/>
    <w:basedOn w:val="Normal"/>
    <w:uiPriority w:val="1"/>
    <w:qFormat/>
    <w:pPr>
      <w:spacing w:before="22"/>
      <w:ind w:left="152"/>
      <w:outlineLvl w:val="6"/>
    </w:pPr>
    <w:rPr>
      <w:rFonts w:ascii="宋体" w:hAnsi="宋体" w:eastAsia="宋体"/>
      <w:sz w:val="21"/>
      <w:szCs w:val="21"/>
    </w:rPr>
  </w:style>
  <w:style w:styleId="Heading7" w:type="paragraph">
    <w:name w:val="Heading 7"/>
    <w:basedOn w:val="Normal"/>
    <w:uiPriority w:val="1"/>
    <w:qFormat/>
    <w:pPr>
      <w:ind w:left="513"/>
      <w:outlineLvl w:val="7"/>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hyperlink" Target="http://www.herenit.com/" TargetMode="External"/><Relationship Id="rId11" Type="http://schemas.openxmlformats.org/officeDocument/2006/relationships/hyperlink" Target="mailto:contact@herenit.com"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20" Type="http://schemas.openxmlformats.org/officeDocument/2006/relationships/image" Target="media/image2.jpeg"/><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浙江和仁科技股份有限公司</dc:creator>
  <dc:title>浙江和仁科技股份有限公司2017年年度报告全文</dc:title>
  <dcterms:created xsi:type="dcterms:W3CDTF">2020-05-03T01:01:12Z</dcterms:created>
  <dcterms:modified xsi:type="dcterms:W3CDTF">2020-05-03T01:01:12Z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Microsoft® Word 2010</vt:lpwstr>
  </property>
  <property fmtid="{D5CDD505-2E9C-101B-9397-08002B2CF9AE}" pid="4" name="LastSaved">
    <vt:filetime>2020-05-02T00:00:00Z</vt:filetime>
  </property>
</Properties>
</file>